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confidentially submitted to the Securities and Exchange Commission on August 31, 2026. </w:t>
      </w:r>
    </w:p>
    <w:p>
      <w:pPr>
        <w:pStyle w:val="TextBody"/>
        <w:bidi w:val="0"/>
        <w:spacing w:before="120" w:after="0"/>
        <w:jc w:val="center"/>
        <w:rPr>
          <w:rFonts w:ascii="Times New Roman" w:hAnsi="Times New Roman"/>
          <w:b/>
          <w:sz w:val="18"/>
        </w:rPr>
      </w:pPr>
      <w:r>
        <w:rPr>
          <w:rFonts w:ascii="Times New Roman" w:hAnsi="Times New Roman"/>
          <w:b/>
          <w:sz w:val="18"/>
        </w:rPr>
        <w:t xml:space="preserve">This draft registration statement has not been filed publicly with the Securities and Exchange Commission, and all information herein remains strictly confidential.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BOUNDLESS BIO,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83-0751369</w:t>
            </w:r>
          </w:p>
        </w:tc>
      </w:tr>
      <w:tr>
        <w:trPr/>
        <w:tc>
          <w:tcPr>
            <w:tcW w:w="3469"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11099 North Torrey Pines Road, Suite 150 </w:t>
      </w:r>
    </w:p>
    <w:p>
      <w:pPr>
        <w:pStyle w:val="TextBody"/>
        <w:bidi w:val="0"/>
        <w:spacing w:before="0" w:after="0"/>
        <w:jc w:val="center"/>
        <w:rPr>
          <w:rFonts w:ascii="Times New Roman" w:hAnsi="Times New Roman"/>
          <w:b/>
          <w:sz w:val="18"/>
        </w:rPr>
      </w:pPr>
      <w:r>
        <w:rPr>
          <w:rFonts w:ascii="Times New Roman" w:hAnsi="Times New Roman"/>
          <w:b/>
          <w:sz w:val="18"/>
        </w:rPr>
        <w:t xml:space="preserve">La Jolla, California </w:t>
      </w:r>
    </w:p>
    <w:p>
      <w:pPr>
        <w:pStyle w:val="TextBody"/>
        <w:bidi w:val="0"/>
        <w:spacing w:before="0" w:after="0"/>
        <w:jc w:val="center"/>
        <w:rPr>
          <w:rFonts w:ascii="Times New Roman" w:hAnsi="Times New Roman"/>
          <w:b/>
          <w:sz w:val="18"/>
        </w:rPr>
      </w:pPr>
      <w:r>
        <w:rPr>
          <w:rFonts w:ascii="Times New Roman" w:hAnsi="Times New Roman"/>
          <w:b/>
          <w:sz w:val="18"/>
        </w:rPr>
        <w:t>(858) 766-9912</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Jessica Oien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Chief Legal Officer and Corporate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Boundless Bio, Inc. </w:t>
      </w:r>
    </w:p>
    <w:p>
      <w:pPr>
        <w:pStyle w:val="TextBody"/>
        <w:bidi w:val="0"/>
        <w:spacing w:before="0" w:after="0"/>
        <w:jc w:val="center"/>
        <w:rPr>
          <w:rFonts w:ascii="Times New Roman" w:hAnsi="Times New Roman"/>
          <w:b/>
          <w:sz w:val="18"/>
        </w:rPr>
      </w:pPr>
      <w:r>
        <w:rPr>
          <w:rFonts w:ascii="Times New Roman" w:hAnsi="Times New Roman"/>
          <w:b/>
          <w:sz w:val="18"/>
        </w:rPr>
        <w:t xml:space="preserve">11099 North Torrey Pines Road, Suite 150 </w:t>
      </w:r>
    </w:p>
    <w:p>
      <w:pPr>
        <w:pStyle w:val="TextBody"/>
        <w:bidi w:val="0"/>
        <w:spacing w:before="0" w:after="0"/>
        <w:jc w:val="center"/>
        <w:rPr>
          <w:rFonts w:ascii="Times New Roman" w:hAnsi="Times New Roman"/>
          <w:b/>
          <w:sz w:val="18"/>
        </w:rPr>
      </w:pPr>
      <w:r>
        <w:rPr>
          <w:rFonts w:ascii="Times New Roman" w:hAnsi="Times New Roman"/>
          <w:b/>
          <w:sz w:val="18"/>
        </w:rPr>
        <w:t xml:space="preserve">La Jolla, California </w:t>
      </w:r>
    </w:p>
    <w:p>
      <w:pPr>
        <w:pStyle w:val="TextBody"/>
        <w:bidi w:val="0"/>
        <w:spacing w:before="0" w:after="0"/>
        <w:jc w:val="center"/>
        <w:rPr>
          <w:rFonts w:ascii="Times New Roman" w:hAnsi="Times New Roman"/>
          <w:b/>
          <w:sz w:val="18"/>
        </w:rPr>
      </w:pPr>
      <w:r>
        <w:rPr>
          <w:rFonts w:ascii="Times New Roman" w:hAnsi="Times New Roman"/>
          <w:b/>
          <w:sz w:val="18"/>
        </w:rPr>
        <w:t xml:space="preserve">(858) 766-9912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Daniel Rees</w:t>
            </w:r>
          </w:p>
          <w:p>
            <w:pPr>
              <w:pStyle w:val="TableContents"/>
              <w:bidi w:val="0"/>
              <w:spacing w:before="0" w:after="0"/>
              <w:jc w:val="center"/>
              <w:rPr>
                <w:rFonts w:ascii="Times New Roman" w:hAnsi="Times New Roman"/>
                <w:b/>
                <w:sz w:val="18"/>
              </w:rPr>
            </w:pPr>
            <w:r>
              <w:rPr>
                <w:rFonts w:ascii="Times New Roman" w:hAnsi="Times New Roman"/>
                <w:b/>
                <w:sz w:val="18"/>
              </w:rPr>
              <w:t>Matthew T. Bush</w:t>
            </w:r>
          </w:p>
          <w:p>
            <w:pPr>
              <w:pStyle w:val="TableContents"/>
              <w:bidi w:val="0"/>
              <w:spacing w:before="0" w:after="0"/>
              <w:jc w:val="center"/>
              <w:rPr>
                <w:rFonts w:ascii="Times New Roman" w:hAnsi="Times New Roman"/>
                <w:b/>
                <w:sz w:val="18"/>
              </w:rPr>
            </w:pPr>
            <w:r>
              <w:rPr>
                <w:rFonts w:ascii="Times New Roman" w:hAnsi="Times New Roman"/>
                <w:b/>
                <w:sz w:val="18"/>
              </w:rPr>
              <w:t>Shannon Cheng</w:t>
            </w:r>
          </w:p>
          <w:p>
            <w:pPr>
              <w:pStyle w:val="TableContents"/>
              <w:bidi w:val="0"/>
              <w:spacing w:before="0" w:after="0"/>
              <w:jc w:val="center"/>
              <w:rPr>
                <w:rFonts w:ascii="Times New Roman" w:hAnsi="Times New Roman"/>
                <w:b/>
                <w:sz w:val="18"/>
              </w:rPr>
            </w:pPr>
            <w:r>
              <w:rPr>
                <w:rFonts w:ascii="Times New Roman" w:hAnsi="Times New Roman"/>
                <w:b/>
                <w:sz w:val="18"/>
              </w:rPr>
              <w:t>Latham &amp; Watkins LLP</w:t>
            </w:r>
          </w:p>
          <w:p>
            <w:pPr>
              <w:pStyle w:val="TableContents"/>
              <w:bidi w:val="0"/>
              <w:spacing w:before="0" w:after="0"/>
              <w:jc w:val="center"/>
              <w:rPr>
                <w:rFonts w:ascii="Times New Roman" w:hAnsi="Times New Roman"/>
                <w:b/>
                <w:sz w:val="18"/>
              </w:rPr>
            </w:pPr>
            <w:r>
              <w:rPr>
                <w:rFonts w:ascii="Times New Roman" w:hAnsi="Times New Roman"/>
                <w:b/>
                <w:sz w:val="18"/>
              </w:rPr>
              <w:t>650 Town Center Drive</w:t>
            </w:r>
          </w:p>
          <w:p>
            <w:pPr>
              <w:pStyle w:val="TableContents"/>
              <w:bidi w:val="0"/>
              <w:spacing w:before="0" w:after="0"/>
              <w:jc w:val="center"/>
              <w:rPr>
                <w:rFonts w:ascii="Times New Roman" w:hAnsi="Times New Roman"/>
                <w:b/>
                <w:sz w:val="18"/>
              </w:rPr>
            </w:pPr>
            <w:r>
              <w:rPr>
                <w:rFonts w:ascii="Times New Roman" w:hAnsi="Times New Roman"/>
                <w:b/>
                <w:sz w:val="18"/>
              </w:rPr>
              <w:t>20th Floor</w:t>
            </w:r>
          </w:p>
          <w:p>
            <w:pPr>
              <w:pStyle w:val="TableContents"/>
              <w:bidi w:val="0"/>
              <w:spacing w:before="0" w:after="0"/>
              <w:jc w:val="center"/>
              <w:rPr>
                <w:rFonts w:ascii="Times New Roman" w:hAnsi="Times New Roman"/>
                <w:b/>
                <w:sz w:val="18"/>
              </w:rPr>
            </w:pPr>
            <w:r>
              <w:rPr>
                <w:rFonts w:ascii="Times New Roman" w:hAnsi="Times New Roman"/>
                <w:b/>
                <w:sz w:val="18"/>
              </w:rPr>
              <w:t>Costa Mesa, California 92626</w:t>
            </w:r>
          </w:p>
          <w:p>
            <w:pPr>
              <w:pStyle w:val="TableContents"/>
              <w:bidi w:val="0"/>
              <w:spacing w:before="0" w:after="20"/>
              <w:jc w:val="center"/>
              <w:rPr>
                <w:rFonts w:ascii="Times New Roman" w:hAnsi="Times New Roman"/>
                <w:b/>
                <w:sz w:val="18"/>
              </w:rPr>
            </w:pPr>
            <w:r>
              <w:rPr>
                <w:rFonts w:ascii="Times New Roman" w:hAnsi="Times New Roman"/>
                <w:b/>
                <w:sz w:val="18"/>
              </w:rPr>
              <w:t>(714) 540 1235</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Ryan Murr, Esq.</w:t>
            </w:r>
          </w:p>
          <w:p>
            <w:pPr>
              <w:pStyle w:val="TableContents"/>
              <w:bidi w:val="0"/>
              <w:spacing w:before="0" w:after="0"/>
              <w:jc w:val="center"/>
              <w:rPr>
                <w:rFonts w:ascii="Times New Roman" w:hAnsi="Times New Roman"/>
                <w:b/>
                <w:sz w:val="18"/>
              </w:rPr>
            </w:pPr>
            <w:r>
              <w:rPr>
                <w:rFonts w:ascii="Times New Roman" w:hAnsi="Times New Roman"/>
                <w:b/>
                <w:sz w:val="18"/>
              </w:rPr>
              <w:t>Branden Berns, Esq.</w:t>
            </w:r>
          </w:p>
          <w:p>
            <w:pPr>
              <w:pStyle w:val="TableContents"/>
              <w:bidi w:val="0"/>
              <w:spacing w:before="0" w:after="0"/>
              <w:jc w:val="center"/>
              <w:rPr>
                <w:rFonts w:ascii="Times New Roman" w:hAnsi="Times New Roman"/>
                <w:b/>
                <w:sz w:val="18"/>
              </w:rPr>
            </w:pPr>
            <w:r>
              <w:rPr>
                <w:rFonts w:ascii="Times New Roman" w:hAnsi="Times New Roman"/>
                <w:b/>
                <w:sz w:val="18"/>
              </w:rPr>
              <w:t>Gibson, Dunn &amp; Crutcher LLP</w:t>
            </w:r>
          </w:p>
          <w:p>
            <w:pPr>
              <w:pStyle w:val="TableContents"/>
              <w:bidi w:val="0"/>
              <w:spacing w:before="0" w:after="0"/>
              <w:jc w:val="center"/>
              <w:rPr>
                <w:rFonts w:ascii="Times New Roman" w:hAnsi="Times New Roman"/>
                <w:b/>
                <w:sz w:val="18"/>
              </w:rPr>
            </w:pPr>
            <w:r>
              <w:rPr>
                <w:rFonts w:ascii="Times New Roman" w:hAnsi="Times New Roman"/>
                <w:b/>
                <w:sz w:val="18"/>
              </w:rPr>
              <w:t>One Embarcadero Center, Suite 2600</w:t>
            </w:r>
          </w:p>
          <w:p>
            <w:pPr>
              <w:pStyle w:val="TableContents"/>
              <w:bidi w:val="0"/>
              <w:spacing w:before="0" w:after="0"/>
              <w:jc w:val="center"/>
              <w:rPr>
                <w:rFonts w:ascii="Times New Roman" w:hAnsi="Times New Roman"/>
                <w:b/>
                <w:sz w:val="18"/>
              </w:rPr>
            </w:pPr>
            <w:r>
              <w:rPr>
                <w:rFonts w:ascii="Times New Roman" w:hAnsi="Times New Roman"/>
                <w:b/>
                <w:sz w:val="18"/>
              </w:rPr>
              <w:t>San Francisco, CA 94111</w:t>
            </w:r>
          </w:p>
          <w:p>
            <w:pPr>
              <w:pStyle w:val="TableContents"/>
              <w:bidi w:val="0"/>
              <w:spacing w:before="0" w:after="20"/>
              <w:jc w:val="center"/>
              <w:rPr>
                <w:rFonts w:ascii="Times New Roman" w:hAnsi="Times New Roman"/>
                <w:b/>
                <w:sz w:val="18"/>
              </w:rPr>
            </w:pPr>
            <w:r>
              <w:rPr>
                <w:rFonts w:ascii="Times New Roman" w:hAnsi="Times New Roman"/>
                <w:b/>
                <w:sz w:val="18"/>
              </w:rPr>
              <w:t>(415) 393-8373</w:t>
            </w:r>
          </w:p>
        </w:tc>
      </w:tr>
    </w:tbl>
    <w:p>
      <w:pPr>
        <w:pStyle w:val="TextBody"/>
        <w:bidi w:val="0"/>
        <w:spacing w:before="120" w:after="0"/>
        <w:jc w:val="left"/>
        <w:rPr>
          <w:rFonts w:ascii="Times New Roman" w:hAnsi="Times New Roman"/>
          <w:sz w:val="18"/>
        </w:rPr>
      </w:pPr>
      <w:r>
        <w:rPr>
          <w:rFonts w:ascii="Times New Roman" w:hAnsi="Times New Roman"/>
          <w:b/>
          <w:sz w:val="18"/>
        </w:rPr>
        <w:t>Approximate date of commencement of proposed sale of the securities to the public</w:t>
      </w:r>
      <w:r>
        <w:rPr>
          <w:rFonts w:ascii="Times New Roman" w:hAnsi="Times New Roman"/>
          <w:sz w:val="18"/>
        </w:rPr>
        <w:t xml:space="preserve">: As soon as practicable after the effective date of this registration statement and the satisfaction or waiver of all other conditions under the Merger Agreement described herein. </w:t>
      </w:r>
    </w:p>
    <w:p>
      <w:pPr>
        <w:pStyle w:val="TextBody"/>
        <w:bidi w:val="0"/>
        <w:spacing w:before="120" w:after="0"/>
        <w:jc w:val="left"/>
        <w:rPr>
          <w:rFonts w:ascii="Times New Roman" w:hAnsi="Times New Roman"/>
          <w:sz w:val="18"/>
        </w:rPr>
      </w:pPr>
      <w:r>
        <w:rPr>
          <w:rFonts w:ascii="Times New Roman" w:hAnsi="Times New Roman"/>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8"/>
        </w:rPr>
      </w:pPr>
      <w:r>
        <w:rPr>
          <w:rFonts w:ascii="Times New Roman" w:hAnsi="Times New Roman"/>
          <w:sz w:val="18"/>
        </w:rPr>
        <w:t xml:space="preserve">Exchange Act Rule 13e-4(i) (Cross-Border Issuer Tender Offer) ☐ </w:t>
      </w:r>
    </w:p>
    <w:p>
      <w:pPr>
        <w:pStyle w:val="TextBody"/>
        <w:bidi w:val="0"/>
        <w:spacing w:before="120" w:after="0"/>
        <w:jc w:val="left"/>
        <w:rPr>
          <w:rFonts w:ascii="Times New Roman" w:hAnsi="Times New Roman"/>
          <w:sz w:val="18"/>
        </w:rPr>
      </w:pPr>
      <w:r>
        <w:rPr>
          <w:rFonts w:ascii="Times New Roman" w:hAnsi="Times New Roman"/>
          <w:sz w:val="18"/>
        </w:rPr>
        <w:t xml:space="preserve">Exchange Act Rule 14d-1(d) (Cross-Border Third-Party Tender Offer) ☐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proxy statement/prospectus is not complete and may be changed. These securities may not be sold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31, 2026 </w:t>
      </w:r>
    </w:p>
    <w:p>
      <w:pPr>
        <w:pStyle w:val="TextBody"/>
        <w:bidi w:val="0"/>
        <w:spacing w:before="0" w:after="0"/>
        <w:ind w:left="960" w:right="960" w:hanging="0"/>
        <w:jc w:val="left"/>
        <w:rPr/>
      </w:pPr>
      <w:r>
        <w:rPr/>
        <w:t> </w:t>
      </w:r>
    </w:p>
    <w:tbl>
      <w:tblPr>
        <w:tblW w:w="8915" w:type="dxa"/>
        <w:jc w:val="center"/>
        <w:tblInd w:w="0" w:type="dxa"/>
        <w:tblLayout w:type="fixed"/>
        <w:tblCellMar>
          <w:top w:w="0" w:type="dxa"/>
          <w:left w:w="0" w:type="dxa"/>
          <w:bottom w:w="0" w:type="dxa"/>
          <w:right w:w="0" w:type="dxa"/>
        </w:tblCellMar>
      </w:tblPr>
      <w:tblGrid>
        <w:gridCol w:w="4634"/>
        <w:gridCol w:w="60"/>
        <w:gridCol w:w="4221"/>
      </w:tblGrid>
      <w:tr>
        <w:trPr/>
        <w:tc>
          <w:tcPr>
            <w:tcW w:w="46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21" w:type="dxa"/>
            <w:tcBorders/>
            <w:vAlign w:val="center"/>
          </w:tcPr>
          <w:p>
            <w:pPr>
              <w:pStyle w:val="TableContents"/>
              <w:bidi w:val="0"/>
              <w:spacing w:before="0" w:after="283"/>
              <w:jc w:val="left"/>
              <w:rPr>
                <w:sz w:val="4"/>
                <w:szCs w:val="4"/>
              </w:rPr>
            </w:pPr>
            <w:r>
              <w:rPr>
                <w:sz w:val="4"/>
                <w:szCs w:val="4"/>
              </w:rPr>
            </w:r>
          </w:p>
        </w:tc>
      </w:tr>
      <w:tr>
        <w:trPr/>
        <w:tc>
          <w:tcPr>
            <w:tcW w:w="4634" w:type="dxa"/>
            <w:tcBorders/>
            <w:vAlign w:val="center"/>
          </w:tcPr>
          <w:p>
            <w:pPr>
              <w:pStyle w:val="TableContents"/>
              <w:bidi w:val="0"/>
              <w:spacing w:before="0" w:after="283"/>
              <w:jc w:val="left"/>
              <w:rPr/>
            </w:pPr>
            <w:r>
              <w:rPr/>
              <w:drawing>
                <wp:inline distT="0" distB="0" distL="0" distR="0">
                  <wp:extent cx="2942590" cy="4521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42590" cy="452120"/>
                          </a:xfrm>
                          <a:prstGeom prst="rect">
                            <a:avLst/>
                          </a:prstGeom>
                        </pic:spPr>
                      </pic:pic>
                    </a:graphicData>
                  </a:graphic>
                </wp:inline>
              </w:drawing>
            </w:r>
            <w:r>
              <w:rPr/>
              <w:t xml:space="preserve"> </w:t>
            </w:r>
          </w:p>
        </w:tc>
        <w:tc>
          <w:tcPr>
            <w:tcW w:w="60" w:type="dxa"/>
            <w:tcBorders/>
            <w:vAlign w:val="bottom"/>
          </w:tcPr>
          <w:p>
            <w:pPr>
              <w:pStyle w:val="TableContents"/>
              <w:bidi w:val="0"/>
              <w:spacing w:before="0" w:after="283"/>
              <w:jc w:val="left"/>
              <w:rPr/>
            </w:pPr>
            <w:r>
              <w:rPr/>
              <w:t> </w:t>
            </w:r>
          </w:p>
        </w:tc>
        <w:tc>
          <w:tcPr>
            <w:tcW w:w="4221" w:type="dxa"/>
            <w:tcBorders/>
            <w:vAlign w:val="bottom"/>
          </w:tcPr>
          <w:p>
            <w:pPr>
              <w:pStyle w:val="TableContents"/>
              <w:bidi w:val="0"/>
              <w:spacing w:before="0" w:after="283"/>
              <w:jc w:val="right"/>
              <w:rPr/>
            </w:pPr>
            <w:r>
              <w:rPr/>
              <w:drawing>
                <wp:inline distT="0" distB="0" distL="0" distR="0">
                  <wp:extent cx="268033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80335" cy="676275"/>
                          </a:xfrm>
                          <a:prstGeom prst="rect">
                            <a:avLst/>
                          </a:prstGeom>
                        </pic:spPr>
                      </pic:pic>
                    </a:graphicData>
                  </a:graphic>
                </wp:inline>
              </w:drawing>
            </w:r>
            <w:r>
              <w:rPr/>
              <w:t xml:space="preserve"> </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To the Stockholders of Boundless Bio, Inc. and Serapha Bio,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Boundless Bio, Inc., a Delaware corporation (“Boundless Bio”), and Serapha Bio, Inc., a Delaware corporation (“Serapha”), entered into an Agreement and Plan of Merger and Reorganization, dated as of June 22, 2026, as amended by Amendment No. 1 to Agreement and Plan of Merger and Reorganization, dated as of August 28, 2026 (as amended, the “Merger Agreement”), pursuant to which, among other matters, Boulder Merger Sub Corp., a direct, wholly owned subsidiary of Boundless Bio (“Merger Sub”), will merge with and into Serapha, with Serapha surviving as a wholly owned subsidiary of Boundless Bio and the surviving corporation of the merger (the “Merger”). Boundless Bio following the Merger is referred to herein as the “Combined Company.”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At the effective time of the Merger (the “Effective Time”), (i) each then-outstanding share of Serapha common stock, par value $0.00001 per share (the “Serapha Common Stock”), and Serapha preferred stock, par value $0.00001 per share (the “Serapha Preferred Stock” and, together with the Serapha Common Stock, the “Serapha Capital Stock”) (including any shares of Serapha Common Stock issued in the Serapha Pre-Closing Financing), excluding any shares of Serapha Capital Stock held as treasury stock immediately prior to the Effective Time, will be converted into the right to receive a number of shares of Boundless Bio common stock, par value $0.0001 per share (the “Boundless Bio Common Stock”)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192 of the accompanying proxy statement/prospectus, referred to herein as the “Exchange Ratio,” (ii) each then-outstanding option (a “Serapha Option”) to purchase shares of Serapha Common Stock will be converted into and become an option to purchase shares of Boundless Bio Common Stock on the existing terms and conditions (including with respect to vesting and accelerated vesting), subject to adjustment as set forth in the Merger Agreement, (iii) each then-outstanding restricted stock unit award covering shares of Serapha Common Stock (a “Serapha RSU”) will be converted into and become a restricted stock unit award covering shares of Boundless Bio Common Stock on the existing terms and conditions (including with respect to vesting and accelerated vesting), subject to adjustment as set forth in the Merger Agreement and (iv) each then-outstanding warrant to purchase shares of Serapha Common Stock (each, a “Serapha Warrant”), including each then-outstanding pre-funded warrant to purchase shares of Serapha Common Stock (each, a “Serapha Pre-Funded Warrant”), will be converted into a warrant to purchase shares of Boundless Bio Common Stock on the existing terms and conditions (each, an “Assumed Warrant”), subject to adjustment as set forth in the Merger Agreement and the form of warrant. If any shares of Serapha Common Stock are unvested or subject to a repurchase option or risk of forfeiture at the Effective Time, then the shares of Boundless Bio Common Stock issued in exchange for such shares will to the same extent be unvested and subject to the same repurchase option or risk of forfeiture.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the proposed reverse stock split (the “Nasdaq Reverse Split”), will be unaffected by the Merger. Concurrently with the signing of the Merger Agreement, all outstanding options to purchase shares of Boundless Bio Common Stock (the “Boundless Bio Options”) became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fully vested and exercisable. Each Boundless Bio Option outstanding immediately prior to the Effective Time with an exercise price greater than $8.00 will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Based on Boundless Bio’s and Serapha’s capitalization as of August 21, 2026 and taking into account Boundless Bio’s current cash position, each share of Serapha Capital Stock is currently estimated to be entitled to receive approximately 8.6737 shares of Boundless Bio Common Stock. This estimated Exchange Ratio does not give effect to the Nasdaq Reverse Split and is subject to adjustment based on estimated Boundless Bio Net Cash (as defined herein) at the Closing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192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execution and delivery of the Merger Agreement, certain institutional and accredited investors entered into a stock purchase agreement, pursuant to which such persons invested in a private placement of Serapha Series A Preferred Stock, par value $0.00001 per share (the “Serapha Series A Preferred Stock”) for an aggregate purchase price of approximately $138 million. Prior to the closing of the Merger (the “Closing”), certain investors entered into a securities purchase agreement (the “Securities Purchase Agreement”), pursuant to which such persons have agreed to purchase shares of Serapha Common Stock or Serapha Pre-Funded Warrants for an aggregate purchase price of approximately $92 million (the “Serapha Pre-Closing Financing”). The closing of the Serapha Pre-Closing Financing is conditioned upon the satisfaction or waiver of the conditions to the Closing as well as certain other conditions. The Serapha Pre-Closing Financing is more fully described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(i) Boundless Bio securityholders as of immediately prior to the Merger are expected to own approximately 4.2% of the outstanding shares of the Combined Company on a fully-diluted basis, (ii) former Serapha securityholders, excluding shares purchased in the Serapha Pre-Closing Financing, are expected to own approximately 30% of the outstanding shares of the Combined Company on a fully-diluted basis, and (iii) shares of Serapha Common Stock and Serapha Pre-Funded Warrants issued in the Serapha Pre-Closing Financing are expected to represent approximately 65.8% of the outstanding shares of capital stock of the Combined Company on a fully-diluted basis, subject to certain assumptions. After taking into account the 2026 ESPP and 2026 Stock Plan, (i) Boundless Bio securityholders as of immediately prior to the Merger are expected to own approximately 3.7% of the fully-diluted capitalization of the Combined Company, (ii) former Serapha securityholders, excluding shares purchased in the Serapha Pre-Closing Financing, are expected to own approximately 38.2% of the fully-diluted capitalization of the Combined Company, and (iii) shares of Serapha Common Stock and Serapha Pre-Funded Warrants issued in the Serapha Pre-Closing Financing are expected to represent approximately 58.1% of the fully-diluted capitalization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Shares of Boundless Bio Common Stock are currently listed on The Nasdaq Global Select Market under the symbol “BOLD.” Boundless Bio intends to file an initial listing application for the Combined Company with Nasdaq. After completion of the Merger, Boundless Bio will be renamed “Serapha Bio, Inc.” and it is expected that the Combined Company common stock will trade on Nasdaq under the symbol “AATD.” On     , 2026, the last trading day before the date of the accompanying proxy statement/prospectus, the closing sale price of Boundless Bio Common Stock was $     per share. Under the Merger Agreement, each of Boundless Bio’s and Serapha’s obligation to complete the Merger is subject to the satisfaction or waiver by each of the parties of various conditions, including that the shares of Boundless Bio Common Stock to be issued in the Merger have been approved for listing (subject to official notice of issuance) on Nasdaq as of the Closing. In the event that the shares of Boundless Bio Common Stock to be issued in the Merger are not approved for listing on Nasdaq, it is possible that Boundless Bio and Serapha may mutually agree to waive the applicable condition and nonetheless proceed with completion of the Merger. If such condition is waived, Boundless Bio will not recirculate an updated proxy statement/prospectus, nor will it solicit a new vote of stockholders prior to proceeding with the Merger. Accordingly, you are advised that Boundless Bio stockholders will not have certainty regarding the listing of the Combined Company’s shares at the time you are asked to vote at the special meeting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Boundless Bio stockholders are cordially invited to attend the special meeting of Boundless Bio stockholders. Boundless Bio is holding its special meeting of stockholders (the “Boundless Bio Special Meeting”) on     , 2026, at      Pacific Time, unless postponed or adjourned to a later date, in order to obtain the stockholder approvals necessary to complete the Merger and related matters. The Boundless Bio Special Meeting will be held entirely online via live audio webcast. Please visit </w:t>
      </w:r>
      <w:r>
        <w:rPr>
          <w:rFonts w:ascii="Times New Roman" w:hAnsi="Times New Roman"/>
          <w:i/>
          <w:sz w:val="20"/>
        </w:rPr>
        <w:t>www.proxydocs.com/BOLD</w:t>
      </w:r>
      <w:r>
        <w:rPr>
          <w:rFonts w:ascii="Times New Roman" w:hAnsi="Times New Roman"/>
          <w:sz w:val="20"/>
        </w:rPr>
        <w:t xml:space="preserve"> for more details. You may register to attend the meeting at </w:t>
      </w:r>
      <w:r>
        <w:rPr>
          <w:rFonts w:ascii="Times New Roman" w:hAnsi="Times New Roman"/>
          <w:i/>
          <w:sz w:val="20"/>
        </w:rPr>
        <w:t>www.proxydocs.com/BOLD</w:t>
      </w:r>
      <w:r>
        <w:rPr>
          <w:rFonts w:ascii="Times New Roman" w:hAnsi="Times New Roman"/>
          <w:sz w:val="20"/>
        </w:rPr>
        <w:t xml:space="preserve">. You will be able to vote online during the meeting. You will need the control number included on your proxy card or on the instructions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accompanied your proxy materials to attend the meeting. At the Boundless Bio Special Meeting, Boundless Bio will ask its stockholders to: </w:t>
      </w:r>
    </w:p>
    <w:p>
      <w:pPr>
        <w:pStyle w:val="TextBody"/>
        <w:bidi w:val="0"/>
        <w:spacing w:before="120" w:after="0"/>
        <w:jc w:val="left"/>
        <w:rPr>
          <w:rFonts w:ascii="Times New Roman" w:hAnsi="Times New Roman"/>
          <w:sz w:val="20"/>
        </w:rPr>
      </w:pPr>
      <w:r>
        <w:rPr>
          <w:rFonts w:ascii="Times New Roman" w:hAnsi="Times New Roman"/>
          <w:sz w:val="20"/>
        </w:rPr>
        <w:t xml:space="preserve">(1) Approve the issuance of shares of Boundless Bio Common Stock (including the shares of Boundless Bio Common Stock issuable upon exercise of the Assumed Warrants and Boundless Bio Pre-Funded Warrants) to stockholders of Serapha pursuant to the terms of the Merger Agreement, a copy of which is attached as </w:t>
      </w:r>
      <w:r>
        <w:rPr>
          <w:rFonts w:ascii="Times New Roman" w:hAnsi="Times New Roman"/>
          <w:i/>
          <w:sz w:val="20"/>
        </w:rPr>
        <w:t>Annex A</w:t>
      </w:r>
      <w:r>
        <w:rPr>
          <w:rFonts w:ascii="Times New Roman" w:hAnsi="Times New Roman"/>
          <w:sz w:val="20"/>
        </w:rPr>
        <w:t xml:space="preserve"> to the accompanying proxy statement/prospectus, pursuant to which, among other matters, Merger Sub will merge with and into Serapha, with Serapha surviving as a wholly owned subsidiary of Boundless Bio and the surviving corporation of the Merger, which will (i) represent more than 20% of the shares of Boundless Bio Common Stock outstanding immediately prior to the Merger under Nasdaq Listing Rule 5635(a), and (ii) result in a change of control under Nasdaq Listing Rule 5635(b) (the “Nasdaq Stock Issuance Proposal” or “Proposal No. 1”); </w:t>
      </w:r>
    </w:p>
    <w:p>
      <w:pPr>
        <w:pStyle w:val="TextBody"/>
        <w:bidi w:val="0"/>
        <w:spacing w:before="240" w:after="0"/>
        <w:jc w:val="left"/>
        <w:rPr>
          <w:rFonts w:ascii="Times New Roman" w:hAnsi="Times New Roman"/>
          <w:sz w:val="20"/>
        </w:rPr>
      </w:pPr>
      <w:r>
        <w:rPr>
          <w:rFonts w:ascii="Times New Roman" w:hAnsi="Times New Roman"/>
          <w:sz w:val="20"/>
        </w:rPr>
        <w:t xml:space="preserve">(2) Approve an amendment to the amended and restated certificate of incorporation of Boundless Bio (the “Boundless Bio Charter”) to effect a reverse stock split of Boundless Bio’s issued and outstanding common stock at a ratio determined by the board of directors of Boundless Bio (the “Boundless Bio Board of Directors”) and agreed to by Serapha, of one new share of Boundless Bio Common Stock for every    to    shares (or any number in between) of issued and outstanding Boundless Bio Common Stock, in the form attached as </w:t>
      </w:r>
      <w:r>
        <w:rPr>
          <w:rFonts w:ascii="Times New Roman" w:hAnsi="Times New Roman"/>
          <w:i/>
          <w:sz w:val="20"/>
        </w:rPr>
        <w:t>Annex B</w:t>
      </w:r>
      <w:r>
        <w:rPr>
          <w:rFonts w:ascii="Times New Roman" w:hAnsi="Times New Roman"/>
          <w:sz w:val="20"/>
        </w:rPr>
        <w:t xml:space="preserve"> to the accompanying proxy statement/prospectus (the “Nasdaq Reverse Split Proposal” or “Proposal No. 2”); </w:t>
      </w:r>
    </w:p>
    <w:p>
      <w:pPr>
        <w:pStyle w:val="TextBody"/>
        <w:bidi w:val="0"/>
        <w:spacing w:before="240" w:after="0"/>
        <w:jc w:val="left"/>
        <w:rPr>
          <w:rFonts w:ascii="Times New Roman" w:hAnsi="Times New Roman"/>
          <w:sz w:val="20"/>
        </w:rPr>
      </w:pPr>
      <w:r>
        <w:rPr>
          <w:rFonts w:ascii="Times New Roman" w:hAnsi="Times New Roman"/>
          <w:sz w:val="20"/>
        </w:rPr>
        <w:t xml:space="preserve">(3)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to the accompanying proxy statement/prospectus (the “Authorized Share Increase Proposal” or “Proposal No. 3”); </w:t>
      </w:r>
    </w:p>
    <w:p>
      <w:pPr>
        <w:pStyle w:val="TextBody"/>
        <w:bidi w:val="0"/>
        <w:spacing w:before="240" w:after="0"/>
        <w:jc w:val="left"/>
        <w:rPr>
          <w:rFonts w:ascii="Times New Roman" w:hAnsi="Times New Roman"/>
          <w:sz w:val="20"/>
        </w:rPr>
      </w:pPr>
      <w:r>
        <w:rPr>
          <w:rFonts w:ascii="Times New Roman" w:hAnsi="Times New Roman"/>
          <w:sz w:val="20"/>
        </w:rPr>
        <w:t xml:space="preserve">(4) Approve the Serapha Bio, Inc. 2026 Stock Incentive Plan (the “Stock Plan Proposal” or “Proposal No. 4”); </w:t>
      </w:r>
    </w:p>
    <w:p>
      <w:pPr>
        <w:pStyle w:val="TextBody"/>
        <w:bidi w:val="0"/>
        <w:spacing w:before="240" w:after="0"/>
        <w:jc w:val="left"/>
        <w:rPr>
          <w:rFonts w:ascii="Times New Roman" w:hAnsi="Times New Roman"/>
          <w:sz w:val="20"/>
        </w:rPr>
      </w:pPr>
      <w:r>
        <w:rPr>
          <w:rFonts w:ascii="Times New Roman" w:hAnsi="Times New Roman"/>
          <w:sz w:val="20"/>
        </w:rPr>
        <w:t xml:space="preserve">(5) Approve the Serapha Bio, Inc. 2026 Employee Stock Purchase Plan (the “ESPP Proposal” or “Proposal No. 5”); </w:t>
      </w:r>
    </w:p>
    <w:p>
      <w:pPr>
        <w:pStyle w:val="TextBody"/>
        <w:bidi w:val="0"/>
        <w:spacing w:before="240" w:after="0"/>
        <w:jc w:val="left"/>
        <w:rPr>
          <w:rFonts w:ascii="Times New Roman" w:hAnsi="Times New Roman"/>
          <w:sz w:val="20"/>
        </w:rPr>
      </w:pPr>
      <w:r>
        <w:rPr>
          <w:rFonts w:ascii="Times New Roman" w:hAnsi="Times New Roman"/>
          <w:sz w:val="20"/>
        </w:rPr>
        <w:t xml:space="preserve">(6) Approve an adjournment of the Boundless Bio Special Meeting, if necessary, to solicit additional proxies if there are not sufficient votes in favor of Proposal Nos. 1, 2 and 3 (the “Adjournment Proposal” or “Proposal No. 6”); and </w:t>
      </w:r>
    </w:p>
    <w:p>
      <w:pPr>
        <w:pStyle w:val="TextBody"/>
        <w:bidi w:val="0"/>
        <w:spacing w:before="240" w:after="0"/>
        <w:jc w:val="left"/>
        <w:rPr>
          <w:rFonts w:ascii="Times New Roman" w:hAnsi="Times New Roman"/>
          <w:sz w:val="20"/>
        </w:rPr>
      </w:pPr>
      <w:r>
        <w:rPr>
          <w:rFonts w:ascii="Times New Roman" w:hAnsi="Times New Roman"/>
          <w:sz w:val="20"/>
        </w:rPr>
        <w:t xml:space="preserve">(7) Transact such other business as may properly come before the stockholders at the Boundless Bio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Boundless Bio stockholders who in the aggregate beneficially owned approximately 1.7% of the outstanding shares of Boundless Bio Common Stock as of June 22, 2026, and certain Serapha stockholders who in the aggregate owned approximately 65% of the outstanding shares of Serapha Capital Stock as of June 22, 2026, are parties to stockholder support agreements with Boundless Bio and Serapha whereby such stockholders have agreed to vote in favor of the approval of the transactions contemplated therein, including, with respect to such Serapha stockholders, adoption of the Merger Agreement and approval of the Merger and, with respect to such Boundless Bio stockholders, Proposal Nos. 1 - 3, subject to the terms of the support agreements. Following the effectiveness of the registration statement on Form S-4 of which the accompanying proxy statement/prospectus is a part and pursuant to the Merger Agreement, Serapha stockholders holding a sufficient number of shares of Serapha Capital Stock to adopt the Merger Agreement and approve the Merger and related transactions will be asked to execute written consents providing for such adoption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prior to the Effective Time, the Boundless Bio Board of Directors expects to declare and set aside the aggregate cash amount to be paid in accordance with a pre-Closing special cash dividend (the “Boundless Bio Pre-Closing Dividend”) to holders of record of outstanding shares of Boundless Bio Common Stock as of a record date prior to the Effective Time, to be set by the Boundless Bio Board of Directors as close as reasonably practicable to (but not later than) the anticipated Closing. The ex-dividend date in respect of such Boundless Bio Pre-Closing Dividend will be determined by Nasdaq. Boundless Bio stockholders of record who continue to hold their eligible shares of Boundless Bio Common Stock until market open on the ex-dividend date will be entitled to payment of the Boundless Bio Pre-Closing Dividend. The Boundless Bio Pre-Closing Dividend will be equal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aggregate to Boundless Bio’s reasonable, good faith approximation of the amount by which Boundless Bio Net Cash (as determined pursuant to the Merger Agreement) is expected to exceed $0 as of the Closing. The aggregate amount of the Boundless Bio Pre-Closing Dividend is expected to be approximately $44 million to $48 million.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each of the Boundless Bio Board of Directors and the Serapha board of directors have approved the Merger Agreement and have determined that it is advisable to consummate the Merger. The Boundless Bio Board of Directors has approved the proposals described in the accompanying proxy statement/prospectus and recommends that its stockholders vote “FOR” the proposals described in the accompanying proxy statement/prospectus.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More information about Boundless Bio, Serapha, the Merger Agreement and transactions contemplated thereby and the foregoing proposals is contained in the accompanying proxy statement/prospectus. Boundless Bio urges you to read the accompanying proxy statement/prospectus carefully and in its entirety. IN PARTICULAR, YOU SHOULD CAREFULLY CONSIDER THE MATTERS DISCUSSED UNDER “</w:t>
      </w:r>
      <w:hyperlink w:anchor="tx108148_7">
        <w:r>
          <w:rPr>
            <w:rStyle w:val="InternetLink"/>
            <w:rFonts w:ascii="Times New Roman" w:hAnsi="Times New Roman"/>
            <w:b/>
            <w:sz w:val="20"/>
          </w:rPr>
          <w:t>RISK FACTORS</w:t>
        </w:r>
      </w:hyperlink>
      <w:r>
        <w:rPr>
          <w:rFonts w:ascii="Times New Roman" w:hAnsi="Times New Roman"/>
          <w:b/>
          <w:sz w:val="20"/>
        </w:rPr>
        <w:t xml:space="preserve">” BEGINNING ON PAGE 19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Serapha are excited about the opportunities the Merger brings to Boundless Bio’s and Serapha’s stockholders and thank you for your consideration and continued support. 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pPr>
            <w:r>
              <w:rPr/>
              <w:t>Jessica Oien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Kenneth Mills</w:t>
            </w:r>
          </w:p>
        </w:tc>
      </w:tr>
      <w:tr>
        <w:trPr/>
        <w:tc>
          <w:tcPr>
            <w:tcW w:w="5205" w:type="dxa"/>
            <w:tcBorders/>
            <w:vAlign w:val="bottom"/>
          </w:tcPr>
          <w:p>
            <w:pPr>
              <w:pStyle w:val="TableContents"/>
              <w:bidi w:val="0"/>
              <w:spacing w:before="0" w:after="283"/>
              <w:jc w:val="center"/>
              <w:rPr>
                <w:i/>
              </w:rPr>
            </w:pPr>
            <w:r>
              <w:rPr>
                <w:i/>
              </w:rPr>
              <w:t>President, Chief Legal Officer and Corporate Secretary</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i/>
              </w:rPr>
            </w:pPr>
            <w:r>
              <w:rPr>
                <w:i/>
              </w:rPr>
              <w:t>Chief Executive Officer</w:t>
            </w:r>
          </w:p>
        </w:tc>
      </w:tr>
      <w:tr>
        <w:trPr/>
        <w:tc>
          <w:tcPr>
            <w:tcW w:w="5205" w:type="dxa"/>
            <w:tcBorders/>
          </w:tcPr>
          <w:p>
            <w:pPr>
              <w:pStyle w:val="TableContents"/>
              <w:bidi w:val="0"/>
              <w:spacing w:before="0" w:after="283"/>
              <w:jc w:val="center"/>
              <w:rPr/>
            </w:pPr>
            <w:r>
              <w:rPr/>
              <w:t>Boundless Bio,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Serapha Bio, Inc.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accompanying proxy statement/prospectus is dated    , 2026, and is first being mailed to Boundless Bio’s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11099 North Torrey Pines Road, Suite 150 </w:t>
      </w:r>
    </w:p>
    <w:p>
      <w:pPr>
        <w:pStyle w:val="TextBody"/>
        <w:bidi w:val="0"/>
        <w:spacing w:before="0" w:after="0"/>
        <w:jc w:val="center"/>
        <w:rPr>
          <w:rFonts w:ascii="Times New Roman" w:hAnsi="Times New Roman"/>
          <w:b/>
          <w:sz w:val="20"/>
        </w:rPr>
      </w:pPr>
      <w:r>
        <w:rPr>
          <w:rFonts w:ascii="Times New Roman" w:hAnsi="Times New Roman"/>
          <w:b/>
          <w:sz w:val="20"/>
        </w:rPr>
        <w:t xml:space="preserve">La Jolla, CA 92037 </w:t>
      </w:r>
    </w:p>
    <w:p>
      <w:pPr>
        <w:pStyle w:val="TextBody"/>
        <w:bidi w:val="0"/>
        <w:spacing w:before="0" w:after="0"/>
        <w:jc w:val="center"/>
        <w:rPr>
          <w:rFonts w:ascii="Times New Roman" w:hAnsi="Times New Roman"/>
          <w:b/>
          <w:sz w:val="20"/>
        </w:rPr>
      </w:pPr>
      <w:r>
        <w:rPr>
          <w:rFonts w:ascii="Times New Roman" w:hAnsi="Times New Roman"/>
          <w:b/>
          <w:sz w:val="20"/>
        </w:rPr>
        <w:t xml:space="preserve">(858) 766-9912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BOUNDLESS BIO, INC.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Boundless Bio, Inc. (“Boundless Bio”): </w:t>
      </w:r>
    </w:p>
    <w:p>
      <w:pPr>
        <w:pStyle w:val="TextBody"/>
        <w:bidi w:val="0"/>
        <w:spacing w:before="12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a special meeting of stockholders (the “Boundless Bio Special Meeting”) will be held on    , 2026, at    Pacific Time, unless postponed or adjourned to a later date. The Boundless Bio Special Meeting will be held entirely online via live audio webcast. Please visit </w:t>
      </w:r>
      <w:r>
        <w:rPr>
          <w:rFonts w:ascii="Times New Roman" w:hAnsi="Times New Roman"/>
          <w:i/>
          <w:sz w:val="20"/>
        </w:rPr>
        <w:t>www.proxydocs.com/BOLD</w:t>
      </w:r>
      <w:r>
        <w:rPr>
          <w:rFonts w:ascii="Times New Roman" w:hAnsi="Times New Roman"/>
          <w:sz w:val="20"/>
        </w:rPr>
        <w:t xml:space="preserve"> for more details. You may register to attend the meeting at </w:t>
      </w:r>
      <w:r>
        <w:rPr>
          <w:rFonts w:ascii="Times New Roman" w:hAnsi="Times New Roman"/>
          <w:i/>
          <w:sz w:val="20"/>
        </w:rPr>
        <w:t>www.proxydocs.com/BOLD</w:t>
      </w:r>
      <w:r>
        <w:rPr>
          <w:rFonts w:ascii="Times New Roman" w:hAnsi="Times New Roman"/>
          <w:sz w:val="20"/>
        </w:rPr>
        <w:t xml:space="preserve">. You will be able to vote online during the meeting. You will need the control number included on your proxy card or on the instructions that accompanied your proxy materials to attend the meeting. </w:t>
      </w:r>
    </w:p>
    <w:p>
      <w:pPr>
        <w:pStyle w:val="TextBody"/>
        <w:bidi w:val="0"/>
        <w:spacing w:before="240" w:after="0"/>
        <w:jc w:val="left"/>
        <w:rPr>
          <w:rFonts w:ascii="Times New Roman" w:hAnsi="Times New Roman"/>
          <w:sz w:val="20"/>
        </w:rPr>
      </w:pPr>
      <w:r>
        <w:rPr>
          <w:rFonts w:ascii="Times New Roman" w:hAnsi="Times New Roman"/>
          <w:b/>
          <w:sz w:val="20"/>
        </w:rPr>
        <w:t>The Boundless Bio Special Meeting will be held for the following purposes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To approve the issuance of shares of common stock of Boundless Bio, par value $0.0001 per share (the “Boundless Bio Common Stock”), (including the shares of Boundless Bio Common Stock issuable upon exercise of Assumed Warrants and Boundless Bio Pre-Funded Warrants) to stockholders of Serapha Bio, Inc. (“Serapha”) pursuant to the terms of the Agreement and Plan of Merger and Reorganization, dated as of June 22, 2026, as amended by Amendment No. 1 to Agreement and Plan of Merger and Reorganization, dated as of August 28, 2026 (as amended, the “Merger Agreement”), by and among Boundless Bio, Serapha and Boulder Merger Sub Corp. (“Merger Sub”), a copy of which is attached as </w:t>
      </w:r>
      <w:r>
        <w:rPr>
          <w:rFonts w:ascii="Times New Roman" w:hAnsi="Times New Roman"/>
          <w:i/>
          <w:sz w:val="20"/>
        </w:rPr>
        <w:t>Annex A</w:t>
      </w:r>
      <w:r>
        <w:rPr>
          <w:rFonts w:ascii="Times New Roman" w:hAnsi="Times New Roman"/>
          <w:sz w:val="20"/>
        </w:rPr>
        <w:t xml:space="preserve">, pursuant to which, among other matters, Merger Sub will merge with and into Serapha, with Serapha surviving as a wholly owned subsidiary of Boundless Bio and the surviving corporation of the merger (the “Merger”), which will (i) represent more than 20% of the shares of Boundless Bio Common Stock outstanding immediately prior to the Merger under Nasdaq Listing Rule 5635(a), and (ii) result in a change of control under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(2) To approve an amendment to the amended and restated certificate of incorporation of Boundless Bio (the “Boundless Bio Charter”) to effect a reverse stock split of Boundless Bio’s issued and outstanding common stock at a ratio determined by the board of directors of Boundless Bio (“Boundless Bio Board of Directors”) and agreed to by Serapha, of one new share of Boundless Bio Common Stock for every    to    shares (or any number in between) of issued and outstanding Boundless Bio Common Stock, in the form attached as </w:t>
      </w:r>
      <w:r>
        <w:rPr>
          <w:rFonts w:ascii="Times New Roman" w:hAnsi="Times New Roman"/>
          <w:i/>
          <w:sz w:val="20"/>
        </w:rPr>
        <w:t>Annex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To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To approve the Serapha Bio, Inc. 2026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(5) To approve the Serapha Bio, Inc. 2026 Employee Stock Purchase Plan; </w:t>
      </w:r>
    </w:p>
    <w:p>
      <w:pPr>
        <w:pStyle w:val="TextBody"/>
        <w:bidi w:val="0"/>
        <w:spacing w:before="240" w:after="0"/>
        <w:jc w:val="left"/>
        <w:rPr>
          <w:rFonts w:ascii="Times New Roman" w:hAnsi="Times New Roman"/>
          <w:sz w:val="20"/>
        </w:rPr>
      </w:pPr>
      <w:r>
        <w:rPr>
          <w:rFonts w:ascii="Times New Roman" w:hAnsi="Times New Roman"/>
          <w:sz w:val="20"/>
        </w:rPr>
        <w:t xml:space="preserve">(6) To approve an adjournment of the Boundless Bio Special Meeting, if necessary, to solicit additional proxies if there are not sufficient votes in favor of Proposal Nos. 1, 2 and 3; and </w:t>
      </w:r>
    </w:p>
    <w:p>
      <w:pPr>
        <w:pStyle w:val="TextBody"/>
        <w:bidi w:val="0"/>
        <w:spacing w:before="240" w:after="0"/>
        <w:jc w:val="left"/>
        <w:rPr>
          <w:rFonts w:ascii="Times New Roman" w:hAnsi="Times New Roman"/>
          <w:sz w:val="20"/>
        </w:rPr>
      </w:pPr>
      <w:r>
        <w:rPr>
          <w:rFonts w:ascii="Times New Roman" w:hAnsi="Times New Roman"/>
          <w:sz w:val="20"/>
        </w:rPr>
        <w:t xml:space="preserve">(7) To transact such other business as may properly come before the stockholders at the Boundless Bio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b/>
          <w:sz w:val="20"/>
        </w:rPr>
        <w:t>Record Date</w:t>
      </w:r>
      <w:r>
        <w:rPr>
          <w:rFonts w:ascii="Times New Roman" w:hAnsi="Times New Roman"/>
          <w:sz w:val="20"/>
        </w:rPr>
        <w:t xml:space="preserve">: The Boundless Bio Board of Directors has fixed    , 2026 as the record date for the determination of stockholders entitled to notice of, and to vote at, the Boundless Bio Special Meeting and any adjournment or postponement thereof. Only holders of record of shares of Boundless Bio Common Stock at the close of business on the record date are entitled to notice of, and to vote at, the Boundless Bio Special Meeting. At the close of business on the record date, Boundless Bio had    shares of Boundless Bio Common Stock outstanding and entitled to vote.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for and against by the holders of Boundless Bio Common Stock at the Boundless Bio Special Meeting, assuming a quorum is present, is required for approval of Proposal Nos. 1, 2, 3, 4, 5 and 6. Approval of each of Proposal No. 1, Proposal No. 2 and Proposal No. 3 is a condition to the completion of the Merger. Therefore, the Merger cannot be consummated without the approval of Proposal Nos. 1, 2 and 3. The approval of Proposal Nos. 4 and 5 are not conditions to the completion of the Merger, however, each of these proposals are conditioned upon the consummation of the Merger and will not be implemented if the Merger is not consummated. Approval of Proposal No. 6 is requested whether or not the Merger is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attend the Boundless Bio Special Meeting, Boundless Bio requests that you sign and return the enclosed proxy or vote by mail or online to ensure that your shares will be represented at the Boundless Bio Special Meeting if you are unable to attend. You may change or revoke your proxy at any time before it is voted at the Boundless Bio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BOUNDLESS BIO’S BOARD OF DIRECTORS HAS DETERMINED AND BELIEVES THAT EACH OF THE PROPOSALS OUTLINED ABOVE IS FAIR TO, IN THE BEST INTERESTS OF, AND ADVISABLE TO BOUNDLESS BIO AND ITS STOCKHOLDERS AND HAS APPROVED EACH SUCH PROPOSAL. BOUNDLESS BIO’S BOARD OF DIRECTORS RECOMMENDS THAT BOUNDLESS BIO STOCKHOLDERS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 2026 at    Pacific Time.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in connection with the special meeting is available at </w:t>
      </w:r>
      <w:r>
        <w:rPr>
          <w:rFonts w:ascii="Times New Roman" w:hAnsi="Times New Roman"/>
          <w:i/>
          <w:sz w:val="20"/>
        </w:rPr>
        <w:t>www.proxydocs.com/BOLD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Boundless Bio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Jessica Oien </w:t>
      </w:r>
    </w:p>
    <w:p>
      <w:pPr>
        <w:pStyle w:val="TextBody"/>
        <w:bidi w:val="0"/>
        <w:spacing w:before="0" w:after="0"/>
        <w:jc w:val="left"/>
        <w:rPr>
          <w:rFonts w:ascii="Times New Roman" w:hAnsi="Times New Roman"/>
          <w:sz w:val="20"/>
        </w:rPr>
      </w:pPr>
      <w:r>
        <w:rPr>
          <w:rFonts w:ascii="Times New Roman" w:hAnsi="Times New Roman"/>
          <w:sz w:val="20"/>
        </w:rPr>
        <w:t xml:space="preserve">President, Chief Legal Officer and Corporate Secretary </w:t>
      </w:r>
    </w:p>
    <w:p>
      <w:pPr>
        <w:pStyle w:val="TextBody"/>
        <w:bidi w:val="0"/>
        <w:spacing w:before="0" w:after="0"/>
        <w:jc w:val="left"/>
        <w:rPr/>
      </w:pPr>
      <w:r>
        <w:rPr/>
        <w:t>    </w:t>
      </w:r>
      <w:r>
        <w:rPr>
          <w:rFonts w:ascii="Times New Roman" w:hAnsi="Times New Roman"/>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CERTAIN DEFINED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used throughout this proxy statement/prospectus. Unless stated otherwise, the terms set forth below, whenever used in this proxy statement/prospectus, have the following meanings: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2026 ESPP” means the Serapha Bio, Inc. 2026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2026 Stock Plan” means the Serapha Bio, Inc. 2026 Stock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Assumed Option” means each Serapha Option that is converted at the Effective Time into an option to purchase shares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Assumed RSU” means each Serapha RSU that is converted at the Effective Time into a restricted stock unit award covering shares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Assumed Warrant” means each Serapha Warrant that is converted at the Effective Time into a warrant to purchase shares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Authorized Share Increase Proposal” means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Beneficial Ownership Limitation” means, with respect to each holder of Serapha Capital Stock, the percentage of the shares of Boundless Bio Common Stock outstanding immediately after giving effect to the issuance of the Merger Consideration that such holder designates in writing to Boundless Bio and Serapha at least 10 business days prior to the Closing, which may be any percentage between 0% and 19.99%, or, if such holder does not make such a designation, 9.99%.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Boundless Bio” means Boundless Bio,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2018 Plan” means Boundless Bio’s 2018 Equity Incentive Plan,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2024 Plan” means Boundless Bio’s 2024 Incentive Award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Board of Directors” means the board of directors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Bylaws” means the amended and restated bylaws of Boundless Bio, as amended, restated, supplemented or corrected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Boundless Bio Cancelled Option” means each Boundless Bio Option with a per share exercise price greater than $8.00 (determined prior to any equitable adjustment to reflect the Boundless Bio Pre-Closing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Capital Stock” means Boundless Bio Common Stock and Boundless Bio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Charter” means the amended and restated certificate of incorporation of Boundless Bio, as amended, restated, supplemented or corrected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Charter Amendments” means, collectively, the amendments of the Boundless Bio Charter to (i) change the name of the Combined Company to Serapha Bio, Inc., (ii) effect the Nasdaq Reverse Split (to the extent applicable and necessary), in the form attached to the proxy statement/prospectus as </w:t>
            </w:r>
            <w:r>
              <w:rPr>
                <w:rFonts w:ascii="Times New Roman" w:hAnsi="Times New Roman"/>
                <w:i/>
                <w:sz w:val="20"/>
              </w:rPr>
              <w:t>Annex B</w:t>
            </w:r>
            <w:r>
              <w:rPr>
                <w:rFonts w:ascii="Times New Roman" w:hAnsi="Times New Roman"/>
                <w:sz w:val="20"/>
              </w:rPr>
              <w:t xml:space="preserve">, (iii) increase the number of shares of Boundless Bio Common Stock as described in the Authorized Share Increase Proposal, in the form attached to the proxy statement/prospectus as </w:t>
            </w:r>
            <w:r>
              <w:rPr>
                <w:rFonts w:ascii="Times New Roman" w:hAnsi="Times New Roman"/>
                <w:i/>
                <w:sz w:val="20"/>
              </w:rPr>
              <w:t>Annex C</w:t>
            </w:r>
            <w:r>
              <w:rPr>
                <w:rFonts w:ascii="Times New Roman" w:hAnsi="Times New Roman"/>
                <w:sz w:val="20"/>
              </w:rPr>
              <w:t xml:space="preserve">, and (iv) make such other changes as are mutually agreeable to Boundless Bio and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Common Stock” means the common stock, par value $0.0001 per share,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Boundless Bio Continuing Option” means each Boundless Bio Option outstanding immediately prior to the Effective Time that is not a Boundless Bio Cancelled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ESPP” means Boundless Bio’s 2024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Boundless Bio Legacy Transaction” means the sale, license, transfer, disposition, divestiture or other monetization transaction or winding down of Boundless Bio’s legacy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Boundless Bio Net Cash” means Boundless Bio’s net cash, calculated as of the Cash Determination Time in accordance with the formula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Option” means each option or other right to purchase shares of Boundless Bio Common Stock granted by Boundless Bio, including pursuant to any Boundless Bio Stock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Preferred Stock” means the shares of Boundless Bio’s capital stock designated as preferred stock, par value $0.0001 per share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Pre-Closing Dividend” means the pre-closing cash dividend that Boundless Bio may declare to holders of Boundless Bio Common Stock prior to the Effective Time, in an amount tied to Boundless Bio Net Cash, as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Pre-Funded Warrant” means each pre-funded warrant to purchase shares of Boundless Bio Common Stock issued as part of the Merger Consideration to a holder of Serapha Capital Stock in lieu of shares of Boundless Bio Common Stock that would otherwise be issued in excess of such holder’s Beneficial Ownership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Boundless Bio Special Meeting” means the special meeting of the holders of Boundless Bio Common Stock to consider and vote upon the Boundless Bio Stockholder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Stock Plans” means the Boundless Bio 2024 Plan, the Boundless Bio 2018 Plan and the Boundless Bio ESPP, in each case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Stockholder Matters” means (i) the issuance of shares of Boundless Bio Common Stock representing (or convertible into) more than 20% of the shares of Boundless Bio Common Stock outstanding immediately prior to the Effective Time to the Serapha stockholders in connection with the Contemplated Transactions and the change of control of Boundless Bio resulting from the Contemplated Transactions, in each case pursuant to the Nasdaq rules, and (ii) the Nasdaq Reverse Split and the increase in authorized shares contemplated by the Boundless Bio Charter Amendments.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Boundless Bio Support Agreements” means the support agreements entered into by certain stockholders of Boundless Bio in connection with the Merger Agreement, pursuant to which such stockholders agreed to vote their shares in favor of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Cash Determination Time” means 11:59 p.m. on the business day prior to the anticipated Closing Date, as agreed upon by Boundless Bio and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Certificate of Merger” means the certificate of merger with respect to the Merger to be filed with the Secretary of State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Closing Date” means the date on which the Closing actually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Code” means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Combined Company” means Boundless Bio, together with its subsidiaries (including the Surviving Corporation), following the Effective Time; in connection with the Merger, Boundless Bio will change its name to Serapha Bio,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Contemplated Transactions” means the Merger, the Constructive Issuance (as defined in the Merger Agreement) and the other transactions contemplated by the Merger Agreement (other than any Boundless Bio Legacy Transaction and the Boundless Bio Charter Amendments), the Serapha Pre-Closing Financing and the Nasdaq Reverse Split (to the extent applicable and deemed necessary by Boundless Bio and Serapha).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DGCL” means the General Corporation Law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Effective Time” means the date and time the Merger becomes effective, being the time of the filing of the Certificate of Merger with the Secretary of State of the State of Delaware (or such later time as may be specified in the Certificate of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ERISA” means the Employee Retirement Income Security Act of 1974,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Act”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Ratio” means the ratio (rounded to four decimal places) equal to the quotient obtained by dividing (i) the Serapha Merger Shares by (ii) the Serapha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GAAP” means generally accepted accounting principles as applied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HSR Act” means the Hart-Scott-Rodino Antitrust Improvements Act of 1976,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Lock-Up Agreements” means the lock-up agreements to be entered into by certain executive officers and directors of Serapha, pursuant to which such persons will be subject to certain restrictions on transfers of shares of Boundless Bio Common Stock for the 180-day period following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Merger” means the merger of Merger Sub with and into Serapha, with Serapha surviving the Merger as a wholly owned subsidiary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Merger Agreement” means the Agreement and Plan of Merger and Reorganization, dated as of June 22, 2026, as amended by Amendment No. 1 to Agreement and Plan of Merger and Reorganization, dated as of August 28, 2026, by and among Boundless Bio, Merger Sub and Serapha, as it may be amended from time to time, a copy of which is attached as </w:t>
            </w:r>
            <w:r>
              <w:rPr>
                <w:rFonts w:ascii="Times New Roman" w:hAnsi="Times New Roman"/>
                <w:i/>
                <w:sz w:val="20"/>
              </w:rPr>
              <w:t>Annex A</w:t>
            </w:r>
            <w:r>
              <w:rPr>
                <w:rFonts w:ascii="Times New Roman" w:hAnsi="Times New Roman"/>
                <w:sz w:val="20"/>
              </w:rPr>
              <w:t xml:space="preserve"> to this proxy statement/prospectus and is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Consideration” means, for each share of Serapha Capital Stock outstanding immediately prior to the Effective Time (excluding shares to be canceled pursuant to the Merger Agreement), the right to receive a number of shares of Boundless Bio Common Stock equal to the Exchange Ratio and, to the extent the shares of Boundless Bio Common Stock that would otherwise be issued to such holder would exceed such holder’s Beneficial Ownership Limitation, Boundless Bio Pre-Funded Warrants to purchase a number of shares of Boundless Bio Common Stock equal to such holder’s Remaining Entitlement.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Merger Sub” means Boulder Merger Sub Corp., a Delaware corporation and a direct wholly owned subsidiary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Stock Market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Nasdaq Reverse Split” means the reverse stock split of the outstanding Boundless Bio Common Stock contemplated by the Boundless Bio Charter Amendments, if effected.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Record Date” means the record date for the Boundless Bio Special Meeting, which is the close of business on    ,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Registration Rights Agreement” means the registration rights agreement to be entered into by Serapha and the purchasers of securities in the Serapha Pre-Closing Financing, providing for registration and resale rights with respect to shares of Boundless Bio Common Stock issuable in exchange for such securities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Remaining Entitlement” means, with respect to each holder of Serapha Capital Stock, the number of shares of Boundless Bio Common Stock that would otherwise be issued to such holder at the Effective Time in excess of such holder’s Beneficial Ownership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Required Boundless Bio Stockholder Vote” means the applicable affirmative vote of the holders of Boundless Bio Common Stock required under applicable law and the Nasdaq rules to approve the Boundless Bio Stockholder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Required Serapha Stockholder Vote” means the affirmative vote (or written consent) of (i) the holders of a majority of the shares of Serapha Capital Stock outstanding on the record date, voting as a single class on an as-converted basis, and (ii) the holders of a majority of the shares of Serapha Series A Preferred Stock outstanding on the record date and entitled to vote thereon, voting as a separate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Rule 144” means Rule 144 promulgated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Section 262” means Section 262 of the DGCL, relating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Securities Act” means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Securities Purchase Agreement” means the Securities Purchase Agreement, dated as of June 22, 2026, by and among Serapha and the investors named therein, pursuant to which such investors agreed to purchase shares of Serapha Capital Stock in the Serapha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Series A Financing” means the private placement of Serapha Series A Preferred Stock pursuant to the Series A Preferred Stock Purchase Agreement entered into by Serapha concurrently with, or prior to, the execution of the Merger Agreement, for aggregate gross proceeds of approximately $138,000,000.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Series A Financing Agreement” means that certain Series A Preferred Stock Purchase Agreement entered into by Serapha concurrently with, or prior to, the execution of the Merger Agreement, pursuant to which Serapha issued shares of Serapha Series A Preferred Stock in the Series A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Serapha” means Serapha Bio,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Board of Directors” means the board of directors of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Bylaws” means the bylaws of Serapha, as amended, restated, supplemented or corrected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Capital Stock” means the Serapha Common Stock and the Serapha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Charter” means the certificate of incorporation of Serapha, as amended, restated, supplemented or corrected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Common Stock” means the common stock, par value $0.00001 per share, of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Employee Plan” means any employee plan that Serapha or any of its subsidiaries (i) sponsors, maintains, administers, or contributes to, (ii) may reasonably be expected to have any liability under, or (iii) utilizes to provide benefits to or otherwise cover any current or former employee, officer, director or other service provider of Serapha or any of its subsidiaries (or their spouses, dependents, or beneficiaries), but excluding any employee plan in which Serapha or any of its subsidiaries participates that is sponsored by any professional employer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Equity Incentive Plan” means the Serapha Bio, Inc. 2026 Equity Incentive Plan, as amended and/or restated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Serapha Option” means each option or other right to purchase shares of Serapha Capital Stock issued by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RSU” means each restricted stock unit award covering shares of Serapha Capital Stock issued by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Serapha Pre-Closing Financing” means, collectively, (i) the private placement of shares of Serapha Capital Stock and Serapha Pre-Funded Warrants pursuant to the Securities Purchase Agreement entered into concurrently with the Merger Agreement and (ii) the Series A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Pre-Funded Warrants” means the pre-funded warrants to purchase shares of Serapha Capital Stock issued by Serapha.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Preferred Stock” means the shares of Serapha’s capital stock designated as preferred stock, including the Serapha Series A Preferred Stock and the Serapha Series A-1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Series A Preferred Stock” means a series of Serapha’s preferred stock designated as Series A Preferred Stock, $0.00001 par value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Series A-1 Preferred Stock” means a series of Serapha’s preferred stock designated as Series A-1 Preferred Stock, $0.00001 par value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Stockholder Written Consents” means the written consents of Serapha stockholders, executed following effectiveness of the Registration Statement, adopting and approving the Merger Agreement and the Contemplated Transactions and constituting the Required Serapha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Support Agreements” means the support agreements entered into by certain stockholders of Serapha in connection with the Merger Agreement, pursuant to which such stockholders agreed to vote their shares in favor of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Serapha Warrant” means each warrant to purchase shares of Serapha Capital Stock issued by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Surviving Corporation” means Serapha, as the surviving corporation of the Merger and a wholly owned subsidiary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YolTech” means YolTech Therapeutics Co., Ltd., a company incorporated under the laws of the People’s Republic of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YolTech License Agreement” means that certain Exclusive License Agreement, dated June 12, 2026, by and between Serapha and YolTech, as amended or modified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YolTech Warrant” means that certain Serapha Warrant, dated as of June 12, 2026, issued to YolTech in connection with the YolTech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x108148_1"/>
      <w:bookmarkEnd w:id="2"/>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The issuances of (i) all shares of Boundless Bio Common Stock and Boundless Bio Pre-Funded Warrants, as applicable, in exchange for shares of Serapha Capital Stock (including shares of Serapha Common Stock issued in the Serapha Pre-Closing Financing), (ii) all shares of Boundless Bio Common Stock issuable upon exercise of Boundless Bio Pre-Funded Warrants, (iii) all shares of Boundless Bio Common Stock issuable upon exercise of Assumed Warrants issued in exchange for Serapha Warrants and/or Serapha Pre-Funded Warrants sold in the Serapha Pre-Closing Financing, as applicable, (iv) all Assumed Warrants issued in exchange for Serapha Warrants and Serapha Pre-Funded Warrants, (v) all shares of Boundless Bio Common Stock issuable upon settlement of Assumed RSUs issued in exchange for Serapha RSUs, (vi) all Assumed RSUs issued in exchange for Serapha RSUs, (vii) all Assumed Options issued in exchange for options to purchase shares of Serapha Common Stock, and (viii) all shares of Boundless Bio Common Stock issuable upon exercise of Assumed Options issued in exchange for options to purchase shares of Serapha Common Stock are intended to be covered by this registration statement on Form S-4 of which this proxy statement/prospectus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There is no difference between (A) the shares of Boundless Bio Common Stock that will be issued in exchange for shares of Serapha Common Stock issued in the Serapha Pre-Closing Financing, (B) the shares of Boundless Bio Common Stock or Boundless Bio Pre-Funded Warrants, as applicable, that will be issued in exchange for other shares of Serapha Capital Stock, (C) the shares of Boundless Bio Common Stock that will be issuable upon exercise of the Boundless Bio Pre-Funded Warrants, (D) the shares of Boundless Bio Common Stock that will be issuable upon the exercise of Assumed Warrants that will be issued in exchange for Serapha Warrants and/or Serapha Pre-Funded Warrants sold in the Serapha Pre-Closing Financing, as applicable, (E) the Assumed Warrants that will be issued in exchange for Serapha Warrants and Serapha Pre-Funded Warrants, (F) the shares of Boundless Bio Common Stock that will be issuable upon the settlement of Assumed RSUs that will be issued in exchange for Serapha RSUs, (G) the Assumed RSUs that will be issued in exchange for Serapha RSUs and (H) the shares of Boundless Bio Common Stock issuable upon exercise of the Assumed Options that will be issued in exchange for options to purchase shares of Serapha Common Stock. </w:t>
      </w:r>
    </w:p>
    <w:p>
      <w:pPr>
        <w:pStyle w:val="TextBody"/>
        <w:bidi w:val="0"/>
        <w:spacing w:before="480" w:after="0"/>
        <w:jc w:val="center"/>
        <w:rPr>
          <w:rFonts w:ascii="Times New Roman" w:hAnsi="Times New Roman"/>
          <w:b/>
          <w:sz w:val="20"/>
        </w:rPr>
      </w:pPr>
      <w:bookmarkStart w:id="3" w:name="tx108148_2"/>
      <w:bookmarkEnd w:id="3"/>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Boundless Bio that is not included in or delivered with this document. You may obtain this information without charge through the SEC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Boundless Bio by calling (858) 766-9912 or via email to legal@boundlessbio.com.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these documents, any request should be made no later than    , 2026 to receive them before the Boundless Bio Special Meeting.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Boundless Bio, please see the section titled “</w:t>
      </w:r>
      <w:r>
        <w:rPr>
          <w:rFonts w:ascii="Times New Roman" w:hAnsi="Times New Roman"/>
          <w:i/>
          <w:sz w:val="20"/>
        </w:rPr>
        <w:t>Where You Can Find More Information</w:t>
      </w:r>
      <w:r>
        <w:rPr>
          <w:rFonts w:ascii="Times New Roman" w:hAnsi="Times New Roman"/>
          <w:sz w:val="20"/>
        </w:rPr>
        <w:t xml:space="preserve">” beginning on page 392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08148_3"/>
      <w:bookmarkEnd w:id="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vAlign w:val="bottom"/>
          </w:tcPr>
          <w:p>
            <w:pPr>
              <w:pStyle w:val="TableContents"/>
              <w:bidi w:val="0"/>
              <w:spacing w:before="0" w:after="0"/>
              <w:jc w:val="left"/>
              <w:rPr/>
            </w:pPr>
            <w:hyperlink w:anchor="tx108148_1">
              <w:r>
                <w:rPr>
                  <w:rStyle w:val="InternetLink"/>
                  <w:rFonts w:ascii="Times New Roman" w:hAnsi="Times New Roman"/>
                  <w:sz w:val="20"/>
                </w:rPr>
                <w:t>EXPLANATORY NOTE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
              <w:r>
                <w:rPr>
                  <w:rStyle w:val="InternetLink"/>
                  <w:rFonts w:ascii="Times New Roman" w:hAnsi="Times New Roman"/>
                  <w:sz w:val="20"/>
                </w:rPr>
                <w:t>REFERENCES TO ADDITIONAL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
              <w:r>
                <w:rPr>
                  <w:rStyle w:val="InternetLink"/>
                  <w:rFonts w:ascii="Times New Roman" w:hAnsi="Times New Roman"/>
                  <w:sz w:val="20"/>
                </w:rPr>
                <w:t>TABLE OF CONTENTS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vii</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4">
              <w:r>
                <w:rPr>
                  <w:rStyle w:val="InternetLink"/>
                  <w:rFonts w:ascii="Times New Roman" w:hAnsi="Times New Roman"/>
                  <w:sz w:val="20"/>
                </w:rPr>
                <w:t>QUESTIONS AND ANSWERS ABOUT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ix</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5">
              <w:r>
                <w:rPr>
                  <w:rStyle w:val="InternetLink"/>
                  <w:rFonts w:ascii="Times New Roman" w:hAnsi="Times New Roman"/>
                  <w:sz w:val="20"/>
                </w:rPr>
                <w:t>PROSPECTUS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6">
              <w:r>
                <w:rPr>
                  <w:rStyle w:val="InternetLink"/>
                  <w:rFonts w:ascii="Times New Roman" w:hAnsi="Times New Roman"/>
                  <w:sz w:val="20"/>
                </w:rPr>
                <w:t>MARKET PRICE AND DIVIDEND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7">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8">
              <w:r>
                <w:rPr>
                  <w:rStyle w:val="InternetLink"/>
                  <w:rFonts w:ascii="Times New Roman" w:hAnsi="Times New Roman"/>
                  <w:sz w:val="20"/>
                </w:rPr>
                <w:t>CAUTIONARY NOTE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9">
              <w:r>
                <w:rPr>
                  <w:rStyle w:val="InternetLink"/>
                  <w:rFonts w:ascii="Times New Roman" w:hAnsi="Times New Roman"/>
                  <w:sz w:val="20"/>
                </w:rPr>
                <w:t>THE SPECIAL MEETING OF BOUNDLESS BIO STOCKHOLDERS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0">
              <w:r>
                <w:rPr>
                  <w:rStyle w:val="InternetLink"/>
                  <w:rFonts w:ascii="Times New Roman" w:hAnsi="Times New Roman"/>
                  <w:sz w:val="20"/>
                </w:rPr>
                <w:t>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1">
              <w:r>
                <w:rPr>
                  <w:rStyle w:val="InternetLink"/>
                  <w:rFonts w:ascii="Times New Roman" w:hAnsi="Times New Roman"/>
                  <w:sz w:val="20"/>
                </w:rPr>
                <w:t>THE MERGER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2">
              <w:r>
                <w:rPr>
                  <w:rStyle w:val="InternetLink"/>
                  <w:rFonts w:ascii="Times New Roman" w:hAnsi="Times New Roman"/>
                  <w:sz w:val="20"/>
                </w:rPr>
                <w:t>AGREEMENTS RELATED TO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212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3">
              <w:r>
                <w:rPr>
                  <w:rStyle w:val="InternetLink"/>
                  <w:rFonts w:ascii="Times New Roman" w:hAnsi="Times New Roman"/>
                  <w:sz w:val="20"/>
                </w:rPr>
                <w:t>BOUNDLESS BIO EXECUTIVE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216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4">
              <w:r>
                <w:rPr>
                  <w:rStyle w:val="InternetLink"/>
                  <w:rFonts w:ascii="Times New Roman" w:hAnsi="Times New Roman"/>
                  <w:sz w:val="20"/>
                </w:rPr>
                <w:t>BOUNDLESS BIO NON-EMPLOYEE DIRECTOR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5">
              <w:r>
                <w:rPr>
                  <w:rStyle w:val="InternetLink"/>
                  <w:rFonts w:ascii="Times New Roman" w:hAnsi="Times New Roman"/>
                  <w:sz w:val="20"/>
                </w:rPr>
                <w:t>BOUNDLESS BIO EQUITY COMPENSATION PLAN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6">
              <w:r>
                <w:rPr>
                  <w:rStyle w:val="InternetLink"/>
                  <w:rFonts w:ascii="Times New Roman" w:hAnsi="Times New Roman"/>
                  <w:sz w:val="20"/>
                </w:rPr>
                <w:t>SERAPHA EXECUTIVE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7">
              <w:r>
                <w:rPr>
                  <w:rStyle w:val="InternetLink"/>
                  <w:rFonts w:ascii="Times New Roman" w:hAnsi="Times New Roman"/>
                  <w:sz w:val="20"/>
                </w:rPr>
                <w:t>SERAPHA DIRECTOR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8">
              <w:r>
                <w:rPr>
                  <w:rStyle w:val="InternetLink"/>
                  <w:rFonts w:ascii="Times New Roman" w:hAnsi="Times New Roman"/>
                  <w:sz w:val="20"/>
                </w:rPr>
                <w:t>MATTERS BEING SUBMITTED TO A VOTE OF BOUNDLESS BIO STOCKHOLDERS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19">
              <w:r>
                <w:rPr>
                  <w:rStyle w:val="InternetLink"/>
                  <w:rFonts w:ascii="Times New Roman" w:hAnsi="Times New Roman"/>
                  <w:sz w:val="20"/>
                </w:rPr>
                <w:t>PROPOSAL NO. 1 - THE NASDAQ STOCK ISSUANCE PROPOSAL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0">
              <w:r>
                <w:rPr>
                  <w:rStyle w:val="InternetLink"/>
                  <w:rFonts w:ascii="Times New Roman" w:hAnsi="Times New Roman"/>
                  <w:sz w:val="20"/>
                </w:rPr>
                <w:t>PROPOSAL NO. 2 - THE NASDAQ REVERSE SPLIT PROPOSAL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1">
              <w:r>
                <w:rPr>
                  <w:rStyle w:val="InternetLink"/>
                  <w:rFonts w:ascii="Times New Roman" w:hAnsi="Times New Roman"/>
                  <w:sz w:val="20"/>
                </w:rPr>
                <w:t>PROPOSAL NO. 3 - THE AUTHORIZED SHARE INCREASE PROPOSAL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240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2">
              <w:r>
                <w:rPr>
                  <w:rStyle w:val="InternetLink"/>
                  <w:rFonts w:ascii="Times New Roman" w:hAnsi="Times New Roman"/>
                  <w:sz w:val="20"/>
                </w:rPr>
                <w:t>PROPOSAL NO. 4 - THE STOCK PLAN PROPOSAL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243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3">
              <w:r>
                <w:rPr>
                  <w:rStyle w:val="InternetLink"/>
                  <w:rFonts w:ascii="Times New Roman" w:hAnsi="Times New Roman"/>
                  <w:sz w:val="20"/>
                </w:rPr>
                <w:t>PROPOSAL NO. 5 - THE ESPP PROPOSAL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249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4">
              <w:r>
                <w:rPr>
                  <w:rStyle w:val="InternetLink"/>
                  <w:rFonts w:ascii="Times New Roman" w:hAnsi="Times New Roman"/>
                  <w:sz w:val="20"/>
                </w:rPr>
                <w:t>PROPOSAL NO. 6 - THE ADJOURNMENT PROPOSAL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254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5">
              <w:r>
                <w:rPr>
                  <w:rStyle w:val="InternetLink"/>
                  <w:rFonts w:ascii="Times New Roman" w:hAnsi="Times New Roman"/>
                  <w:sz w:val="20"/>
                </w:rPr>
                <w:t>BOUNDLESS BIO’S 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255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6">
              <w:r>
                <w:rPr>
                  <w:rStyle w:val="InternetLink"/>
                  <w:rFonts w:ascii="Times New Roman" w:hAnsi="Times New Roman"/>
                  <w:sz w:val="20"/>
                </w:rPr>
                <w:t>SERAPHA’S 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274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7">
              <w:r>
                <w:rPr>
                  <w:rStyle w:val="InternetLink"/>
                  <w:rFonts w:ascii="Times New Roman" w:hAnsi="Times New Roman"/>
                  <w:sz w:val="20"/>
                </w:rPr>
                <w:t>BOUNDLESS BIO 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309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8">
              <w:r>
                <w:rPr>
                  <w:rStyle w:val="InternetLink"/>
                  <w:rFonts w:ascii="Times New Roman" w:hAnsi="Times New Roman"/>
                  <w:sz w:val="20"/>
                </w:rPr>
                <w:t>QUANTITATIVE AND QUALITATIVE DISCLOSURES ABOUT THE MARKET RISK OF BOUNDLESS BIO</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329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29">
              <w:r>
                <w:rPr>
                  <w:rStyle w:val="InternetLink"/>
                  <w:rFonts w:ascii="Times New Roman" w:hAnsi="Times New Roman"/>
                  <w:sz w:val="20"/>
                </w:rPr>
                <w:t>SERAPHA 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330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0">
              <w:r>
                <w:rPr>
                  <w:rStyle w:val="InternetLink"/>
                  <w:rFonts w:ascii="Times New Roman" w:hAnsi="Times New Roman"/>
                  <w:sz w:val="20"/>
                </w:rPr>
                <w:t>MANAGEMENT FOLLOWING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344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1">
              <w:r>
                <w:rPr>
                  <w:rStyle w:val="InternetLink"/>
                  <w:rFonts w:ascii="Times New Roman" w:hAnsi="Times New Roman"/>
                  <w:sz w:val="20"/>
                </w:rPr>
                <w:t>CERTAIN RELATIONSHIPS AND RELATED PARTY TRANSACTIONS OF THE COMBINED COMPANY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348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2">
              <w:r>
                <w:rPr>
                  <w:rStyle w:val="InternetLink"/>
                  <w:rFonts w:ascii="Times New Roman" w:hAnsi="Times New Roman"/>
                  <w:sz w:val="20"/>
                </w:rPr>
                <w:t>UNAUDITED PRO FORMA CONDENSED COMBINED FINANCIAL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352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3">
              <w:r>
                <w:rPr>
                  <w:rStyle w:val="InternetLink"/>
                  <w:rFonts w:ascii="Times New Roman" w:hAnsi="Times New Roman"/>
                  <w:sz w:val="20"/>
                </w:rPr>
                <w:t>NOTES TO UNAUDITED PRO FORMA CONDENSED COMBINED FINANCIAL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358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4">
              <w:r>
                <w:rPr>
                  <w:rStyle w:val="InternetLink"/>
                  <w:rFonts w:ascii="Times New Roman" w:hAnsi="Times New Roman"/>
                  <w:sz w:val="20"/>
                </w:rPr>
                <w:t>DESCRIPTION OF BOUNDLESS BIO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365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5">
              <w:r>
                <w:rPr>
                  <w:rStyle w:val="InternetLink"/>
                  <w:rFonts w:ascii="Times New Roman" w:hAnsi="Times New Roman"/>
                  <w:sz w:val="20"/>
                </w:rPr>
                <w:t>COMPARISON OF RIGHTS OF HOLDERS OF BOUNDLESS BIO CAPITAL STOCK AND SERAPHA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370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6">
              <w:r>
                <w:rPr>
                  <w:rStyle w:val="InternetLink"/>
                  <w:rFonts w:ascii="Times New Roman" w:hAnsi="Times New Roman"/>
                  <w:sz w:val="20"/>
                </w:rPr>
                <w:t>PRINCIPAL STOCKHOLDERS OF BOUNDLESS BIO</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382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7">
              <w:r>
                <w:rPr>
                  <w:rStyle w:val="InternetLink"/>
                  <w:rFonts w:ascii="Times New Roman" w:hAnsi="Times New Roman"/>
                  <w:sz w:val="20"/>
                </w:rPr>
                <w:t>PRINCIPAL STOCKHOLDERS OF SERAPHA</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386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8">
              <w:r>
                <w:rPr>
                  <w:rStyle w:val="InternetLink"/>
                  <w:rFonts w:ascii="Times New Roman" w:hAnsi="Times New Roman"/>
                  <w:sz w:val="20"/>
                </w:rPr>
                <w:t>PRINCIPAL STOCKHOLDERS OF THE COMBINED COMPANY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389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39">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391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40">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391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41">
              <w:r>
                <w:rPr>
                  <w:rStyle w:val="InternetLink"/>
                  <w:rFonts w:ascii="Times New Roman" w:hAnsi="Times New Roman"/>
                  <w:sz w:val="20"/>
                </w:rPr>
                <w:t>WHERE YOU CAN FIND MORE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392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42">
              <w:r>
                <w:rPr>
                  <w:rStyle w:val="InternetLink"/>
                  <w:rFonts w:ascii="Times New Roman" w:hAnsi="Times New Roman"/>
                  <w:sz w:val="20"/>
                </w:rPr>
                <w:t>OTHER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393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x108148_43">
              <w:r>
                <w:rPr>
                  <w:rStyle w:val="InternetLink"/>
                  <w:rFonts w:ascii="Times New Roman" w:hAnsi="Times New Roman"/>
                  <w:sz w:val="20"/>
                </w:rPr>
                <w:t>INDEX TO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8"/>
        <w:gridCol w:w="247"/>
        <w:gridCol w:w="60"/>
        <w:gridCol w:w="408"/>
        <w:gridCol w:w="62"/>
      </w:tblGrid>
      <w:tr>
        <w:trPr/>
        <w:tc>
          <w:tcPr>
            <w:tcW w:w="9428"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8" w:type="dxa"/>
            <w:tcBorders/>
            <w:vAlign w:val="bottom"/>
          </w:tcPr>
          <w:p>
            <w:pPr>
              <w:pStyle w:val="TableContents"/>
              <w:bidi w:val="0"/>
              <w:spacing w:before="0" w:after="0"/>
              <w:jc w:val="left"/>
              <w:rPr/>
            </w:pPr>
            <w:hyperlink w:anchor="tx108148_44">
              <w:r>
                <w:rPr>
                  <w:rStyle w:val="InternetLink"/>
                  <w:rFonts w:ascii="Times New Roman" w:hAnsi="Times New Roman"/>
                  <w:sz w:val="20"/>
                </w:rPr>
                <w:t>Annex A – AGREEMENT AND PLAN OF MERGER AND REORGANIZATION</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0"/>
              <w:jc w:val="left"/>
              <w:rPr/>
            </w:pPr>
            <w:hyperlink w:anchor="tx108148_45">
              <w:r>
                <w:rPr>
                  <w:rStyle w:val="InternetLink"/>
                  <w:rFonts w:ascii="Times New Roman" w:hAnsi="Times New Roman"/>
                  <w:sz w:val="20"/>
                </w:rPr>
                <w:t xml:space="preserve">Annex B – FORM OF AMENDMENT FOR THE BOUNDLESS BIO CHARTER (REVERSE STOCK SPLIT)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0"/>
              <w:jc w:val="left"/>
              <w:rPr/>
            </w:pPr>
            <w:hyperlink w:anchor="tx108148_46">
              <w:r>
                <w:rPr>
                  <w:rStyle w:val="InternetLink"/>
                  <w:rFonts w:ascii="Times New Roman" w:hAnsi="Times New Roman"/>
                  <w:sz w:val="20"/>
                </w:rPr>
                <w:t xml:space="preserve">Annex C – FORM OF AMENDMENT FOR THE BOUNDLESS BIO CHARTER (AUTHORIZED SHARE INCREASE)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0"/>
              <w:jc w:val="left"/>
              <w:rPr/>
            </w:pPr>
            <w:hyperlink w:anchor="tx108148_47">
              <w:r>
                <w:rPr>
                  <w:rStyle w:val="InternetLink"/>
                  <w:rFonts w:ascii="Times New Roman" w:hAnsi="Times New Roman"/>
                  <w:sz w:val="20"/>
                </w:rPr>
                <w:t xml:space="preserve">Annex D – FORM OF BOUNDLESS BIO, INC. PROXY CARD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48">
              <w:r>
                <w:rPr>
                  <w:rStyle w:val="InternetLink"/>
                </w:rPr>
                <w:t xml:space="preserve">Annex E – LUCID FAIRNESS OPINION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E-1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49">
              <w:r>
                <w:rPr>
                  <w:rStyle w:val="InternetLink"/>
                </w:rPr>
                <w:t xml:space="preserve">Annex F – APPRAISAL RIGHTS (DGCL SECTION 262)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50">
              <w:r>
                <w:rPr>
                  <w:rStyle w:val="InternetLink"/>
                </w:rPr>
                <w:t xml:space="preserve">Annex G – FORM OF BOUNDLESS BIO SUPPORT AGREEMENT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G-1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51">
              <w:r>
                <w:rPr>
                  <w:rStyle w:val="InternetLink"/>
                </w:rPr>
                <w:t xml:space="preserve">Annex H – FORM OF SERAPHA SUPPORT AGREEMENT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H-1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52">
              <w:r>
                <w:rPr>
                  <w:rStyle w:val="InternetLink"/>
                </w:rPr>
                <w:t xml:space="preserve">Annex I – FORM OF LOCK-UP AGREEMENT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I-1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53">
              <w:r>
                <w:rPr>
                  <w:rStyle w:val="InternetLink"/>
                </w:rPr>
                <w:t xml:space="preserve">Annex J – SECURITIES PURCHASE AGREEMENT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J-1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54">
              <w:r>
                <w:rPr>
                  <w:rStyle w:val="InternetLink"/>
                </w:rPr>
                <w:t xml:space="preserve">Annex K – FORM OF SERAPHA 2026 STOCK INCENTIVE PLAN*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K-1</w:t>
            </w:r>
          </w:p>
        </w:tc>
        <w:tc>
          <w:tcPr>
            <w:tcW w:w="62" w:type="dxa"/>
            <w:tcBorders/>
            <w:vAlign w:val="bottom"/>
          </w:tcPr>
          <w:p>
            <w:pPr>
              <w:pStyle w:val="TableContents"/>
              <w:bidi w:val="0"/>
              <w:spacing w:before="0" w:after="283"/>
              <w:jc w:val="left"/>
              <w:rPr/>
            </w:pPr>
            <w:r>
              <w:rPr/>
              <w:t> </w:t>
            </w:r>
          </w:p>
        </w:tc>
      </w:tr>
      <w:tr>
        <w:trPr/>
        <w:tc>
          <w:tcPr>
            <w:tcW w:w="9428" w:type="dxa"/>
            <w:tcBorders/>
            <w:vAlign w:val="bottom"/>
          </w:tcPr>
          <w:p>
            <w:pPr>
              <w:pStyle w:val="TableContents"/>
              <w:bidi w:val="0"/>
              <w:spacing w:before="0" w:after="283"/>
              <w:jc w:val="left"/>
              <w:rPr/>
            </w:pPr>
            <w:hyperlink w:anchor="tx108148_55">
              <w:r>
                <w:rPr>
                  <w:rStyle w:val="InternetLink"/>
                </w:rPr>
                <w:t xml:space="preserve">Annex L – FORM OF SERAPHA 2026 EMPLOYEE STOCK PURCHASE PLAN*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L-1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08148_4"/>
      <w:bookmarkEnd w:id="5"/>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Nasdaq Reverse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22, 2026, Boundless Bio, Serapha and Merger Sub entered into the Merger Agreement, a copy of which is attached to this proxy statement/prospectus as </w:t>
            </w:r>
            <w:r>
              <w:rPr>
                <w:rFonts w:ascii="Times New Roman" w:hAnsi="Times New Roman"/>
                <w:i/>
                <w:sz w:val="20"/>
              </w:rPr>
              <w:t>Annex A</w:t>
            </w:r>
            <w:r>
              <w:rPr>
                <w:rFonts w:ascii="Times New Roman" w:hAnsi="Times New Roman"/>
                <w:sz w:val="20"/>
              </w:rPr>
              <w:t xml:space="preserve">. The Merger Agreement contains the terms and conditions of the proposed Merger. Pursuant to the Merger Agreement, Merger Sub will merge with and into Serapha, with Serapha continuing as a wholly owned subsidiary of Boundless Bio and the surviving corporation of the Merger. This transaction is referred to in this proxy statement/prospectus as the “Merger.” In connection with the Merger, Boundless Bio will change its corporate name to “Serapha Bio,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Serapha securityholders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(i) each then-outstanding share of Serapha Capital Stock (including shares of Serapha Capital Stock issued in the Serapha Pre-Closing Financing), excluding any shares of Serapha Capital Stock to be cancelled pursuant to the Merger Agreement, will be converted into the right to receive a number of shares of Boundless Bio Common Stock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192 of this proxy statement/prospectus), (ii) each then-outstanding Serapha Option will be converted into and become an Assumed Option, subject to adjustment as set forth in the Merger Agreement, (iii) each then-outstanding Serapha RSU will be converted into and become an Assumed RSU, subject to adjustment as set forth in the Merger Agreement, and (iv) each then-outstanding and unexercised Serapha Warrant (including any Serapha Pre-Funded Warrants) will be converted into an Assumed Warrant, subject to adjustment as set forth in the Merger Agreement.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Serapha securities in the Merger, please see the sections titled “</w:t>
      </w:r>
      <w:r>
        <w:rPr>
          <w:rFonts w:ascii="Times New Roman" w:hAnsi="Times New Roman"/>
          <w:i/>
          <w:sz w:val="20"/>
        </w:rPr>
        <w:t>The Merger Agreement — Merger Consideration</w:t>
      </w:r>
      <w:r>
        <w:rPr>
          <w:rFonts w:ascii="Times New Roman" w:hAnsi="Times New Roman"/>
          <w:sz w:val="20"/>
        </w:rPr>
        <w:t>,” and “</w:t>
      </w:r>
      <w:r>
        <w:rPr>
          <w:rFonts w:ascii="Times New Roman" w:hAnsi="Times New Roman"/>
          <w:i/>
          <w:sz w:val="20"/>
        </w:rPr>
        <w:t>The Merger Agreement — Exchange Ratio</w:t>
      </w:r>
      <w:r>
        <w:rPr>
          <w:rFonts w:ascii="Times New Roman" w:hAnsi="Times New Roman"/>
          <w:sz w:val="20"/>
        </w:rPr>
        <w:t>” beginning on page 192 of this proxy statement/prospectus. For a description of the effect of the Serapha Pre-Closing Financing on Serapha’s current securityholders,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212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Boundless Bio securityholders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the Nasdaq Reverse Split, will be unaffected by the Merger. Prior to the Effective Time, the Boundless Bio Board of Directors will accelerate the vesting of all outstanding Boundless Bio Options previously granted under the Boundless Bio 2024 Plan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Boundless Bio 2018 Plan. Each Boundless Bio Cancelled Option outstanding immediately prior to the Effective Time will be cancelled for no consideration, and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Boundless Bio securityholders as of immediately prior to the Merger are expected to own approximately 4.2% of the outstanding shares of capital stock of the Combined Company on a fully-diluted basis and former Serapha securityholders are expected to own approximately 95.8% of the outstanding shares of capital stock of the Combined Company on a fully-diluted basis. Under certain circumstances further described in the Merger Agreement, the ownership percentages may be adjusted up or down including, but not limited to, if Boundless Bio Net Cash as of Closing is lower than $0. After taking into account the 2026 ESPP and 2026 Stock Plan, Boundless Bio securityholders as of immediately prior to the Merger are expected to own approximately 3.7% of the fully-diluted capitalization of the Combined Company and former Serapha securityholders are expected to own approximately 96.3% of fully-diluted capitalization of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In addition, prior to the Effective Time, the Boundless Bio Board of Directors expects to declare the Boundless Bio Pre-Closing Dividend to the pre-Merger Boundless Bio stockholders equal in the aggregate to Boundless Bio’s reasonable, good faith approximation of the amount by which Boundless Bio Net Cash (as determined pursuant to the Merger Agreement) is expected to exceed $0. Boundless Bio management currently estimates that the aggregate amount of cash to be distributed to stockholders of record as of the record date for the Boundless Bio Pre-Closing Dividend will be approximately $44 million to $48 million.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Boundless Bio securities in the Merger, please see the sections titled “</w:t>
      </w:r>
      <w:r>
        <w:rPr>
          <w:rFonts w:ascii="Times New Roman" w:hAnsi="Times New Roman"/>
          <w:i/>
          <w:sz w:val="20"/>
        </w:rPr>
        <w:t>The Merger Agreement — Merger Consideration</w:t>
      </w:r>
      <w:r>
        <w:rPr>
          <w:rFonts w:ascii="Times New Roman" w:hAnsi="Times New Roman"/>
          <w:sz w:val="20"/>
        </w:rPr>
        <w:t>,” “</w:t>
      </w:r>
      <w:r>
        <w:rPr>
          <w:rFonts w:ascii="Times New Roman" w:hAnsi="Times New Roman"/>
          <w:i/>
          <w:sz w:val="20"/>
        </w:rPr>
        <w:t>The Merger Agreement — 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191, 192 and 18, respectively,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are the two companies proposing to merge?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Boundless Bio and Serapha believe that combining the two companies will result in a company focused on the development and commercialization of Serapha’s lead clinical-stage candidate, SERP-01, for the treatment of severe Alpha-1 Antitrypsin Deficiency (“AATD”). If the Merger is completed, the business of Serapha will continue as the business of the Combined Company, and the Combined Company does not intend to continue development of any of Boundless Bio’s legacy product candidates. For a more complete description of the reasons for the Merger, please see the sections titled “</w:t>
            </w:r>
            <w:r>
              <w:rPr>
                <w:rFonts w:ascii="Times New Roman" w:hAnsi="Times New Roman"/>
                <w:i/>
                <w:sz w:val="20"/>
              </w:rPr>
              <w:t>The Merger — Boundless Bio’s Reasons for the Merger</w:t>
            </w:r>
            <w:r>
              <w:rPr>
                <w:rFonts w:ascii="Times New Roman" w:hAnsi="Times New Roman"/>
                <w:sz w:val="20"/>
              </w:rPr>
              <w:t>” and “</w:t>
            </w:r>
            <w:r>
              <w:rPr>
                <w:rFonts w:ascii="Times New Roman" w:hAnsi="Times New Roman"/>
                <w:i/>
                <w:sz w:val="20"/>
              </w:rPr>
              <w:t>The Merger — Serapha’s Reasons for the Merger</w:t>
            </w:r>
            <w:r>
              <w:rPr>
                <w:rFonts w:ascii="Times New Roman" w:hAnsi="Times New Roman"/>
                <w:sz w:val="20"/>
              </w:rPr>
              <w:t xml:space="preserve">” beginning on pages 153 and 157, respectively,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Boundless Bio’s legacy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completion of the Merger, the Combined Company plans to focus on advancing SERP-01, an investigational in vivo base editing therapy for AATD, and does not intend to continue development of any of Boundless Bio’s legacy product candidates. Boundless Bio may continue to evaluate opportunities for its product candidates,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Agreement is terminated, Boundless Bio may pursue other strategic alternatives, including financing opportunities, or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Boundless Bio if, for any reason, the Merger with Serapha does not close?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has invested significant time and has incurred, and expects to continue to incur, significant expenses related to the proposed Merger with Serapha. In the event the Merger does not close, Boundless 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will have a limited ability to continue its current operations indefinitely. Although the Boundless Bio Board of Directors may elect, among other things, to attempt to complete another strategic transaction if the Merger with Serapha does not close, the Boundless Bio Board of Directors may instead take steps necessary to liquidate or dissolve Boundless Bio’s business and assets if a viable alternative transaction is not available. If Boundless Bio decides to dissolve and liquidate its assets, Boundless Bio would be required to pay all of its contractual obligations, and to set aside certain reserves for potential future claims, and there can be no assurance as to the amount of and the timing for such liquidation and distribution, or as to the available cash that will be left to distribute to stockholders after paying the obligations of Boundless Bio and setting aside funds for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 stockholder of Boundless Bio as of the applicable record date, and you are entitled to vote to approve the matters set forth herein. This document serves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Boundless Bio used to solicit proxies for the Boundless Bio Special Meeting to vote on the matters set forth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prospectus of Boundless Bio used to offer (i) shares of Boundless Bio Common Stock and/or Assumed Warrants and/or Boundless Bio Pre-Funded Warrants, as applicable, issued in exchange for shares of Serapha Capital Stock (including shares of Serapha Common Stock issued in the Serapha Pre-Closing Financing) and (ii) shares of Boundless Bio Common Stock issuable upon exercise of Assumed Warrants issued in exchange for Serapha Pre-Funded Warrants sold in the Serapha Pre-Closing Financing and the Boundless Bio Pre-Funded Warrants (see the section titled “</w:t>
            </w:r>
            <w:r>
              <w:rPr>
                <w:rFonts w:ascii="Times New Roman" w:hAnsi="Times New Roman"/>
                <w:i/>
                <w:sz w:val="20"/>
              </w:rPr>
              <w:t>EXPLANATORY NOTE</w:t>
            </w:r>
            <w:r>
              <w:rPr>
                <w:rFonts w:ascii="Times New Roman" w:hAnsi="Times New Roman"/>
                <w:sz w:val="20"/>
              </w:rPr>
              <w:t xml:space="preserve">” on page i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Serapha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22, 2026, concurrently with the execution and delivery of the Merger Agreement, Serapha entered into the Securities Purchase Agreement with certain investors named therein, including, among others, RA Capital Management, RTW Investments, Janus Henderson Investors, Decheng Capital, Vivo Capital, Casdin Capital, LifeSci Venture Partners, Logos Capital, Balyasny Asset Management, and Eventide Asset Management, pursuant to which such investors agreed to purchase shares of Serapha Common Stock and Serapha Pre-Funded Warrants at an estimated purchase price of $4.4997 per share and $4.49969 per pre-funded warrant for an aggregate purchase price of approximately $92.0 million. Shares of Serapha Common Stock and Serapha Pre-Funded Warrants issued pursuant to this financing transaction will be converted into shares of Boundless Bio Common Stock and Assumed Warrants in accordance with the Exchange Ratio and the Merger Agreement. Boundless Bio stockholders should not consider investments made by Serapha’s existing investors as a factor when deciding on how to vote on the proposals in this proxy statement/prospectus, since Serapha’s existing investors may have had different risk tolerances.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the shares of Serapha Common Stock and Serapha Pre-Funded Warrants issued in the Serapha Pre-Closing Financing are expected to represent approximately 65.83% of the outstanding shares of the Combined Company common stock. Boundless Bio, Serapha and the investors participating in the Serapha Pre-Closing Financing have also agreed to enter into a registration rights agreement at the closing of the Serapha Pre-Closing Financing, pursuant to which, among other things, the Combined Company will agree to provide for the registration and resale of certain shares of Boundless Bio Common Stock that are held by the investors participating in the Serapha Pre-Closing Financing from time to time pursuant to Rule 415. The closing of the Serapha Pre-Closing Financing is conditioned upon the satisfaction or waiver of the conditions to the Closing as well as certain other conditions. The closing of the Serapha Pre-Closing Financing is a condition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Therefore, Boundless Bio stockholders are being asked to vote on matters related to the Merger without assurance that the proceeds of the Serapha Pre-Closing Financing will be available at the time the Merger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consummated. The investors in the Serapha Pre-Closing Financing have executed binding purchase agreements and are obligated to fund their respective commitments at closing, and Serapha would be entitled to pursue specific performance and other contractual remedies to enforce those obligations. However, if the Merger closes before the financing proceeds are received, the Combined Company would initially operate using its then-available cash resources and may need to adjust the timing or scope of certain expenditures until such proceeds are received or alternative capital is obtained.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Serapha Pre-Closing Financing, please see the sections titled “</w:t>
      </w:r>
      <w:r>
        <w:rPr>
          <w:rFonts w:ascii="Times New Roman" w:hAnsi="Times New Roman"/>
          <w:i/>
          <w:sz w:val="20"/>
        </w:rPr>
        <w:t>Agreements Related to the Merger — Securities Purchase Agreement</w:t>
      </w:r>
      <w:r>
        <w:rPr>
          <w:rFonts w:ascii="Times New Roman" w:hAnsi="Times New Roman"/>
          <w:sz w:val="20"/>
        </w:rPr>
        <w:t>” and “</w:t>
      </w:r>
      <w:r>
        <w:rPr>
          <w:rFonts w:ascii="Times New Roman" w:hAnsi="Times New Roman"/>
          <w:i/>
          <w:sz w:val="20"/>
        </w:rPr>
        <w:t>Agreements Related to the Merger — Registration Rights Agreement</w:t>
      </w:r>
      <w:r>
        <w:rPr>
          <w:rFonts w:ascii="Times New Roman" w:hAnsi="Times New Roman"/>
          <w:sz w:val="20"/>
        </w:rPr>
        <w:t xml:space="preserve">” beginning on pages 212 and 214 of this proxy statement/prospectus,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proposals will be voted on at the Boundless Bio Special Meeting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applicable requisite stockholder vote at the Boundless Bio Special Meeting in order for the Merger to close (the “Merger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Nasdaq Stock Issuance Proposal</w:t>
            </w:r>
            <w:r>
              <w:rPr>
                <w:rFonts w:ascii="Times New Roman" w:hAnsi="Times New Roman"/>
                <w:sz w:val="20"/>
              </w:rPr>
              <w:t xml:space="preserve"> to approve the issuance of shares of Boundless Bio Common Stock (including the shares of Boundless Bio Common Stock issuable upon exercise of the Assumed Warrants and Boundless Bio Pre-Funded Warrants) to stockholders of Serapha pursuant to the terms of the Merger Agreement, a copy of which is attached as </w:t>
            </w:r>
            <w:r>
              <w:rPr>
                <w:rFonts w:ascii="Times New Roman" w:hAnsi="Times New Roman"/>
                <w:i/>
                <w:sz w:val="20"/>
              </w:rPr>
              <w:t>Annex A</w:t>
            </w:r>
            <w:r>
              <w:rPr>
                <w:rFonts w:ascii="Times New Roman" w:hAnsi="Times New Roman"/>
                <w:sz w:val="20"/>
              </w:rPr>
              <w:t xml:space="preserve">, which will (i) represent more than 20% of the shares of Boundless Bio Common Stock outstanding immediately prior to the Merger under Nasdaq Listing Rule 5635(a), and (ii) result in a change of control under Nasdaq Listing Rule 5635(b);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Reverse Split Proposal</w:t>
            </w:r>
            <w:r>
              <w:rPr>
                <w:rFonts w:ascii="Times New Roman" w:hAnsi="Times New Roman"/>
                <w:sz w:val="20"/>
              </w:rPr>
              <w:t xml:space="preserve"> to approve an amendment to the Boundless Bio Charter to effect a reverse stock split of Boundless Bio’s issued and outstanding common stock at a ratio determined by the Boundless Bio Board of Directors and agreed to by Serapha, of one new share of Boundless Bio Common Stock for every    to    shares (or any number in between) of outstanding Boundless Bio Common Stock, in the form attached as </w:t>
            </w:r>
            <w:r>
              <w:rPr>
                <w:rFonts w:ascii="Times New Roman" w:hAnsi="Times New Roman"/>
                <w:i/>
                <w:sz w:val="20"/>
              </w:rPr>
              <w:t xml:space="preserve">Annex B </w:t>
            </w:r>
            <w:r>
              <w:rPr>
                <w:rFonts w:ascii="Times New Roman" w:hAnsi="Times New Roman"/>
                <w:sz w:val="20"/>
              </w:rPr>
              <w:t xml:space="preserve">to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Authorized Share Increase Proposal</w:t>
            </w:r>
            <w:r>
              <w:rPr>
                <w:rFonts w:ascii="Times New Roman" w:hAnsi="Times New Roman"/>
                <w:sz w:val="20"/>
              </w:rPr>
              <w:t xml:space="preserve"> to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to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each of Proposal Nos. 1, 2 and 3 is a condition to completion of the Merger. The issuance of Boundless Bio Common Stock in connection with the Merger and the change of control resulting from the Merger will not take place unless Proposal Nos. 1, 2 and 3 are approved by Boundless Bio stockholders and the Merger is consummated. The amendment to the Boundless Bio Charter to effect the Nasdaq Reverse Split will not take place unless Proposal No. 2 is approved by the requisite Boundless Bio stockholders; however, Boundless Bio may still elect to proceed with the Nasdaq Reverse Split even if the Merger is not consummated. The amendment to the Boundless Bio Charter to increase the number of authorized shares of Boundless Bio Common Stock will not take place unless Proposal Nos. 1, 2, and 3 are approved by Boundless Bio stockholders and the Merger is consummated. </w:t>
      </w:r>
    </w:p>
    <w:p>
      <w:pPr>
        <w:pStyle w:val="TextBody"/>
        <w:bidi w:val="0"/>
        <w:spacing w:before="120" w:after="0"/>
        <w:jc w:val="left"/>
        <w:rPr>
          <w:rFonts w:ascii="Times New Roman" w:hAnsi="Times New Roman"/>
          <w:sz w:val="20"/>
        </w:rPr>
      </w:pPr>
      <w:r>
        <w:rPr>
          <w:rFonts w:ascii="Times New Roman" w:hAnsi="Times New Roman"/>
          <w:sz w:val="20"/>
        </w:rPr>
        <w:t>In addition to the requirement of obtaining Boundless Bio stockholder approval,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207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Special Meeting is necessary to constitute a quorum at the meeting for the purpose of approving the Merger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proposals are to be voted on at the Boundless Bio Special Meeting, other than the Merger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Boundless Bio Special Meeting, the holders of Boundless Bio Common Stock will also be asked to approve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4 - The Stock Plan Proposal</w:t>
            </w:r>
            <w:r>
              <w:rPr>
                <w:rFonts w:ascii="Times New Roman" w:hAnsi="Times New Roman"/>
                <w:sz w:val="20"/>
              </w:rPr>
              <w:t xml:space="preserve"> to approve the Serapha Bio, Inc. 2026 Stock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5 - The ESPP Proposal</w:t>
            </w:r>
            <w:r>
              <w:rPr>
                <w:rFonts w:ascii="Times New Roman" w:hAnsi="Times New Roman"/>
                <w:sz w:val="20"/>
              </w:rPr>
              <w:t xml:space="preserve"> to approve the Serapha Bio, Inc. 2026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6 - The Adjournment Proposal</w:t>
            </w:r>
            <w:r>
              <w:rPr>
                <w:rFonts w:ascii="Times New Roman" w:hAnsi="Times New Roman"/>
                <w:sz w:val="20"/>
              </w:rPr>
              <w:t xml:space="preserve"> to approve an adjournment of the Boundless Bio Special Meeting, if necessary, to solicit additional proxies if there are not sufficient votes in favor of Proposal Nos. 1, 2 and 3.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Proposal Nos. 4, 5 and 6 are not conditions to the completion of the Merger. The implementation of Proposal Nos. 4 and 5 are each conditioned on the consummation of the Merger. Boundless Bio does not expect that any matter other than the Proposals will be brought before the Boundless Bio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Boundless Bio Special Meeting is necessary to constitute a quorum at the meeting for the purpose of approving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stockholder votes are required to approve the proposals at the Boundless Bio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Boundless Bio Special Meeting is necessary to constitute a quorum at the meeting for the purpose of approving the proposals. Abstentions and broker non-votes, if any, will be counted towards the presence of a quorum. The affirmative vote of a majority of the votes properly cast for and against by the holders of Boundless Bio Common Stock at the Boundless Bio Special Meeting, assuming a quorum is present, is required for approval of Proposal Nos. 1, 2, 3, 4, 5 and 6. Each of Proposal No. 1, Proposal No. 2 and Proposal No. 3 is a condition to completion of the Merger. The closing of the Serapha Pre-Closing Financing is conditioned upon the satisfaction or waiver of each of the conditions to the closing of the Merger as well as certain other conditions. Therefore, the Merger and the Serapha Pre-Closing Financing cannot be consummated without the approval of Proposal Nos. 1, 2 and 3. The issuance of Boundless Bio Common Stock in connection with the Merger and the change of control of Boundless Bio resulting from the Merger will not take place unless Proposal Nos. 1, 2 and 3 are approved by Boundless Bio stockholders and the Nasdaq Reverse Split and increase in authorized shares are effected and the Merger is consummated. The amendment to the Boundless Bio Charter to effect the Nasdaq Reverse Split will not take place unless Proposal No. 2 is approved by the requisite Boundless Bio stockholders. Boundless Bio may still elect to proceed with the Nasdaq Reverse Split if Proposal No. 2 is approved by Boundless Bio’s stockholders even if Proposal No. 1 and/or Proposal No. 3 is not approved, or even if approved, the Merger is not consummated. The amendment to the Boundless Bio Charter to increase the number of authorized shares of Boundless Bio Common Stock will not take place unless Proposal Nos. 1, 2, and 3 are approved by Boundless Bio stockholders and the Merger is consummated. Additionally, the implementation of Proposal Nos. 4 and 5 are each conditioned on the consummation of the Merger. Therefore, if Proposal No. 1, Proposal No. 2 and Proposal No. 3 are not approved and the Merger is not consummated, Proposal Nos. 4 and 5 will each have no effect, even if approved by Boundless Bio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if any. Abstentions and broker non-votes, if any, will be treated as shares present for the purpose of determining the presence of a quorum for the transaction of business at the Boundless Bio Special Meeting, but will not be counted as votes cast and will have no effect on the outcome of the vote for each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is Boundless Bio seeking stockholder approval to issue shares of Boundless Bio Common Stock to existing stockholders of Serapha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Boundless Bio Common Stock is listed on Nasdaq, Boundless Bio is subject to the Nasdaq rules. Nasdaq Listing Rule 5635(a) requires stockholder approval with respect to the issuance of Boundless Bio Common Stock when, among other instances, the shares to be issued are being issued in connection with the acquisition of the stock or assets of another company and are equal to 20% or more of the outstanding shares of Boundless Bio Common Stock before the issuance. Nasdaq Listing Rule 5635(b)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Boundless Bio expects to issue approximately 229.8 million shares of Boundless Bio Common Stock, excluding approximately 415.4 million shares of Boundless Bio Common Stock underlying the Serapha Pre-Funded Warrants and/or shares of Serapha Capital Stock, as applicable, to be exchanged for Assumed Warrants. As of August 21, 2026, there were 22,966,135 shares of Boundless Bio Common Stock outstanding. Therefore, Boundless Bio Common Stock to be issued pursuant to the Merger Agreement (including the shares issued to investors in the Serapha Pre-Closing Financing) will represent greater than 20% of its voting stock outstanding before the issuance. </w:t>
      </w:r>
    </w:p>
    <w:p>
      <w:pPr>
        <w:pStyle w:val="TextBody"/>
        <w:bidi w:val="0"/>
        <w:spacing w:before="120" w:after="0"/>
        <w:jc w:val="left"/>
        <w:rPr>
          <w:rFonts w:ascii="Times New Roman" w:hAnsi="Times New Roman"/>
          <w:sz w:val="20"/>
        </w:rPr>
      </w:pPr>
      <w:r>
        <w:rPr>
          <w:rFonts w:ascii="Times New Roman" w:hAnsi="Times New Roman"/>
          <w:sz w:val="20"/>
        </w:rPr>
        <w:t xml:space="preserve">Accordingly, Boundless Bio is seeking stockholder approval of the issuance of Boundless Bio Common Stock pursuant to the Merger Agreement, including the issuance of Boundless Bio Common Stock underlying the Assumed Warrants exchanged for the Serapha Pre-Funded Warrants issued in the Serapha Pre-Closing Financing and the Boundless Bio Pre-Funded Warrants under the Nasdaq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Combined Company common stock trade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Shares of Boundless Bio Common Stock are currently listed on Nasdaq under the symbol “BOLD.” Boundless Bio intends to file an initial listing application for the Combined Company common stock with Nasdaq. After completion of the Merger, Boundless Bio will be renamed “Serapha Bio, Inc.” and it is expected that the Combined Company common stock will trade on Nasdaq under the symbol “AATD.” It is a condition to the consummation of the Merger that Boundless Bio will receive confirmation from Nasdaq that the Combined Company has been approved for listing on Nasdaq, but there can be no assurance such listing condition will be met or that Boundless Bio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Boundless Bio will not recirculate an updated proxy statement/prospectus, nor will it solicit a new vote of stockholders prior to proceeding with the Merger. Accordingly, you are advised that Boundless Bio stockholders will not have certainty regarding the listing of the Combined Company’s shares at the time you are asked to vote at the Boundless Bio Special Meeting. For more information, please see the section entitled “</w:t>
            </w:r>
            <w:r>
              <w:rPr>
                <w:rFonts w:ascii="Times New Roman" w:hAnsi="Times New Roman"/>
                <w:i/>
                <w:sz w:val="20"/>
              </w:rPr>
              <w:t>Risk Factors — Risks Related to the Merger — Boundless Bio and Serapha may mutually agree to waive the Nasdaq listing condition under the Merger Agreement, and if such condition is waived, the Combined Company’s stock may not be listed on Nasdaq following completion of the Merger.</w:t>
            </w:r>
            <w:r>
              <w:rPr>
                <w:rFonts w:ascii="Times New Roman" w:hAnsi="Times New Roman"/>
                <w:sz w:val="20"/>
              </w:rPr>
              <w:t xml:space="preserve">” on page 19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 2026 the last trading day before the date of this proxy statement/prospectus, the closing sale price of Boundless Bio Common Stock was $  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urges you to read this proxy statement/prospectus carefully, including the annexes and the documents incorporated by reference, and to consider how the Merger affects you.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attend the Boundless Bio Special Meeting and vote online during the meeting, vote by proxy over the telephone, vote by proxy through the internet or vote by proxy using a proxy card, the form of which is attached as </w:t>
      </w:r>
      <w:r>
        <w:rPr>
          <w:rFonts w:ascii="Times New Roman" w:hAnsi="Times New Roman"/>
          <w:i/>
          <w:sz w:val="20"/>
        </w:rPr>
        <w:t xml:space="preserve">Annex D </w:t>
      </w:r>
      <w:r>
        <w:rPr>
          <w:rFonts w:ascii="Times New Roman" w:hAnsi="Times New Roman"/>
          <w:sz w:val="20"/>
        </w:rPr>
        <w:t xml:space="preserve">to this proxy statement/prospectus. Whether or not you plan to attend the meeting, Boundless Bio urges you to vote by proxy to ensure your vote is counted. You may still attend the meeting and vote during the meeting even if you have already voted by proxy. Please be aware that you must bear any costs associated with your internet access, such as usage charges from Internet access providers and telephone or similar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Boundless Bio Special Meeting online and vote during the meeting online by visiting </w:t>
            </w:r>
            <w:r>
              <w:rPr>
                <w:rFonts w:ascii="Times New Roman" w:hAnsi="Times New Roman"/>
                <w:i/>
                <w:sz w:val="20"/>
              </w:rPr>
              <w:t>www.proxydocs.com/BOLD</w:t>
            </w:r>
            <w:r>
              <w:rPr>
                <w:rFonts w:ascii="Times New Roman" w:hAnsi="Times New Roman"/>
                <w:sz w:val="20"/>
              </w:rPr>
              <w:t xml:space="preserve">. To vote online during the meeting, you must register to attend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Boundless Bio may elect to deliver at a later time and return it promptly in the envelope provided. If you return your signed proxy card to Boundless Bio before the Boundless Bio Special Meeting, Boundless Bio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(866) 390-5243 using a touch-tone phone and follow the recorded instructions. You will be asked to provide the company number and control number found on the proxy card. Your vote must be received by 8:59 p.m. Pacific Time on    , 2026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t>
            </w:r>
            <w:r>
              <w:rPr>
                <w:rFonts w:ascii="Times New Roman" w:hAnsi="Times New Roman"/>
                <w:i/>
                <w:sz w:val="20"/>
              </w:rPr>
              <w:t>www.proxypush.com/BOLD</w:t>
            </w:r>
            <w:r>
              <w:rPr>
                <w:rFonts w:ascii="Times New Roman" w:hAnsi="Times New Roman"/>
                <w:sz w:val="20"/>
              </w:rPr>
              <w:t xml:space="preserve"> to complete an electronic proxy card. You will be asked to provide the company number and control number from the proxy card. Your vote must be received by 8:59 p.m. Pacific Time on    , 2026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Boundless Bio. Simply follow the voting instructions provided to ensure that your vote is counted. You may vote by telephone or over the internet as instructed by your broker, bank or other agent. To vote in person at the Boundless Bio Special Meeting, you must contact your broker, bank, or other agent and obtain a valid legal proxy in order to attend, participate in and vote at the Boundless Bio Special Meeting. Follow the voting instructions from your broker, bank or other agent, or contact your broker, bank or other agent for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of Record; Shares Registered in Your Name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the transfer agent for the Boundless Bio Common Stock then you are a stockholder of record. As a stockholder of record, you may attend the Boundless Bio Special Meeting and vote online during the meeting or vote early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or not you plan to attend the Boundless Bio Special Meeting, Boundless Bio encourages you to fill out and return your proxy card or vote by proxy over the telephone or on the internet as instructed above to ensure your vote is counted. </w:t>
      </w:r>
    </w:p>
    <w:p>
      <w:pPr>
        <w:pStyle w:val="TextBody"/>
        <w:bidi w:val="0"/>
        <w:spacing w:before="120" w:after="0"/>
        <w:jc w:val="left"/>
        <w:rPr>
          <w:rFonts w:ascii="Times New Roman" w:hAnsi="Times New Roman"/>
          <w:sz w:val="20"/>
        </w:rPr>
      </w:pPr>
      <w:r>
        <w:rPr>
          <w:rFonts w:ascii="Times New Roman" w:hAnsi="Times New Roman"/>
          <w:sz w:val="20"/>
        </w:rPr>
        <w:t xml:space="preserve">If you do not return a proxy card or otherwise vote, your shares will not be voted.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Fiduciary or Custodian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Boundless Bio. Simply follow the voting instructions from that organization to ensure that your vote is counted.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you plan to attend the meeting, we urge you to vote by proxy to ensure your vote is counted. You may still attend the meeting and vote at the meeting even if you have already voted by proxy. </w:t>
      </w:r>
    </w:p>
    <w:p>
      <w:pPr>
        <w:pStyle w:val="TextBody"/>
        <w:bidi w:val="0"/>
        <w:spacing w:before="120" w:after="0"/>
        <w:jc w:val="left"/>
        <w:rPr>
          <w:rFonts w:ascii="Times New Roman" w:hAnsi="Times New Roman"/>
          <w:sz w:val="20"/>
        </w:rPr>
      </w:pPr>
      <w:r>
        <w:rPr>
          <w:rFonts w:ascii="Times New Roman" w:hAnsi="Times New Roman"/>
          <w:sz w:val="20"/>
        </w:rPr>
        <w:t xml:space="preserve">If you are the beneficial owner and do not direct your broker, fiduciary or custodian how to vote your shares, the question of whether your broker or nominee will still be able to vote your shares depends on whether the New York Stock Exchange (“NYSE”) deems a particular proposal to be a “routine” matter. Your broker, fiduciary or custodian will only be able to vote your shares with respect to proposals considered to be “routine.” Your broker, fiduciary or custodian is not entitled to vote your shares with respect to “non-routine” proposals, resulting in a “broker non-vote” with respect to such proposals. Whether a proposal is considered routine or non-routine is subject to stock exchange rules and final determination by the stock exchange. Even with respect to routine matters, some brokers choose not to exercise their discretionary voting authority. As a result, we urge you to direct your broker, fiduciary or custodian how to vote your shares on all proposals to ensure that your vote is counted.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sign and return a proxy card or otherwise vote but do not indicate specific choices?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represented by each signed and returned proxy will be voted at the Boundless Bio Special Meeting by the persons named as proxies in the proxy card in accordance with the instructions indicated on the proxy card. However, if you are the registered stockholder and sign and return your proxy card without giving specific instructions, the persons named as proxies in the proxy card will vote your shares in accordance with the recommendations of the Boundless Bio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attend the Boundless Bio Special Meeting and vote during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Special Meeting will be held on    , 2026 entirely online via live audio webcast and is scheduled to begin at    Pacific Time. Stockholders of record as of    , 2026 will be able to attend and participate in the Boundless Bio Special Meeting. Stockholders who hold their shares in street name should contact their broker, bank or other agent and obtain a “legal proxy” in order to be able to attend, participate in or vote at the Boundless Bio Special Meeting. You must register to attend the Boundless Bio Special Meeting at </w:t>
            </w:r>
            <w:r>
              <w:rPr>
                <w:rFonts w:ascii="Times New Roman" w:hAnsi="Times New Roman"/>
                <w:i/>
                <w:sz w:val="20"/>
              </w:rPr>
              <w:t>www.proxydocs.com/BOLD</w:t>
            </w:r>
            <w:r>
              <w:rPr>
                <w:rFonts w:ascii="Times New Roman" w:hAnsi="Times New Roman"/>
                <w:sz w:val="20"/>
              </w:rPr>
              <w:t xml:space="preserve"> and provide your control number by 2:00 p.m. Pacific Time on    , 2026. After completion of your registration, further instructions, including a unique link to access the Special Meeting, will be emailed to you.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may submit a question in advance of the Boundless Bio Special Meeting as a part of the registration process. Questions pertinent to the Boundless Bio Special Meeting and that are submitted in accordance with our rules of conduct for the Boundless Bio Special Meeting will be answered during the Boundless Bio Special Meeting, subject to applicable time constraints. Questions and answers may be grouped by topic and substantially similar questions may be grouped and answered once. In order to promote fairness, efficient use of time, and in order to ensure all stockholders are responded to, Boundless Bio will respond to up to two questions from a single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YOUR VOTE IS IMPORTANT AND BOUNDLESS BIO STRONGLY ENCOURAGES YOU TO VOTE YOUR SHARES PRIOR TO THE BOUNDLESS BIO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counts the votes?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BetaNXT Inc. (“BetaNXT”) has been engaged as Boundless Bio’s independent agent to tabulate stockholder votes. If you are a stockholder of record, your executed proxy card is returned directly to BetaNXT for tabulation. If you hold your shares through a broker, your broker returns one proxy card to BetaNXT on behalf of all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can I find out the voting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voting results will be published in a Current Report on Form 8-K to be filed with the SEC within four business days after the Boundless Bio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my Boundless Bio shares are held in “street name” by my broker, will my broker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Whether a proposal is considered routine or non-routine is subject to stock exchange rules and final determination by the stock exchange. Even with respect to routine matters, some brokers choose not to exercise their discretionary voting authority. Accordingly, if you hold your shares beneficially in street name, please be sure to instruct your broker, bank or other agent how to vote to ensure that your vote is counted on each of the proposals, following the procedures provided by your broker, bank or other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broker non-votes and do they count for determining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Boundless Bio Special Meeting. Broker non-votes, if any, will not be counted as “votes properly cast” and will therefore have no effect on Proposal Nos. 1, 2, 3, 4, 5 or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stockholders of record, unless such stockholder’s vote is subject to a support agreement, may revoke and/or change their vote at any time before their proxy is voted at the Boundless Bio Special Meeting in one of four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Boundless Bio’s corporate secretary. Any written notice of revocation or subsequent proxy card must be received by Boundless Bio’s corporate secretary prior to the taking of the vote at the Boundless Bio Special Meeting. Such written notice of revocation or subsequent proxy card should be sent to Boundless Bio’s principal executive offices at Boundless Bio, Inc., 11099 North Torrey Pines Road, Suite 150, La Jolla, California 92037, Attention: Corporate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Boundless Bio Special Meeting online and vote online during the meeting, although attendance at the Boundless Bio Special Meeting will not, by itself, revoke and/or change your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 2026, 8:59 p.m. Pacific Time to be counted. </w:t>
      </w:r>
    </w:p>
    <w:p>
      <w:pPr>
        <w:pStyle w:val="TextBody"/>
        <w:bidi w:val="0"/>
        <w:spacing w:before="120" w:after="0"/>
        <w:jc w:val="left"/>
        <w:rPr>
          <w:rFonts w:ascii="Times New Roman" w:hAnsi="Times New Roman"/>
          <w:sz w:val="20"/>
        </w:rPr>
      </w:pPr>
      <w:r>
        <w:rPr>
          <w:rFonts w:ascii="Times New Roman" w:hAnsi="Times New Roman"/>
          <w:sz w:val="20"/>
        </w:rPr>
        <w:t xml:space="preserve">If a Boundless Bio stockholder who owns Boundless Bio shares in “street name” has instructed a broker to vote its shares of Boundless Bio Common Stock, the stockholder must follow directions received from its broker to change and/or revoke those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and Serapha will share equally the cost of printing and filing of this proxy statement/prospectus and the proxy card. Arrangements will also be made with brokerage firms and other custodians, nominees and fiduciaries who are record holders of Boundless Bio Common Stock for the forwarding of solicitation materials to the beneficial owners of Boundless Bio Common Stock. Boundless Bio will reimburse these brokers, custodians, nominees and fiduciaries for the reasonable out-of-pocket expenses they incur in connection with the forwarding of solicitation materials. Boundless Bio has retained MacKenzie Partners, Inc. (the “Proxy Solicitor”) to assist in soliciting proxies using the means referred to above. Boundless Bio will pay the fees of the Proxy Solicitor, which Boundless Bio expects to be approximately $17,500, plus reimbursement for certain out-of-pocket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i/>
              </w:rPr>
            </w:pPr>
            <w:r>
              <w:rPr>
                <w:b/>
                <w:i/>
              </w:rPr>
              <w:t>Q.</w:t>
            </w:r>
          </w:p>
        </w:tc>
        <w:tc>
          <w:tcPr>
            <w:tcW w:w="96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Merger to holders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Boundless Bio Common Stock will not sell, exchange or dispose of any shares of Boundless Bio Common Stock as a result of the Merger. Thus, there will be no U.S. federal income tax considerations to holders of Boundless Bio Common Stock as a result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i/>
              </w:rPr>
            </w:pPr>
            <w:r>
              <w:rPr>
                <w:b/>
                <w:i/>
              </w:rPr>
              <w:t>Q.</w:t>
            </w:r>
          </w:p>
        </w:tc>
        <w:tc>
          <w:tcPr>
            <w:tcW w:w="96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Merger to U.S. Holders of Serapha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The Merger — Material U.S. Federal Income Tax Considerations of the Merger</w:t>
            </w:r>
            <w:r>
              <w:rPr>
                <w:rFonts w:ascii="Times New Roman" w:hAnsi="Times New Roman"/>
                <w:sz w:val="20"/>
              </w:rPr>
              <w:t>” beginning on page 182 of this proxy statement/prospectus, the Merger is intended to qualify as (1) a “reorganization” within the meaning of Section 368(a) of the Code and/or (2) an exchange of shares of Serapha Capital Stock for Boundless Bio Common Stock under Section 351(a) of the Code. As a result, assuming such treatment, a U.S. Holder of Serapha Capital Stock will not recognize gain or loss upon the exchange of its Serapha Capital Stock for Boundless Bio Common Stock. For a more detailed discussion of the material U.S. federal income tax considerations of the Merger, please see the section titled “</w:t>
            </w:r>
            <w:r>
              <w:rPr>
                <w:rFonts w:ascii="Times New Roman" w:hAnsi="Times New Roman"/>
                <w:i/>
                <w:sz w:val="20"/>
              </w:rPr>
              <w:t>The Merger — Material U.S.</w:t>
            </w:r>
            <w:r>
              <w:rPr>
                <w:rFonts w:ascii="Times New Roman" w:hAnsi="Times New Roman"/>
                <w:sz w:val="20"/>
              </w:rPr>
              <w:t> </w:t>
            </w:r>
            <w:r>
              <w:rPr>
                <w:rFonts w:ascii="Times New Roman" w:hAnsi="Times New Roman"/>
                <w:i/>
                <w:sz w:val="20"/>
              </w:rPr>
              <w:t>Federal Income Tax Considerations of the Merger</w:t>
            </w:r>
            <w:r>
              <w:rPr>
                <w:rFonts w:ascii="Times New Roman" w:hAnsi="Times New Roman"/>
                <w:sz w:val="20"/>
              </w:rPr>
              <w:t xml:space="preserve">” beginning on page 182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i/>
              </w:rPr>
            </w:pPr>
            <w:r>
              <w:rPr>
                <w:b/>
                <w:i/>
              </w:rPr>
              <w:t>Q.</w:t>
            </w:r>
          </w:p>
        </w:tc>
        <w:tc>
          <w:tcPr>
            <w:tcW w:w="96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Nasdaq Reverse Split to U.S. Holders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U.S. Holder of Boundless Bio Common Stock generally should not recognize gain or loss upon the Nasdaq Reverse Split, except to the extent such holder receives cash in lieu of a fractional share of Boundless Bio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Nasdaq Reverse Split Proposal — Material U.S.</w:t>
            </w:r>
            <w:r>
              <w:rPr>
                <w:rFonts w:ascii="Times New Roman" w:hAnsi="Times New Roman"/>
                <w:sz w:val="20"/>
              </w:rPr>
              <w:t> </w:t>
            </w:r>
            <w:r>
              <w:rPr>
                <w:rFonts w:ascii="Times New Roman" w:hAnsi="Times New Roman"/>
                <w:i/>
                <w:sz w:val="20"/>
              </w:rPr>
              <w:t>Federal Income Tax Considerations of the Nasdaq Reverse Split</w:t>
            </w:r>
            <w:r>
              <w:rPr>
                <w:rFonts w:ascii="Times New Roman" w:hAnsi="Times New Roman"/>
                <w:sz w:val="20"/>
              </w:rPr>
              <w:t>” beginning on page 236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Nasdaq Reverse Split Proposal — Material U.S.</w:t>
            </w:r>
            <w:r>
              <w:rPr>
                <w:rFonts w:ascii="Times New Roman" w:hAnsi="Times New Roman"/>
                <w:sz w:val="20"/>
              </w:rPr>
              <w:t> </w:t>
            </w:r>
            <w:r>
              <w:rPr>
                <w:rFonts w:ascii="Times New Roman" w:hAnsi="Times New Roman"/>
                <w:i/>
                <w:sz w:val="20"/>
              </w:rPr>
              <w:t>Federal Income Tax Considerations of the Nasdaq Reverse Split</w:t>
            </w:r>
            <w:r>
              <w:rPr>
                <w:rFonts w:ascii="Times New Roman" w:hAnsi="Times New Roman"/>
                <w:sz w:val="20"/>
              </w:rPr>
              <w:t xml:space="preserve">” beginning on page 236 of this proxy statement/prospectus for a more complete description of the U.S. federal income tax considerations of the Nasdaq Reverse Split to U.S. Holders of Boundless Bio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i/>
              </w:rPr>
            </w:pPr>
            <w:r>
              <w:rPr>
                <w:b/>
                <w:i/>
              </w:rPr>
              <w:t>Q.</w:t>
            </w:r>
          </w:p>
        </w:tc>
        <w:tc>
          <w:tcPr>
            <w:tcW w:w="96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Boundless Bio Pre-Closing Dividend to U.S. Holders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For U.S. federal income tax purposes, the receipt of the Boundless Bio Pre-Closing Dividend by a U.S. Holder of Boundless Bio Common Stock generally should be treated first as a dividend to the extent of Boundless Bio’s current or accumulated earnings and profits, then as a non-taxable return of capital to the extent of such U.S. Holder’s basis in Boundless Bio Common Stock, and then as capital gain from the sale or exchange of Boundless Bio Common Stock with respect to any remaining amount. However, there can be no assurance that it will be so treated. Please review the information in the section titled “</w:t>
            </w:r>
            <w:r>
              <w:rPr>
                <w:rFonts w:ascii="Times New Roman" w:hAnsi="Times New Roman"/>
                <w:i/>
                <w:sz w:val="20"/>
              </w:rPr>
              <w:t>The Merger — Material U.S. Federal Income Tax Considerations of the Boundless Bio Pre-Closing Dividend</w:t>
            </w:r>
            <w:r>
              <w:rPr>
                <w:rFonts w:ascii="Times New Roman" w:hAnsi="Times New Roman"/>
                <w:sz w:val="20"/>
              </w:rPr>
              <w:t xml:space="preserve">” beginning on page 184 of this proxy statement/prospectus for a discussion of the material U.S. federal income tax considerations of the Boundless Bio Pre-Closing Dividend to U.S. Holders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i/>
              </w:rPr>
            </w:pPr>
            <w:r>
              <w:rPr>
                <w:b/>
                <w:i/>
              </w:rPr>
              <w:t>Q.</w:t>
            </w:r>
          </w:p>
        </w:tc>
        <w:tc>
          <w:tcPr>
            <w:tcW w:w="969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Boundless Bio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+1 (212) 929-5500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(U.S. only): +1 (800) 322-2885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108148_5"/>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proxy statement/prospectus and may not contain all of the information that is important to you. To better understand the Merger and the proposals being considered at the Boundless Bio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392 of this proxy statement/prospectus. Except where specifically noted, the following information and all other information contained in this proxy statement/prospectus does not give effect to the Nasdaq Reverse Split described in Proposal No. 2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Boundless Bio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ecDNA are large circular units of nuclear DNA that are a primary mechanism of gene amplification and are detected only in cancer cells, not in healthy cells. Using Boundless Bio’s proprietary Spyglass platform, Boundless Bio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(“CIN”) and ecDNA amplification biology to grow, adapt, and become resistant to existing therapies. In response to clinical data and other market considerations, Boundless Bio has made a series of portfolio prioritization decisions and taken steps to streamline operations in connection with those decisions.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22, 2026, Boundless Bio entered into the Merger Agreement with Serapha and Merger Sub,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The Merger is intended to qualify for federal income tax purposes as (1) a reorganization under the provisions of Section 368(a) of the Code and/or (2) an exchange of shares of Serapha Capital Stock for Boundless Bio Common Stock under Section 351(a) of the Code. As a result, assuming such treatment, a U.S. Holder of Serapha Capital Stock will not recognize gain or loss upon the exchange of its Serapha Capital Stock for Boundless Bio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completion of the Merger, the Combined Company plans to focus on advancing SERP-01, an investigational in vivo base editing therapy for AATD, and does not intend to continue development of any of Boundless Bio’s legacy ecDTx. Boundless Bio may continue to evaluate opportunities for its ecDTx,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Serapha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Serapha is a clinical-stage genetic medicines company committed to transforming the treatment of AATD, the leading genetic cause of serious, progressive lung and liver disease. Serapha’s lead candidate, SERP-01, is a proprietary base editing therapy currently in a Phase 1/2 clinical trial for the treatment of AATD with the PiZZ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genotype, the most severe genetic mutation responsible for &gt;90% of AATD cases. The PiZZ mutation causes the Z isoform of alpha-1 antitrypsin (“Z-AAT”) to misfold and accumulate as polymers within liver cells, producing toxic aggregates that can lead to hepatitis, fibrosis and cirrhosis, while simultaneously reducing the amount of functional, normally folded AAT (“M-AAT”) secreted into the circulation. The resulting deficiency of circulating functional M-AAT leaves the lungs unprotected from neutrophil elastase, contributing to progressive emphysema and chronic obstructive pulmonary disease (“COPD”). SERP-01 is designed as a single intravenous administration treatment to correct the underlying genetic cause of PiZZ AATD, with the goal of restoring production of functional M-AAT, reducing accumulation of toxic mutant Z-AAT in the liver and, if successful, fundamentally altering the course of disease. SERP-01 is being evaluated in an ongoing investigator-initiated trial (“IIT”) conducted at Renji Hospital in Shanghai, China in collaboration with Hannover Medical School in Hanover, Germany. As of May 27, 2026, four PiZZ AATD patients have been treated. As of a data cutoff date of June 5, 2026, SERP-01 has been observed to have favorable safety characteristics that are well-tolerated and has generated what Serapha believes is compelling preliminary evidence of serum AAT at near-normal levels in treated patients. In March 2026, the U.S. Food and Drug Administration (“FDA”) cleared an investigational new drug application (“IND”) submitted by YolTech for SERP-01, permitting the initiation of a Phase 2/3 clinical trial of SERP-01 in the United States. In June 2026, Serapha entered into the YolTech License Agreement, pursuant to which Serapha obtained exclusive rights to develop, manufacture and commercialize SERP-01 outside of Greater China. In connection with the YolTech License Agreement, YolTech transferred sponsorship of the IND to Serapha, and Serapha is the current sponsor of the IND. Serapha intends to pursue a development path to support accelerated approval based on restoration of serum AAT as a surrogate endpoint designed to predict clinical benefit. In May 2026, the FDA granted SERP-01 orphan drug designation for the treatment of PiZZ AATD and Regenerative Medicine Advanced Therapy (“RMAT”) designation.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a direct, wholly owned subsidiary of Boundless Bio and was formed solely for the purpose of carrying out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The Merger </w:t>
      </w:r>
      <w:r>
        <w:rPr>
          <w:rFonts w:ascii="Times New Roman" w:hAnsi="Times New Roman"/>
          <w:b/>
          <w:sz w:val="20"/>
          <w:bdr w:val="single" w:sz="8" w:space="1" w:color="000000"/>
        </w:rPr>
        <w:t xml:space="preserve">(see page 147)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satisfaction or waiver of the closing conditions set forth in the Merger Agreement, at the Closing, Merger Sub will merge with and into Serapha, with Serapha continuing as a wholly owned subsidiary of Boundless Bio and the surviving corporation of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Boundless Bio’s Reasons for the Merger (see page 153)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decision to approve the Merger Agreement and the transactions contemplated by the Merger Agreement, the Boundless Bio Board of Directors held numerous meetings, consulted with Boundless Bio’s management, outside legal counsel and financial advisor, and considered a wide variety of factors. Following a thorough process of reviewing and analyzing potential strategic alternatives, the Boundless Bio Board of Directors considered a number of factors that it viewed as supporting its decision to approve the Merger Agreement, including (but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Merger will provide Boundless Bio existing stockholders an opportunity to participate in the potential growth of the Combined Company, which will focus on the development of SERP-01, Serapha’s lead product candidate licensed from YolTech, while also receiving a cash payment on account of the Boundless Bio Pre-Closing Dividend;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Boundless Bio and the risks associated with continuing to operate Boundless Bio on a stand-alone basis, particularly in light of the significant decline in the trading price of Boundless Bio Common Stock over the preceding two years and the risks and costs associated with maintaining Boundless Bio’s Nasdaq listing;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Boundless Bio would have difficulty raising a sufficient amount of additional capital to fund development of its product candidate as a standalone company in light of, among other things, emerging clinical data for BBI-940 from the KOMODO-1 study, and the significant decline in Boundless Bio’s share price over the preceding two years;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after a comprehensive and thorough strategic process, including extensive multi-year in-licensing efforts, outreach by Lucid Capital Markets, LLC (“Lucid”) to approximately 14 potential counterparties resulting in two non-binding proposals, and consideration of other alternatives including dissolution and liquidation, the Merger is more favorable to Boundless Bio stockholders than the potential value that might have resulted from remaining a standalone company, entering into other strategic alternatives available to Boundless Bio, or liquidating or dissolving its business and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terms and conditions of the Merger Agreement are fair and reasonable to Boundless Bio and its stockholders, taking into account the Exchange Ratio, the Boundless Bio Pre-Closing Dividend of approximately $44 million to $48 million representing substantially all of Boundless Bio’s anticipated remaining net cash, the $12.5 million enterprise value ascribed to Boundless Bio, the Support Agreements and the absence of any superior alternative proposals;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received the opinion of Lucid, its financial advisor, that as of June 21, 2026 and based upon and subject to the various assumptions made, procedures followed, matters considered, and qualifications and limitations set forth in its written opinion, the Exchange Ratio to be paid by Boundless Bio pursuant to the Merger Agreement was fair, from a financial point of view, to the holders of Boundless Bio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Boundless Bio Board of Directors also considered a variety of risks and other countervailing factors related to entering into the Merger,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 million termination fee payable by Boundless Bio upon the occurrence of certain events and the substantial expenses to be incurred by Boundless Bio in connection with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Boundless Bio from soliciting alternative acquisition proposals during the pendency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or the Serapha Pre-Closing Financing might not be consummated in a timely manner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dilution to existing Boundless Bio stockholders, who are expected to hold approximately 4.2% of the outstanding shares of the Combined Company on a fully-diluted basis immediately following the Merger, and the loss of governance control, as all current officers and directors of Boundless Bio will be replaced following the closing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proposed transaction, including those described in the section titled “</w:t>
            </w:r>
            <w:r>
              <w:rPr>
                <w:rFonts w:ascii="Times New Roman" w:hAnsi="Times New Roman"/>
                <w:i/>
                <w:sz w:val="20"/>
              </w:rPr>
              <w:t>Risk Factors</w:t>
            </w:r>
            <w:r>
              <w:rPr>
                <w:rFonts w:ascii="Times New Roman" w:hAnsi="Times New Roman"/>
                <w:sz w:val="20"/>
              </w:rPr>
              <w:t xml:space="preserve">” beginning on page 19 of this proxy statement/prospectus.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information is not intended to be exhaustive but is believed to include a summary of the material factors considered by the Boundless Bio Board of Directors in its consideration of the Merger Agreement and the transactions contemplated thereby. After conducting an overall analysis of these and other factors, including thorough discussions with, and questioning of, Boundless Bio’s management, outside legal counsel and financial advisor, the Boundless Bio Board of Directors concluded that the benefits, advantages and opportunities of a potential transaction outweighed the uncertainties and risks described above. Based on this overall analysis of the factors described above, the Boundless Bio Board of Directors approved the Merger Agreement, the Merger, and the other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Serapha’s Reasons for the Merger (see page 157)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and the Serapha Pre-Closing Financing, the Serapha Board of Directors held numerous meetings, consulted with Serapha’s senior management, legal counsel and financial advisors, and considered a wide variety of factors. Ultimately, the Serapha Board of Directors concluded that a merger with Boundless Bio, together with the additional financing committed from the Serapha Pre-Closing Financing, was the best option to generate capital resources to support the advancement of Serapha’s pipeline and fund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factors the Serapha Board of Directors considered included the following (which factors are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Serapha’s pipeline, compared to the capital and investors Serapha could otherwise gain access to if it continued to operate as a privately-held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Serapha and its pipeline;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Serapha’s business, including its financial performance and condition, operations, management and preclinical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belief that no alternatives to the Merger, together with the additional financing committed from the Serapha Pre-Closing Financing, were reasonably likely to create greater value for Serapha stockholders, after considering the various financing and other strategic options to enhance stockholder value that were considered by the Serapha Board of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expectation that the Merger, together with the additional financing committed from the Serapha Pre-Closing Financing, would be a higher probability and more cost-effective means to access capital than other options considered, including an initial public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Boundless Bio;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Serapha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Boundless Bio Common Stock and/or Boundless Bio Pre-Funded Warrants and/or Assumed Warrants to be issued to Serapha stockholders in the Merger is fixed, except for adjustments due to the Boundless Bio Net Cash balance, the amount of proceeds from the Serapha Pre-Closing Financing and outstanding capital stock at Closing, and thus the relative percentage ownership of Boundless Bio stockholders and Serapha stockholders in the Combined Company immediately following the completion of the Merger is similarly fixed;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the Boundless Bio Net Cash prior to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Boundless Bio could, under certain circumstances, consider unsolicited acquisition proposals if such proposals are superior to the Merger or change its recommendation to approve the Merger upon certain events;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Serapha senior management required to complete the Merger, the related disruptions or potential disruptions to Serapha’s business operations and future prospects, including its relationships with its employees, suppliers and partners and others that do business or may do business in the future with Serapha, and related administrative challenges associated with combining the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Serapha’s business will be subject following the Merger that Serapha has not previously been subject to, and the operational changes to Serapha’s business, in each case that may result from being a public company;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19 of this proxy statement/prospectus.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Boundless Bio’s Directors and Executive Officers in the Merger (see page 174)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Boundless Bio Board of Directors with respect to approving the Nasdaq Stock Issuance Proposal, Nasdaq Reverse Split Proposal, Authorized Share Increase Proposal, Stock Plan Proposal, ESPP Proposal and Adjournment Proposal, stockholders should be aware that Boundless Bio’s directors and executive officers have interests in the Merger that are different from, or in addition to, the interests of Boundless Bio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and the Nasdaq Reverse Split).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Certain current and/or former executive officers of Boundless Bio have received or may receive (i) transaction or retention bonuses and other additional compensation in accordance with the terms of their respective offer letters, and (ii) severance benefits in accordance with the terms of their respective separation agreements or offer letters, as applicable, in connection with the Merger and/or the terminations of their employment, in each case, as described in further detail in the section of this proxy statement/prospectus titled “</w:t>
            </w:r>
            <w:r>
              <w:rPr>
                <w:rFonts w:ascii="Times New Roman" w:hAnsi="Times New Roman"/>
                <w:i/>
                <w:sz w:val="20"/>
              </w:rPr>
              <w:t>Interests of Boundless Bio’s Directors and Executive Officers in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material payments to the current and/or former executives of Boundless Bio are factored into the calculation of Boundless Bio Net Cash as deductions, including any bonus, retention payments, severance, change in control payments or similar payment obligations (including payments with “single trigger” provisions triggered at and as of the consummation of the transactions contemplated hereby) that are due or payable to any director, officer, employee or consultant as a result of the consummation of the Contemplated Transactions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any Boundless Bio Legacy Transaction, together with any payroll taxes associated therewith. The amount of the Boundless Bio Pre-Closing Dividend payable to Boundless Bio stockholders is directly affected by the amount of payments made to Boundless Bio current and/or former executives at or prior to the Closing. Any increase in such payments will reduce Boundless Bio Net Cash and, accordingly, reduce the aggregate amount of the Boundless Bio Pre-Closing Dividend.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Boundless Bio Board of Directors was aware of these potential conflicts of interest and considered them, among other matters, in reaching its decision to approve the Merger Agreement and the Merger, and to recommend that Boundless Bio stockholders approve the Merger as contemplated by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Serapha Directors and Executive Officers in the Merger (see page 178)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Serapha Board of Directors with respect to approving the Nasdaq Stock Issuance Proposal, Nasdaq Reverse Split Proposal, Authorized Share Increase Proposal, Stock Plan Proposal, ESPP Proposal and Adjournment Proposal, stockholders should be aware that Serapha’s directors and executive officers have interests in the Merger that are different from, or in addition to, the interests of Serapha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July 31, 2026, Serapha’s current non-employee directors and executive officers beneficially owned, in the aggregate, approximately 40.8% of the shares of Serapha Capital Stock, which for purposes of this subsection excludes any shares of Serapha Common Stock issuable upon exercise or settlement of Serapha Options and Serapha RSUs held by such individuals;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RTW Holdings X, LLC, an affiliate of Piratip Pratumsuwan and Paul Lu, each a Serapha director, RA Capital Management, L.P. (“RA Capital Management”), an affiliate of Laura Tadvalkar and Matthew Hammond, each a Serapha director, and Decheng Capital Global Life Sciences Fund V, L.P. (“Decheng Capital”), an affiliate of Victor Tong, a Serapha director, currently hold shares of Serapha Capital Stock and have agreed to purchase shares of Serapha Common Stock and Serapha Pre-Funded Warrants in the Serapha Pre-Closing Financing;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Serapha Option and Serapha RSU held by Serapha’s executive officers and directors, whether or not vested, will be converted into an Assumed Option or an Assumed RSU, respectively, on the same terms and conditions (including any vesting and acceleration provisions), subject to adjustment as set forth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Serapha’s directors and executive officers are expected to become directors and executive officers of the Combined Company upon completion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Serapha Board of Directors was aware of these potential conflicts of interest and considered them, among other matters, in reaching its decision to approve the Merger Agreement and the Merger, and to recommend that Serapha stockholders approve the Merger as contemplated by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of Boundless Bio’s Financial Advisor (see page 160)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retained Lucid as its financial advisor in connection with the Merger and the other transactions contemplated by the Merger Agreement. On June 21, 2026, Lucid rendered the Boundless Bio Board of Directors its oral opinion, which was subsequently confirmed by a written opinion addressed to the Boundless Bio Board of Directors, dated June 21, 2026, that based upon and subject to the text of the written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including the various assumptions and limitations set forth therein and such other factors that Lucid deemed relevant, it is its opinion that, as of such date, the Exchange Ratio is fair, from a financial point of view, to the holders of Boundless Bio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Lucid, dated June 21, 2026, which describes the assumptions made and the qualifications and limitations upon the review undertaken by Lucid in preparing its opinion, is attached as </w:t>
      </w:r>
      <w:r>
        <w:rPr>
          <w:rFonts w:ascii="Times New Roman" w:hAnsi="Times New Roman"/>
          <w:i/>
          <w:sz w:val="20"/>
          <w:bdr w:val="single" w:sz="8" w:space="1" w:color="000000"/>
        </w:rPr>
        <w:t>Annex E</w:t>
      </w:r>
      <w:r>
        <w:rPr>
          <w:rFonts w:ascii="Times New Roman" w:hAnsi="Times New Roman"/>
          <w:sz w:val="20"/>
          <w:bdr w:val="single" w:sz="8" w:space="1" w:color="000000"/>
        </w:rPr>
        <w:t xml:space="preserve"> to this proxy statement/prospectus and is incorporated herein by reference. </w:t>
      </w:r>
      <w:r>
        <w:rPr>
          <w:rFonts w:ascii="Times New Roman" w:hAnsi="Times New Roman"/>
          <w:b/>
          <w:sz w:val="20"/>
          <w:bdr w:val="single" w:sz="8" w:space="1" w:color="000000"/>
        </w:rPr>
        <w:t xml:space="preserve">Lucid’s financial advisor services and opinion were provided for the information and assistance of the Boundless Bio Board of Directors (in their capacity as directors and not in any other capacity) in connection with and for purposes of the Boundless Bio Board of Directors’ consideration of the Merger and the opinion of Lucid addressed only the fairness, from a financial point of view, as of the date thereof, to Boundless Bio of the Exchange Ratio pursuant to the terms of the Merger Agreement. The opinion of Lucid did not address any other term or </w:t>
      </w:r>
      <w:r>
        <w:rPr>
          <w:rFonts w:ascii="Times New Roman" w:hAnsi="Times New Roman"/>
          <w:sz w:val="20"/>
          <w:bdr w:val="single" w:sz="8" w:space="1" w:color="000000"/>
        </w:rPr>
        <w:t xml:space="preserve">aspect of the Merger Agreement or the Merger and does not constitute a recommendation to any stockholder of Boundless Bio as to whether or how such holder should vote with respect to the Merger or otherwise act with respect to the Merger or any other matter.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Lucid should be read carefully in its entirety for a description of the assumptions made and limitations upon the review undertaken by Lucid in preparing its opinion.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of the Merger Agreement and Agreements Related to the Merger Agreement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(see page 191)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Effective Time, upon the terms and subject to the conditions set forth in the Merger Agreement, (i) each then-outstanding share of Serapha Capital Stock (including any shares of Serapha Capital Stock issued in the Serapha Pre-Closing Financing), excluding any shares of Serapha Capital Stock to be cancelled pursuant to the Merger Agreement, will be converted into the right to receive a number of shares of Boundless Bio Common Stock, equal to the Exchange Ratio (described in more detail in the section titled “</w:t>
      </w:r>
      <w:r>
        <w:rPr>
          <w:rFonts w:ascii="Times New Roman" w:hAnsi="Times New Roman"/>
          <w:i/>
          <w:sz w:val="20"/>
          <w:bdr w:val="single" w:sz="8" w:space="1" w:color="000000"/>
        </w:rPr>
        <w:t>The Merger Agreement — Exchange Ratio</w:t>
      </w:r>
      <w:r>
        <w:rPr>
          <w:rFonts w:ascii="Times New Roman" w:hAnsi="Times New Roman"/>
          <w:sz w:val="20"/>
          <w:bdr w:val="single" w:sz="8" w:space="1" w:color="000000"/>
        </w:rPr>
        <w:t xml:space="preserve">” beginning on page 192 of this proxy statement/prospectus), (ii) each then-outstanding Serapha Option will be converted into and become an Assumed Option, subject to adjustment as set forth in the Merger Agreement, (iii) each then-outstanding Serapha RSU will be converted into and become an Assumed RSU, subject to adjustment as set forth in the Merger Agreement, and (iv) each then-outstanding and unexercised Serapha Warrant (including any Serapha Pre-Funded Warrants) will be converted into an Assumed Warrant, subject to adjustment as set forth in the Merger Agreement.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Boundless Bio securityholders as of immediately prior to the Merger are expected to own approximately 4.2% of the outstanding shares of capital stock of the Combined Company on a fully-diluted basis and former holders of Serapha securities are expected to own approximately 95.8% of the outstanding shares of capital stock of the Combined Company on a fully-diluted basis. Under certain circumstances further described in the Merger Agreement, the ownership percentages may be adjusted up or down including, but not limited to, if Boundless Bio Net Cash as of Closing is lower than $0. After taking into account the 2026 ESPP and 2026 Stock Plan, Boundless Bio securityholders as of immediately prior to the Merger are expected to own approximately 3.7% of the fully-diluted capitalization of the Combined Company and former Serapha securityholders are expected to own approximately 96.3% of fully-diluted capitalization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prior to the Effective Time, the Boundless Bio Board of Directors expects to declare the Boundless Bio Pre-Closing Dividend to the pre-Merger Boundless Bio stockholders equal in the aggregate to Boundless Bio’s reasonable, good faith approximation of the amount by which Boundless Bio Net Cash (as determined pursuant to the Merger Agreement) is expected to exceed $0. Boundless Bio management currently estimates that the aggregate amount of cash to be distributed to stockholders of record as of the record date for the Boundless Bio Pre-Closing Dividend will be approximately $44 million to $48 million.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Serapha Options (see page 196)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Boundless Bio will assume the Serapha Equity Incentive Plan and each Serapha Option that is outstanding and unexercised immediately prior to the Effective Time, whether or not vested, will be assumed and converted into an Assumed Option.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(i) each outstanding Serapha Option assumed by Boundless Bio may be exercised solely for shares of Boundless Bio Common Stock; (ii) the number of shares of Boundless Bio Common Stock subject to each outstanding Serapha Option assumed by Boundless Bio will be determined by multiplying (A) the number of shares of Serapha Common Stock that were subject to such Serapha Option assumed by Boundless Bio, as in effect immediately prior to the Effective Time, by (B) the Exchange Ratio, and rounding the resulting number down to the nearest whole number of shares of Boundless Bio Common Stock; and (iii) the per share exercise price of each Serapha Option assumed by Boundless Bio will be determined by dividing (A) the per share exercise price of such Serapha Option, as in effect immediately prior to the Effective Time, by (B) the Exchange Ratio, and rounding the resulting exercise price up to the nearest whole cent. Each Serapha Option assumed by Boundless Bio will otherwise continue in full force and effect and the term, exercisability, vesting schedule, acceleration rights and other terms and conditions of such Serapha Option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Serapha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Serapha RSUs (see page 196)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Boundless Bio will assume the Serapha Equity Incentive Plan and each Serapha RSU that is outstanding immediately prior to the Effective Time, whether or not vested, will be assumed and converted into an Assumed RSU.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(i) each outstanding Serapha RSU assumed by Boundless Bio may be settled solely for shares of Boundless Bio Common Stock; and (ii) the number of shares of Boundless Bio Common Stock subject to each outstanding Serapha RSU assumed by Boundless Bio will be determined by multiplying (A) the number of shares of Serapha Common Stock that were subject to such Serapha RSU assumed by Boundless Bio, as in effect immediately prior to the Effective Time, by (B) the Exchange Ratio, and rounding the resulting number down to the nearest whole number of shares of Boundless Bio Common Stock. Each Serapha RSU assumed by Boundless Bio will otherwise continue in full force and effect and the term, vesting schedule, acceleration rights and other terms and conditions of such Serapha RSU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Serapha RSU shall, in accordance with its terms, continue to be subject to further adjustment as appropriate to reflect any stock split, division or subdivision of shares, stock dividend,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Serapha Warrants and Serapha Pre-Funded Warrants (see page 197)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at the Effective Time, each Serapha Warrant (including any Serapha Pre-Funded Warrants issued pursuant to the Serapha Pre-Closing Financing), whether vested or unvested, that is outstanding and unexercised immediately prior to the Effective Time, will be converted into an Assumed Warrant.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(i) each Assumed Warrant may be exercised solely for shares of Boundless Bio Common Stock; (ii) the number of shares of Boundless Bio Common Stock subject to each outstanding Assumed Warrant will be determined by multiplying (A) the number of shares of Serapha Common Stock subject to each Assumed Warrant immediately prior to the Effective Time (determined on an as-converted basis for any Serapha Warrant representing the right to acquire Serapha Preferred Stock), by (B) the Exchange Ratio (rounded up to the next whole share of Boundless Bio Common Stock to the extent the aggregate amount of fractional shares of Boundless Bio Common Stock such holder would otherwise be entitled to is equal to or exceeds 0.50, and otherwise rounded down); and (iii) such Assumed Warrant will have an exercise price per share (rounded up to the nearest whole cent) equal to dividing (A) the exercise price per share of Serapha Common Stock otherwise purchasable pursuant to such Assumed Warrant immediately prior to the Effective Time, by (B) the Exchange Ratio. Each Assumed Warrant will otherwise continue in full force and effect and on the same terms and conditions (including any vesting provisions and any provisions providing for accelerated vesting upon events) as were applicable under such Assumed Warrant as of immediately prior to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the extent provided under the terms of an Assumed Warrant in accordance with the terms of the Merger Agreement, such Assumed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Boundless Bio Common Stock and Boundless Bio Options (see page 197)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contemplated by the proposed increase in the number of authorized shares of Boundless Bio Common Stock described in Proposal No. 3 of this proxy statement/prospectus and the Nasdaq Reverse Split described in Proposal No. 2 of this proxy statement/prospectus, Boundless Bio Common Stock will remain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Completion of the Merger (see page 207)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Boundless Bio stockholders must approve Proposal No. 1, Proposal No. 2 and Proposal No. 3 (collectively, the Boundless Bio Stockholder Matters) and Serapha stockholders must adopt the Merger Agreement and approve the Merger and the Contemplated Transactions. Additionally, each of the other closing conditions set forth in the Merger Agreement must be satisfied or waived.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Non-Solicitation (see page 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Boundless Bio and Serapha from soliciting a competing transaction. Each of Boundless Bio and Serapha have agreed that, subject to certain exceptions, Boundless Bio and Serapha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(as defined below) or Acquisition Inquiry (as defined below);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(as defined below);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Board Recommendation Change (see page 204)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the Serapha Board of Directors nor the Boundless Bio Board of Directors may change its recommendation in favor of the Merger, except that prior to the approval and adoption of the Merger Agreement by the Required Boundless Bio Stockholder Vote, the Boundless Bio Board of Directors may effect a change in recommendation as a result of a material development or change in circumstances, or with respect to a Superior Offer (as defined below)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determines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provided at least four business days’ prior written notice to Serapha that it intends to effect a change in recommendation, and during such period has caused its financial advisor and outside legal counsel to, negotiate with the Serapha in good faith to make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to the terms and conditions of the Merger Agreement so that the Acquisition Proposal (as defined below)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Serapha has delivered to Boundless Bio a written offer to alter the terms or conditions of the Merger Agreement during the four business day period referred to above, the Boundless Bio Board of Directors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any material amendment to any Superior Offer, Boundless Bio will be required to provide Serapha with notice of such material amendment and there would be a new three 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case of a Boundless Bio Intervening Event (as defined below), Boundless Bio will promptly notify Serapha before effecting a change in recommendation. The written notice is required to state the material facts and circumstances related to the applicable Boundless Bio Intervening Event and that the Boundless Bio Board of Directors intends to make a change in recommendation.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of the Merger Agreement (see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Boundless Bio or Serapha may terminate the Merger Agreement under certain circumstances, which would prevent the Merger from being consummated.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Boundless Bio could be required to pay Serapha a termination fee of $1,000,000 or Serapha could be required to pay Boundless Bio a termination fee of $1,000,000.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Support Agreements (see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Decheng Capital Global Life Sciences Fund V-A, L.P., Decheng Capital Global Life Sciences Fund V-B, L.P., Decheng Capital Global Life Sciences Fund V, L.P., RA Capital Healthcare Fund, L.P., RA Capital Nexus Fund IV, L.P. and RTW Holdings X, LLC (solely in their respective capacities as Serapha stockholders) holding approximately 65% of the outstanding shares of Serapha Capital Stock, have entered into support agreements with Serapha and Boundless Bio to vote all of their shares of Serapha Capital Stock in favor of the adoption and approval of the Merger Agreement, the other Contemplated Transactions and the other actions contemplated by the Merger Agreement and against any alternative Acquisition Proposal (the “Serapha Support Agreements”).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executive officers and directors of Boundless Bio holding approximately 1.7% of the outstanding shares of Boundless Bio Capital Stock have entered into support agreements with Boundless Bio and Serapha to vote all of their shares of Boundless Bio Capital Stock in favor of approving the Contemplated Transactions, including the Boundless Bio Stockholder Matters and the other actions contemplated by the Merger Agreement and against any alternative Acquisition Proposals (the “Boundless Bio Support Agreements”).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Lock-Up Agreements (see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Serapha’s executive officers and directors will enter into lock-up agreements, pursuant to which such parties will agree not to, except in limited circumstances, offer, pledge, sell, contract to sell, sell any option or contract to purchase, purchase any option or contract to sell, grant any option, right or warrant to purchase,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otherwise transfer or dispose of, directly or indirectly, any shares of Boundless Bio Common Stock or any securities convertible into or exercisable or exchangeable for Boundless Bio Common Stock, currently or thereafter owned, but excluding, as applicable, shares purchased by existing Serapha stockholders in the Serapha Pre-Closing Financing (including any shares of Boundless Bio Common Stock issuable upon exercise of Assumed Warrants issued in exchange for Serapha Pre-Funded Warrants sold in the Serapha Pre-Closing Financing), until 180 days after the Effective Time.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A Financing Agreement (see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institutional and accredited investors of Serapha entered into the Series A Financing Agreement, pursuant to which such investors invested in a private placement of Serapha Series A Preferred Stock for an aggregate purchase price of approximately $138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Series A Financing Agreement contains customary representations and warranties of Serapha and also contains customary representations and warranties of the purchaser parties thereto.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Securities Purchase Agreement and Registration Rights Agreement (see pages 212 and 214)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institutional and accredited investors of Serapha entered into the Securities Purchase Agreement with Serapha, pursuant to which such investors have agreed to purchase, immediately prior to the Merger, shares of Serapha Common Stock or, in lieu thereof, Serapha Pre-Funded Warrants, representing an aggregate commitment of approximately $92 million in the Serapha Pre-Closing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Serapha Common Stock and Serapha Pre-Funded Warrants that are issued in the Serapha Pre-Closing Financing will be or will have the right to be, respectively, converted into shares of Boundless Bio Common Stock in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contains customary representations and warranties of Serapha and also contains customary representations and warranties of the purchaser parties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also contemplates Serapha and the investors participating in the Serapha Pre-Closing Financing entering into a Registration Rights Agreement at the closing of the Serapha Pre-Closing Financing, pursuant to which, among other things, the Combined Company will agree to provide for the registration and resale of certain shares of Boundless Bio Common Stock that are held by the investors participating in the Serapha Pre-Closing Financing from time to time pursuant to Rule 415.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name, age as of July 31, 2026, and position of each of the individuals who are expected to serve as executives and directors of the Combined Company following completion of the Merger: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932"/>
        <w:gridCol w:w="203"/>
        <w:gridCol w:w="309"/>
        <w:gridCol w:w="203"/>
        <w:gridCol w:w="4558"/>
      </w:tblGrid>
      <w:tr>
        <w:trPr/>
        <w:tc>
          <w:tcPr>
            <w:tcW w:w="493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558" w:type="dxa"/>
            <w:tcBorders/>
            <w:vAlign w:val="center"/>
          </w:tcPr>
          <w:p>
            <w:pPr>
              <w:pStyle w:val="TableContents"/>
              <w:bidi w:val="0"/>
              <w:spacing w:before="0" w:after="283"/>
              <w:jc w:val="left"/>
              <w:rPr>
                <w:sz w:val="4"/>
                <w:szCs w:val="4"/>
              </w:rPr>
            </w:pPr>
            <w:r>
              <w:rPr>
                <w:sz w:val="4"/>
                <w:szCs w:val="4"/>
              </w:rPr>
            </w:r>
          </w:p>
        </w:tc>
      </w:tr>
      <w:tr>
        <w:trPr/>
        <w:tc>
          <w:tcPr>
            <w:tcW w:w="493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3" w:type="dxa"/>
            <w:tcBorders/>
            <w:vAlign w:val="bottom"/>
          </w:tcPr>
          <w:p>
            <w:pPr>
              <w:pStyle w:val="TableContents"/>
              <w:bidi w:val="0"/>
              <w:spacing w:before="0" w:after="283"/>
              <w:jc w:val="left"/>
              <w:rPr/>
            </w:pPr>
            <w:r>
              <w:rPr/>
              <w:t>  </w:t>
            </w:r>
          </w:p>
        </w:tc>
        <w:tc>
          <w:tcPr>
            <w:tcW w:w="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03" w:type="dxa"/>
            <w:tcBorders/>
            <w:vAlign w:val="bottom"/>
          </w:tcPr>
          <w:p>
            <w:pPr>
              <w:pStyle w:val="TableContents"/>
              <w:bidi w:val="0"/>
              <w:spacing w:before="0" w:after="283"/>
              <w:jc w:val="left"/>
              <w:rPr/>
            </w:pPr>
            <w:r>
              <w:rPr/>
              <w:t>  </w:t>
            </w:r>
          </w:p>
        </w:tc>
        <w:tc>
          <w:tcPr>
            <w:tcW w:w="45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493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0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55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932" w:type="dxa"/>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4761" w:type="dxa"/>
            <w:gridSpan w:val="2"/>
            <w:tcBorders/>
            <w:vAlign w:val="center"/>
          </w:tcPr>
          <w:p>
            <w:pPr>
              <w:pStyle w:val="TableContents"/>
              <w:bidi w:val="0"/>
              <w:spacing w:before="0" w:after="283"/>
              <w:jc w:val="left"/>
              <w:rPr>
                <w:sz w:val="4"/>
                <w:szCs w:val="4"/>
              </w:rPr>
            </w:pPr>
            <w:r>
              <w:rPr>
                <w:sz w:val="4"/>
                <w:szCs w:val="4"/>
              </w:rPr>
            </w:r>
          </w:p>
        </w:tc>
      </w:tr>
      <w:tr>
        <w:trPr/>
        <w:tc>
          <w:tcPr>
            <w:tcW w:w="4932" w:type="dxa"/>
            <w:tcBorders/>
          </w:tcPr>
          <w:p>
            <w:pPr>
              <w:pStyle w:val="TableContents"/>
              <w:bidi w:val="0"/>
              <w:spacing w:before="0" w:after="0"/>
              <w:jc w:val="left"/>
              <w:rPr>
                <w:rFonts w:ascii="Times New Roman" w:hAnsi="Times New Roman"/>
                <w:sz w:val="20"/>
              </w:rPr>
            </w:pPr>
            <w:r>
              <w:rPr>
                <w:rFonts w:ascii="Times New Roman" w:hAnsi="Times New Roman"/>
                <w:sz w:val="20"/>
              </w:rPr>
              <w:t>Kenneth Mills</w:t>
            </w:r>
          </w:p>
        </w:tc>
        <w:tc>
          <w:tcPr>
            <w:tcW w:w="2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center"/>
              <w:rPr/>
            </w:pPr>
            <w:r>
              <w:rPr/>
              <w:t>51</w:t>
            </w:r>
          </w:p>
        </w:tc>
        <w:tc>
          <w:tcPr>
            <w:tcW w:w="203" w:type="dxa"/>
            <w:tcBorders/>
            <w:vAlign w:val="bottom"/>
          </w:tcPr>
          <w:p>
            <w:pPr>
              <w:pStyle w:val="TableContents"/>
              <w:bidi w:val="0"/>
              <w:spacing w:before="0" w:after="283"/>
              <w:jc w:val="left"/>
              <w:rPr/>
            </w:pPr>
            <w:r>
              <w:rPr/>
              <w:t>  </w:t>
            </w:r>
          </w:p>
        </w:tc>
        <w:tc>
          <w:tcPr>
            <w:tcW w:w="4558" w:type="dxa"/>
            <w:tcBorders/>
          </w:tcPr>
          <w:p>
            <w:pPr>
              <w:pStyle w:val="TableContents"/>
              <w:bidi w:val="0"/>
              <w:spacing w:before="0" w:after="283"/>
              <w:jc w:val="left"/>
              <w:rPr/>
            </w:pPr>
            <w:r>
              <w:rPr/>
              <w:t>President, Chief Executive Officer and Director</w:t>
            </w:r>
          </w:p>
        </w:tc>
      </w:tr>
      <w:tr>
        <w:trPr>
          <w:trHeight w:val="120" w:hRule="atLeast"/>
        </w:trPr>
        <w:tc>
          <w:tcPr>
            <w:tcW w:w="4932" w:type="dxa"/>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4761" w:type="dxa"/>
            <w:gridSpan w:val="2"/>
            <w:tcBorders/>
            <w:vAlign w:val="center"/>
          </w:tcPr>
          <w:p>
            <w:pPr>
              <w:pStyle w:val="TableContents"/>
              <w:bidi w:val="0"/>
              <w:spacing w:before="0" w:after="283"/>
              <w:jc w:val="left"/>
              <w:rPr>
                <w:sz w:val="4"/>
                <w:szCs w:val="4"/>
              </w:rPr>
            </w:pPr>
            <w:r>
              <w:rPr>
                <w:sz w:val="4"/>
                <w:szCs w:val="4"/>
              </w:rPr>
            </w:r>
          </w:p>
        </w:tc>
      </w:tr>
      <w:tr>
        <w:trPr/>
        <w:tc>
          <w:tcPr>
            <w:tcW w:w="493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2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5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Considerations of the Merger (see page 182)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is intended to qualify as a “reorganization” within the meaning of Section 368(a) of the Code and/or an exchange of shares of Serapha Capital Stock for Boundless Bio Common Stock under Section 351(a) of the Code. Assuming the Merger so qualifies, then subject to the limitations and qualifications described in the section titled “</w:t>
      </w:r>
      <w:r>
        <w:rPr>
          <w:rFonts w:ascii="Times New Roman" w:hAnsi="Times New Roman"/>
          <w:i/>
          <w:sz w:val="20"/>
          <w:bdr w:val="single" w:sz="8" w:space="1" w:color="000000"/>
        </w:rPr>
        <w:t>The Merger — Material U.S.</w:t>
      </w:r>
      <w:r>
        <w:rPr>
          <w:rFonts w:ascii="Times New Roman" w:hAnsi="Times New Roman"/>
          <w:sz w:val="20"/>
          <w:bdr w:val="single" w:sz="8" w:space="1" w:color="000000"/>
        </w:rPr>
        <w:t> </w:t>
      </w:r>
      <w:r>
        <w:rPr>
          <w:rFonts w:ascii="Times New Roman" w:hAnsi="Times New Roman"/>
          <w:i/>
          <w:sz w:val="20"/>
          <w:bdr w:val="single" w:sz="8" w:space="1" w:color="000000"/>
        </w:rPr>
        <w:t>Federal Income Tax Considerations of the Merger</w:t>
      </w:r>
      <w:r>
        <w:rPr>
          <w:rFonts w:ascii="Times New Roman" w:hAnsi="Times New Roman"/>
          <w:sz w:val="20"/>
          <w:bdr w:val="single" w:sz="8" w:space="1" w:color="000000"/>
        </w:rPr>
        <w:t>” beginning on page 182 of this proxy statement/prospectus, a U.S. Holder of Serapha Capital Stock will not recognize gain or loss upon the exchange of its Serapha Capital Stock for Boundless Bio Common Stock. Since Boundless Bio stockholders will not sell, exchange or dispose of any shares of Boundless Bio Common Stock as a result of the Merger, there will be no material U.S. federal income tax considerations to Boundless Bio stockholders as a result of the Merger. For a more detailed discussion of the material U.S. federal income tax considerations of the Merger, see the section titled “</w:t>
      </w:r>
      <w:r>
        <w:rPr>
          <w:rFonts w:ascii="Times New Roman" w:hAnsi="Times New Roman"/>
          <w:i/>
          <w:sz w:val="20"/>
          <w:bdr w:val="single" w:sz="8" w:space="1" w:color="000000"/>
        </w:rPr>
        <w:t>The Merger — Material U.S.</w:t>
      </w:r>
      <w:r>
        <w:rPr>
          <w:rFonts w:ascii="Times New Roman" w:hAnsi="Times New Roman"/>
          <w:sz w:val="20"/>
          <w:bdr w:val="single" w:sz="8" w:space="1" w:color="000000"/>
        </w:rPr>
        <w:t> </w:t>
      </w:r>
      <w:r>
        <w:rPr>
          <w:rFonts w:ascii="Times New Roman" w:hAnsi="Times New Roman"/>
          <w:i/>
          <w:sz w:val="20"/>
          <w:bdr w:val="single" w:sz="8" w:space="1" w:color="000000"/>
        </w:rPr>
        <w:t>Federal Income Tax Considerations of the Merger</w:t>
      </w:r>
      <w:r>
        <w:rPr>
          <w:rFonts w:ascii="Times New Roman" w:hAnsi="Times New Roman"/>
          <w:sz w:val="20"/>
          <w:bdr w:val="single" w:sz="8" w:space="1" w:color="000000"/>
        </w:rPr>
        <w:t xml:space="preserve">,” beginning on page 182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(see page 19)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Boundless Bio and Serapha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the Proposed Merger</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with Serapha could materially and adversely affect Boundless Bio’s results of operations, business, financial results and/or common stock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for the Merger will not change or otherwise be adjusted based on the market price of Boundless Bio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Boundless Bio Common Stock, including the shares of Boundless Bio Common Stock issued in exchange for shares of Serapha Common Stock issued in the Serapha Pre Closing Financing, to Serapha stockholders pursuant to the Merger Agreement and the resulting change in control from the Merger, and the Nasdaq Reverse Split, must be approved by Boundless Bio stockholders, and the Merger Agreement and transactions contemplated thereby must be approved by the Serapha stockholders. Failure to obtain these approvals would prevent the closing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Boundless Bio completes the Merger, the Combined Company will need to raise additional capital, including by potentially issuing equity securities or incurring debt, which may cause significant dilution to the Combined Company’s stockholders or restrict the Combined Company’s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Boundless Bio’s and Serapha’s directors and executive officers have interests in the Merger that are different from yours and that may influence them to support or approve the Merger without regard to your interests;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stockholders and Serapha stockholders may not realize a benefit from the Merger commensurate with the ownership dilution they will experience in connection with the Merger, including the conversion of Serapha Common Stock issued in the Serapha Pre Closing Financing.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the Proposed Nasdaq Reverse Split</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may not increase the Combined Company’s stock price over the long term;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may decrease the liquidity of the Combined Company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may lead to a decrease in the Combined Company’s overall market capitalization.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Risks Related to Boundless Bio</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has a limited operating history, has incurred significant operating losses since its inception, and expects to incur significant losses for the foreseeable future. Boundless Bio may never generate any revenue or become profitable or, if it achieves profitability, Boundless Bio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require substantial additional capital to finance its operations if the Merger is not completed and it continues to develop any ecDTx, and a failure to obtain this necessary capital when needed on acceptable terms, or at all, could force Boundless Bio to delay, limit, reduce, or terminate any ecDTx development programs,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Boundless Bio continues to develop any ecDTx and is unable to successfully develop, obtain regulatory approval, and ultimately commercialize any current or future ecDTx, or experiences significant delays in doing so, its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approach to treating cancer with oncogene amplifications by developing ecDTx directed against ecDNA is novel and unproven, and if Boundless Bio continues to develop any ecDTx, Boundless Bio does not know whether it will be able to develop any products of commercial value, or if competing approaches will limit the commercial value of its ecDTx;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relies on third parties to conduct Boundless Bio’s clinical trials and preclinical studies. If these third parties do not successfully carry out their contractual duties, comply with applicable regulatory requirements, or meet expected deadlines, Boundless Bio’s current or future ecDTx development programs and ability to seek or obtain regulatory approval for or commercialize its ecDTx may be delayed;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and Boundless Bio continues to develop any ecDTx, Boundless Bio expects to continue to rely on third parties for the manufacture of its ecDTx for clinical and preclinical development and expects to continue to do so for the foreseeable future. This reliance on third parties increases the risk that Boundless Bio will not have sufficient quantities of its ecDTx or products or such quantities at an acceptable cost, which could delay, prevent, or impair, its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Boundless Bio receives regulatory approval for any ecDTx, Boundless Bio will be subject to ongoing regulatory obligations and continued regulatory review, which may result in significant additional expense;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off-label uses;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operating results may fluctuate significantly, which makes its future operating results difficult to predict and could cause its operating results to fall below expectations or any guidance Boundless Bio may provide;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has a relatively small number of employees which may constrain its ability to accomplish its business objectives. If the Merger is not completed, Boundless Bio’s long-term success is dependent on its ability to retain and attract highly qualified management and other clinical and scientific personnel;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Boundless Bio is unable to obtain, maintain, defend, and enforce patent or other intellectual property protection for its ecDTx, diagnostic, or technology, or if the scope of the patent or other intellectual property protection obtained is not sufficiently broad, Boundless Bio’s competitors or other third parties could develop and commercialize products similar or identical to Boundless Bio’s, and Boundless Bio’s ability to successfully commercialize any ecDTx may be adversely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not be able to protect its intellectual property and proprietary rights throughout the world;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active, liquid, and orderly market for Boundless Bio Common Stock may not be sustained, or Boundless Bio may in the future fail to satisfy the continued listing requirements of Nasdaq;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shares of Boundless Bio Common Stock could be highly volatile, and purchasers of Boundless Bio Common Stock could incur substantial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incurs significant costs as a result of operating as a public company, and its management is required to devote substantial time to new compliance initiatives;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is subject to U.S. and certain foreign export and import controls, sanctions, embargoes, anti-corruption laws, and anti-money laundering laws and regulations. Boundless Bio could face criminal liability and other serious consequences for violations, which could harm its business.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Serapha</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the Merger and the Serapha Pre-Closing Financing are successful, Serapha will require substantial additional capital to finance its operations in the future. If Serapha is unable to raise such capital when needed, or on acceptable terms, Serapha may be forced to delay, reduce and/or discontinue development of SERP-01 or its future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is a clinical-stage genetic medicines company with a limited operating history on which to assess its business; Serapha has not completed any clinical trials, and it has no products approved for commercial sale, which may make it difficult to evaluate its current business and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is substantially dependent on the success of SERP-01, and Serapha’s anticipated future clinical trials of such product candidate may not be successful;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relies on collaborations and licensing arrangements with third parties, including YolTech. If Serapha is unable to maintain these collaborations or licensing arrangements, or if these collaborations or licensing arrangements are not successful, Serapha’s business could be negatively impacted;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successfully implement its plans and strategies, Serapha will need to grow the size of its organization and Serapha may experience difficulties in managing this growth;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development involves a lengthy and expensive process that is subject to delays and with uncertain outcomes, and results of earlier studies and trials may not be predictive of future clinical trial results. If Serapha’s clinical trials and any future preclinical studies are not sufficient to support regulatory approval of any of its product candidates, Serapha may incur additional costs or experience delays in completing, or ultimately be unable to complete, the development of such product candidate.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the Combined Company</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may never achieve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additional financing in the future to fund its operations, which may not be available to it on favorable terms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that will be in the Combined Company’s certificate of incorporation and bylaws and provisions under Delaware law could make an acquisition of the Combined Company more difficult and may prevent attempts by its stockholders to replace or remove its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of the Merger, the Combined Company’s executive officers, directors and principal stockholders will have the ability to control or significantly influence all matters submitted to the Combined Company’s stockholders for approval;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have broad discretion in the use of the cash and cash equivalents of the Combined Company and the proceeds from the Serapha Pre-Closing Financing and may invest or spend the proceeds in ways with which you do not agree and in ways that may not increase the value of your investment.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Approvals (see page 182)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Boundless Bio and Serapha will use reasonable best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Contemplated Transactions, if required, and to submit promptly any additional information requested by any such governmental authority. Boundless Bio and Serapha have not yet determined whether any filing under the HSR Act or any other antitrust or competition law is required in connection with the Contemplated Transactions, or whether any regulatory approval from antitrust authorities will be required to consummate the transactions.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Nasdaq Stock Market Listing (see page 186)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intends to file an initial listing application for the Combined Company common stock with Nasdaq. If such application is accepted, Boundless Bio anticipates that the Combined Company common stock will be listed on Nasdaq following the Closing under the trading symbol “AATD.” It is a condition to the consummation of the Merger that Boundless Bio will receive confirmation from Nasdaq that the Combined Company has been approved for listing on Nasdaq, but there can be no assurance such listing condition will be met or that Boundless Bio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Anticipated Accounting Treatment (see page 186)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is expected to be treated by Boundless Bio as a reverse merger and will be accounted for as an in-substance reverse recapitalization of Boundless Bio by Serapha in accordance with U.S. Generally Accepted Accounting Principles (“GAAP”) as, at close, the transaction is, in essence, the issuance of equity by Serapha for Boundless Bio’s net assets, consisting of nominal assets and liabilities at the time of the Merger. For accounting purposes, Serapha is considered to be acquiring the assets and liabilities of Boundless Bio in this transaction based on the terms of the Merger Agreement and other factors, including: (i) Serapha’s equity holders will own a substantial majority of the voting rights in the Combined Company; (ii) Serapha’s largest stockholder will retain the largest interest in the Combined Company; (iii) Serapha will designate all of the initial members of the board of directors of the Combined Company; and (iv) members of Serapha’s executive management team will become the management of the Combined Company. The Combined Company will be named Serapha Bio, Inc. In addition, Serapha concluded that any in-process research and development assets of Boundless Bio at the closing of the Merger would be de-minimis. Accordingly, upon the closing of the Merger, Boundless Bio is expected to have no or nominal operations for accounting purposes and the Merger is expected to be treated as the equivalent of Serapha issuing stock to acquire the net assets of Boundless Bio. As a result of the Merger, the net assets of Boundless Bio will be stated at fair value, which approximates carrying value, with no goodwill or other intangible assets recorded, and the historical results of operations prior to the Merger will be those of Serapha. The direct and incremental costs related to the transaction will be treated as a reduction of the net proceeds received within additional paid-in-capital. See the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elsewhere in this proxy statement/prospectus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and Dissenters’ Rights (see page 187)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Boundless Bio Common Stock are not entitled to appraisal rights in connection with the Merger under Delaware law. Holders of Serapha Capital Stock are entitled to appraisal rights in connection with the Merger under Delaware law; however, Serapha stockholders who execute and deliver a written consent adopting and approving the Merger will be deemed to have waived, and will not be entitled to exercise, such appraisal rights.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Comparison of Stockholder Rights (see page 370)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Boundless Bio and Serapha are incorporated under the laws of the State of Delaware and, accordingly, the rights of the stockholders of each are currently, and will continue to be, governed by the Delaware General Corporation Law (“DGCL”). If the Merger is completed, Serapha stockholders will become Boundless Bio stockholders, and their rights will be governed by the DGCL, Boundless Bio’s amended and restated bylaws (the “Boundless Bio Bylaws”) and the Boundless Bio Charter, as may be further amended by Proposal Nos. 2 and 3 if approved by Boundless Bio stockholders at the Boundless Bio Special Meeting. The rights of Boundless Bio stockholders contained in the Boundless Bio Charter and the Boundless Bio Bylaws differ from the rights of Serapha stockholders under Serapha’s certificate of incorporation and Serapha’s bylaws, as more fully described under the section titled “</w:t>
      </w:r>
      <w:r>
        <w:rPr>
          <w:rFonts w:ascii="Times New Roman" w:hAnsi="Times New Roman"/>
          <w:i/>
          <w:sz w:val="20"/>
          <w:bdr w:val="single" w:sz="8" w:space="1" w:color="000000"/>
        </w:rPr>
        <w:t>Comparison of Rights of Holders of Boundless Bio Capital Stock and Serapha Capital Stock</w:t>
      </w:r>
      <w:r>
        <w:rPr>
          <w:rFonts w:ascii="Times New Roman" w:hAnsi="Times New Roman"/>
          <w:sz w:val="20"/>
          <w:bdr w:val="single" w:sz="8" w:space="1" w:color="000000"/>
        </w:rPr>
        <w:t xml:space="preserve">” beginning on page 370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108148_6"/>
      <w:bookmarkEnd w:id="7"/>
      <w:r>
        <w:rPr>
          <w:rFonts w:ascii="Times New Roman" w:hAnsi="Times New Roman"/>
          <w:b/>
          <w:sz w:val="20"/>
          <w:bdr w:val="single" w:sz="8" w:space="1" w:color="000000"/>
        </w:rPr>
        <w:t xml:space="preserve">MARKET PRICE AND DIVIDEND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Boundless Bio Common Stock is currently listed on The Nasdaq Global Select Market under the symbol “BOLD.”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closing price of Boundless Bio Common Stock on June 22, 2026, the last day of trading prior to the announcement of the Merger, as reported on Nasdaq, was $1.40 per share. The closing price of Boundless Bio Common Stock on    , 2026, as reported on Nasdaq, was $    per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 market price of Boundless Bio Common Stock is subject to fluctuation, the market value of the shares of Boundless Bio Common Stock that Serapha stockholders will be entitled to receive in the Merger may increase or decrease.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Serapha is a private company, and shares of Serapha Common Stock and Serapha Preferred Stock are not publicly traded.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Assuming approval of Proposal Nos. 1, 2 and 3 and successful application for initial listing with Nasdaq, following the consummation of the Merger, shares of the Combined Company common stock are expected to trade on Nasdaq under Boundless Bio’s new name, “Serapha Bio, Inc.,” and new trading symbol “AATD.”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 of    , 2026, the record date for the Boundless Bio Special Meeting, there were approximately registered holders of record of Boundless Bio Common Stock. As of    , 2026, Serapha had    holders of record of Serapha Common Stock and    holders of record of Serapha Preferred Stock. For detailed information regarding the beneficial ownership of certain Boundless Bio and Serapha stockholders, see the sections of this proxy statement/prospectus titled “</w:t>
      </w:r>
      <w:r>
        <w:rPr>
          <w:rFonts w:ascii="Times New Roman" w:hAnsi="Times New Roman"/>
          <w:i/>
          <w:sz w:val="20"/>
          <w:bdr w:val="single" w:sz="8" w:space="1" w:color="000000"/>
        </w:rPr>
        <w:t>Principal Stockholders of Boundless Bio</w:t>
      </w:r>
      <w:r>
        <w:rPr>
          <w:rFonts w:ascii="Times New Roman" w:hAnsi="Times New Roman"/>
          <w:sz w:val="20"/>
          <w:bdr w:val="single" w:sz="8" w:space="1" w:color="000000"/>
        </w:rPr>
        <w:t>” and “</w:t>
      </w:r>
      <w:r>
        <w:rPr>
          <w:rFonts w:ascii="Times New Roman" w:hAnsi="Times New Roman"/>
          <w:i/>
          <w:sz w:val="20"/>
          <w:bdr w:val="single" w:sz="8" w:space="1" w:color="000000"/>
        </w:rPr>
        <w:t>Principal Stockholders of Serapha.</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Dividends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has never declared or paid any cash dividends on its common stock and, other than the Boundless Bio Pre-Closing Dividend, does not anticipate paying cash dividends on its common stock for the foreseeable future.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Serapha has never paid or declared any cash dividends on Serapha Capital Stock. If the Merger does not occur, Serapha does not anticipate paying any cash dividends on the Serapha Capital Stock in the foreseeable future, and Serapha intends to retain all available funds and any future earnings to fund the development and expansion of its business. Any future determination to pay dividends will be at the discretion of the Serapha Board of Directors and will depend upon a number of factors, including its results of operations, financial condition, future prospects, contractual restrictions, and restrictions imposed by applicable laws and other factors the Serapha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08148_7"/>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Boundless Bio Common Stock. You should also read and consider the other information in this proxy statement/prospectus. Please see the section titled “Where You Can Find More Information” beginning on page 392 of this proxy statement/prospectus for further information.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with Serapha could materially and adversely affect Boundless Bio’s results of operations, business, financial results and/or common stock price.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with Serapha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Completion of the Merger is subject to certain closing conditions, a number of which are not within Boundless Bio’s control. Any failure to satisfy these required conditions to closing may prevent, delay or otherwise materially adversely affect the completion of the transaction. Boundless Bio cannot predict with certainty whether or when any of the required closing conditions will be satisfied or if another uncertainty may arise and cannot assure you that it will be able to successfully complete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Boundless Bio’s ability to retain and motivate existing employees or could adversely affect Boundless Bio’s business and its relationship with consultants, suppliers, vendors, regulators and other business partners.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Merger is approved by the stockholders of Serapha and Boundless Bio, specified conditions must be satisfied or, to the extent permitted by applicable law, waived to complete the Merger. These conditions are set forth in the Merger Agreement and described further in the section titled “</w:t>
      </w:r>
      <w:r>
        <w:rPr>
          <w:rFonts w:ascii="Times New Roman" w:hAnsi="Times New Roman"/>
          <w:i/>
          <w:sz w:val="20"/>
        </w:rPr>
        <w:t>The Merger Agreement</w:t>
      </w:r>
      <w:r>
        <w:rPr>
          <w:rFonts w:ascii="Times New Roman" w:hAnsi="Times New Roman"/>
          <w:sz w:val="20"/>
        </w:rPr>
        <w:t xml:space="preserve">” of this proxy statement/prospectus. Boundless Bio cannot assure you that all of the conditions to the completion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bookmarkStart w:id="9" w:name="tx108148_705"/>
      <w:bookmarkEnd w:id="9"/>
      <w:r>
        <w:rPr>
          <w:rFonts w:ascii="Times New Roman" w:hAnsi="Times New Roman"/>
          <w:b/>
          <w:i/>
          <w:sz w:val="20"/>
        </w:rPr>
        <w:t xml:space="preserve">Boundless Bio and Serapha may mutually agree to waive the Nasdaq listing condition under the Merger Agreement, and if such condition is waived, the Combined Company’s stock may not be listed on Nasdaq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Boundless Bio agreed to use commercially reasonable efforts to maintain the listing of Boundless Bio Common Stock on Nasdaq until the Effective Time and, to the extent required by the rules and regulations of Nasdaq, to cause the shares of Boundless Bio Common Stock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in connection with the Contemplated Transactions to be approved for listing on Nasdaq. The Merger Agreement also requires the parties, to the extent required by Nasdaq Marketplace Rule 5110, to use commercially reasonable efforts to cause the initial listing application for the Boundless Bio Capital Stock on Nasdaq (including any Boundless Bio Common Stock issuable upon conversion thereof) (the “Nasdaq Listing Application”) to be conditionally approved prior to the Effective Time. Additionally, under the Merger Agreement, each of Boundless Bio’s and Serapha’s obligation to complete the Merger is subject to the satisfaction or waiver by each of the parties of various conditions, including that the Nasdaq Listing Application has been approved by Nasdaq. In the event that the Nasdaq Listing Application is not approved by Nasdaq, it is possible (although not likely) that Boundless Bio and Serapha may mutually agree to waive the applicable condition and nonetheless proceed with completing the Merger. If such condition is waived, Boundless Bio will not recirculate an updated proxy statement/prospectus, nor will it solicit a new vote of stockholders prior to proceeding with the Merger. If Boundless Bio proceeds with the Merger in these circumstances, the Combined Company’s stock may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Company’s stock is not listed on Nasdaq following completion of the Merger,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a reduction in coverage by securities analysts, a decrease in market making activity and information available concerning trading prices and volume, and fewer broker 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for the Merger will not change or otherwise be adjusted based on the market price of Boundless 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Applying the Exchange Ratio, based on Boundless Bio’s and Serapha’s capitalization as of August 21, 2026 and taking into account Boundless Bio’s current cash position, (i) each then-outstanding share of Serapha Capital Stock (including shares of Serapha Common Stock issued in the Serapha Pre-Closing Financing), excluding any shares to be cancelled pursuant to the Merger Agreement, will be converted into the right to receive a number of shares of Boundless Bio Common Stock, equal to 8.6737 shares, (ii) each then-outstanding Serapha Option will be converted into and become an Assumed Option on the existing terms and conditions (including with respect to vesting and accelerated vesting), subject to adjustment as set forth in the Merger Agreement, (iii) each then-outstanding Serapha RSU will be converted into and become an Assumed RSU on the existing terms and conditions (including with respect to vesting and accelerated vesting), subject to adjustments as set forth in the Merger Agreement, and (iv) each then-outstanding Serapha Warrant, including any Serapha Pre-Funded Warrant issued pursuant to the Serapha Pre-Closing Financing, will be converted into an Assumed Warrant, subject to adjustment as set forth in the Merger Agreement and the form of warrant.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Applying the Exchange Ratio, the former Serapha securityholders immediately before the Merger are expected to own approximately 95.8% of the aggregate number of outstanding shares of the Combined Company’s capital stock following the Merger (on a fully-diluted basis, and subject to dilution from any equity issued by Serapha after June 22, 2026 and before the closing), and Boundless Bio securityholders immediately before the Merger are expected to own approximately 4.2% of the aggregate number of outstanding shares of the Combined Company capital stock following the Merger (on a fully-diluted basis), subject to certain assumptions, including, but not limited to, that Boundless Bio Net Cash as of Closing will be approximately $0, after giving effect to the Boundless Bio Pre-Closing Dividend, which is expected to be approximately $44 million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$48 million. After taking into account the 2026 ESPP and 2026 Stock Plan, Boundless Bio securityholders as of immediately prior to the Merger are expected to own approximately 3.7% of the fully-diluted capitalization of the Combined Company and former Serapha securityholders are expected to own approximately 96.3% of fully-diluted capitalization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Boundless Bio Common Stock before the completion of the Merger will not affect the number of shares Serapha stockholders will be entitled to receive pursuant to the Merger Agreement. However, the Exchange Ratio remains subject to equitable adjustment as set forth in the Merger Agreement for certain changes in the capitalization of Boundless Bio or Serapha, including any stock dividend, subdivision, reclassification, recapitalization, stock split, including the Nasdaq Reverse Split to the extent not previously taken into account in calculating the Exchange Ratio, combination or exchange of shares or other similar change. Therefore, if before the completion of the Merger, the market price of Boundless Bio Common Stock increases from the market price on the date of the Merger Agreement, then Serapha stockholders could receive merger consideration with substantially more value for their shares of Serapha Capital Stock than the parties had negotiated when they established the Exchange Ratio. Similarly, if before the completion of the Merger, the market price of Boundless Bio Common Stock declines from the market price on the date of the Merger Agreement, then Serapha stockholders could receive merger consideration with substantially lower value.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of Boundless Bio Common Stock, including the shares of Boundless Bio Common Stock issued in exchange for shares of Serapha Common Stock issued in the Serapha Pre-Closing Financing, to Serapha stockholders pursuant to the Merger Agreement and the resulting change in control from the Merger, and the Nasdaq Reverse Split, must be approved by Boundless Bio stockholders, and the Merger Agreement and transactions contemplated thereby must be approved by the Serapha stockholders. Failure to obtain these approvals would prevent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Boundless Bio stockholders must approve, among other things, the Boundless Bio Stockholder Matters, including the issuance of shares of Boundless Bio Common Stock representing (or convertible into) more than 20% of the shares of Boundless Bio Common Stock outstanding immediately prior to the Effective Time to Serapha stockholders in connection with the Contemplated Transactions, the change of control of Boundless Bio resulting from the Contemplated Transactions, the Nasdaq Reverse Split and the increase in authorized shares contemplated by the Boundless Bio Charter Amendments. In addition, Serapha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neither Boundless Bio nor Serapha is obligated to complete the Merger if there is a “material adverse effect” (as defined in the Merger Agreement) affecting the other party between June 22, 2026, the date of the Merger Agreement, and the closing of the Merger. However, certain types of causes are excluded from the concept of a “material adverse effect.” Such exclusions include, but are not limited to, changes in general economic or political conditions, industry-wide changes, changes resulting from the announcement of the Merger, natural disasters, pandemics, other public health events or force majeure events and changes in U.S. generally accepted accounting principles. Certain of these exclusions are subject to a limitation and will not apply to the extent Boundless Bio or Serapha, as applicable, is disproportionately affected relative to other similarly situated companies in the industries in which they operate. Therefore, if any of these events were to occur and adversely affect Boundless Bio or Serapha, the adverse effect may not constitute a “material adverse effect” under the Merger Agreement, and the other party may still be required to complete the closing of the Merger notwithstanding such “material adverse effect.” If any such adverse effects occur and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completes the closing of the Merger, the stock price of the Combined Company may suffer. This in turn may reduce the value of the Merger to the stockholders of Boundless Bio, Serapha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Boundless Bio’s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Boundless Bio Common Stock is subject to significant fluctuations. Market prices for securities of pharmaceutical, biotechnology and other life science companies have historically been particularly volatile. In addition, the market price of Boundless Bio Common Stock will likely be volatile based on whether stockholders and other investors believe that Boundless Bio can complete the Merger or otherwise raise additional capital to support Boundless Bio’s operations if the Merger is not completed and another strategic transaction cannot be identified, negotiated and completed in a timely manner, if at all. The volatility of the market price of Boundless Bio Common Stock has been and may be exacerbated by low trading volume.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that may cause the market price of Boundless Bio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results of its clinical trials, discussions with regulators, and regulatory approval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Boundless Bio’s research and development expenditures;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Boundless Bio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completes the Merger, the Combined Company will need to raise additional capital, including by potentially issuing equity securities or incurring debt,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and delivery of the Merger Agreement, Serapha completed the Series A Financing, raising aggregate gross proceeds of approximately $138 million, and has entered into the Securities Purchase Agreement to complete the Serapha Pre-Closing Financing for aggregate gross proceeds of approximately $92 million. The closing of the Serapha Pre-Closing Financing is a condition to the Closing, and the closing of the Serapha Pre-Closing Financing is also conditioned upon satisfaction or waiver of the conditions to the Closing, as well as certain other conditions. The shares of Serapha Common Stock and the Serapha Pre-Funded Warrants issued in the Serapha Pre-Closing Financing will result in dilution to all securityholders of the Combined Company (i.e., both Boundless Bio’s pre-Merger securityholders and former Serapha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alternative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Boundless Bio’s pre-Merger securityholders and Serapha’s former securityholders. It is also possible that the terms of any new equity securities may have preferences over the Combined Company common stock. Any debt financing the Combined Company enters into may involve covenants that restrict its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Boundless Bio’s and Serapha’s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Boundless Bio and Serapha have interests in the Merger that are different from, or in addition to, the interests of other Boundless Bio stockholders generally. These interests with respect to Boundless Bio’s directors and executive officers may include, among others, retention bonus payments, acceleration of previously issued equity awards, severance payments if employment is terminated in a qualifying termination in connection with the Merger and rights to continued indemnification, expense advancement and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Further, certain current members of the Serapha Board of Directors will continue as directors of the Combined Company after the Effective Time, and, following the closing of the Merger, will be eligible to be compensated as non-employee directors of the Combined Company pursuant to Boundless Bio’s non-employee director compensation policy that is expected to remain in place following the Effective Time. These interests, among other factors, may have influenced the directors and executive officers of each company to support or approve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Board of Directors was aware of and considered those interests, among other matters, in reaching their decisions to approve and adopt the Merger Agreement, approve the Merger, and recommend the approval of the Merger Agreement to Boundless Bio stockholders. These interests, among other factors, may have influenced the directors and executive officers of each company to support or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stockholders and Serapha stockholders may not realize a benefit from the Merger commensurate with the ownership dilution they will experience in connection with the Merger, including the conversion of Serapha Common Stock issued in the Serapha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Boundless Bio stockholders and Serapha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Boundless Bio’s current stockholders will generally own a smaller percentage of the Combined Company than their ownership of Boundless Bio prior to the Merger. Immediately after the Merger, Boundless Bio securityholders as of immediately prior to the Merger are expected to own approximately 4.2% of the outstanding shares of capital stock of the Combined Company (on a fully-diluted basis, and subject to dilution from any equity issued by Serapha after June 22, 2026 and before the closing), and former holders of Serapha securities are expected to own approximately 95.8% of the outstanding shares of capital stock of the Combined Company (on a fully-diluted basis), subject to certain assumptions, including, but not limited to, Boundless Bio Net Cash as of closing being approximately $0, after giving effect to the Boundless Bio Pre-Closing Dividend, which is expected to be approximately $44 million to $48 million. The Chief Executive Officer of Serapha will serve as the Chief Executive Officer of the Combined Company following the completion of the Merger. After taking into account the 2026 ESPP and 2026 Stock Plan, Boundless Bio securityholders as of immediately prior to the Merger are expected to own approximately 3.7%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fully-diluted capitalization of the Combined Company and former Serapha securityholders are expected to own approximately 96.3% of fully-diluted capitalization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While the Merger Agreement is in effect, each of Boundless Bio and Serapha is generally prohibited from, among other things, soliciting, initiating or knowingly encouraging, inducing or facilitating the communication, making, submission or announcement of any acquisition proposal or acquisition inquiry. In addition, Boundless Bio’s current directors and executive officers have entered into support agreements pursuant to the terms of the Merger Agreement, and as an inducement to Serapha’s willingness to enter into the Merger Agreement, by which they have agreed to vote all of their shares of Boundless Bio Capital Stock in favor of the Contemplated Transactions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Serapha Common Stock makes it difficult to evaluate the fair market value of its capital stock, the value of Boundless Bio Common Stock to be issued to Serapha stockholders may be more or less than the fair market value of Serapha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Serapha is privately held and is not traded on any public market. The lack of a public market makes it difficult to determine the fair market value of Serapha Capital Stock. Because the percentage of Boundless Bio’s equity to be issued to Serapha stockholders was determined based on negotiations between the parties, it is possible that the value of Boundless Bio Common Stock to be issued to Serapha stockholders will be more or less than the fair market value of Serapha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Boundless Bio, Serapha,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Boundless Bio, the Boundless Bio Board of Directors, Serapha, the Serapha Board of Directors and others in connection with the transactions contemplated by the Merger Agreement. The outcome of litigation is uncertain, and Boundless Bio or Serapha may not be successful in defending against any such future claims. Lawsuits that may be filed against Boundless Bio, the Boundless Bio Board of Directors, Serapha, or the Serapha Board of Directors could delay or prevent the Merger, divert the attention of Boundless Bio’s and Serapha’s management and employees from their day-to-day business and otherwise adversely affect Boundless Bio and Serapha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has never paid and, other than in connection with the Merger with Serapha, does not intend to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never paid cash dividends on any of its capital stock. Other than the Boundless Bio Pre-Closing Dividend in connection with the Merger, Boundless Bio does not currently anticipate declaring or paying cash dividends on its capital stock in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the Boundless Bio Pre-Closing Dividend may change based on the timing to complete the Merger, changes in operating expense levels and other factors.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Pre-Closing Dividend, which is expected to be approximately $44 million to $48 million, is based on Boundless Bio’s estimate of the amount by which Boundless Bio Net Cash, as determined pursuant to the terms of the Merger Agreement, will exceed $0. The actual amount of the Boundless Bio Pre-Closing Dividend may be higher or lower than the estimated amount and is subject to change based on the timing to complete the Merger, changes in Boundless Bio’s operating expense levels, transaction-related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and expenses, and other adjustments to the components of Boundless Bio Net Cash as set forth in the Merger Agreement. There can be no assurance that the actual amount of the Boundless Bio Pre-Closing Dividend will not materially differ from the current estimate.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does not successfully complete the Merger or another strategic transaction, the Boundless Bio Board of Directors may decide to pursue a dissolution and liquidation of Boundless Bio. In such an event, the amount of cash available for distribution to Boundless Bio stockholders will depend heavily on the timing of such liquidation as well as the amount of cash that will need to be reserved for commitments and contingent liabilities, as to which Boundless Bio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Boundless Bio Board of Directors may decide to pursue a dissolution and liquidation of Boundless Bio. In such an event, the amount of cash available for distribution to Boundless Bio stockholders will depend heavily on the timing of such decision and, ultimately, such liquidation, since the amount of cash available for distribution continues to decrease as Boundless Bio funds its operations while pursuing the Merger. In addition, if the Boundless Bio Board of Directors were to approve and recommend, and Boundless Bio stockholders were to approve, a dissolution and liquidation of Boundless Bio, Boundless Bio would be required under Delaware law to pay Boundless Bio’s outstanding obligations, as well as to make reasonable provision for contingent and unknown obligations, prior to making any distributions in liquidation to stockholders. Boundless Bio’s commitments and contingent liabilities may include obligations under Boundless Bio’s employment and related agreements with certain employees that provide for severance and other payments following a termination of employment occurring for various reasons, including a change in control of Boundless Bio, litigation against Boundless Bio, and other various claims and legal actions arising in the ordinary course of business, and other unexpected and/or contingent liabilities. As a result of this requirement, a portion of Boundless Bio’s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Boundless Bio may be subject to litigation or other claims related to a dissolution and liquidation of Boundless Bio. If a dissolution and liquidation were to be pursued, the Boundless Bio Board of Directors, in consultation with Boundless Bio’s advisors, would need to evaluate these matters and make a determination about a reasonable amount to reserve. Accordingly, holders of Boundless Bio Common Stock could lose all or a significant portion of their investment in the event of liquidation, dissolution or winding up of Boundless Bio. A liquidation would be a lengthy and uncertain process with no assurance of any value ever being returned to Boundless Bio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its stockholders will not have any right to make damage claims against Serapha for the breach of any representation, warranty or covenant made by Serapha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all of the representations, warranties and covenants of the parties contained therein shall not survive the Closing, except for those covenants contained therein that by their terms survive the Closing. Accordingly, there are no remedies available to the parties with respect to any breach of the representations, warranties, covenants or agreements of the parties to the Merger Agreement after the Closing, except for covenants that by their terms survive the Closing. As a result, Boundless Bio and its stockholders will have no remedy available to it if the Merger is completed and it is later revealed that there was a breach of any of the representations, warranties and covenants made by Serapha at the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Boundless Bio cannot assure you that the due diligence conducted in relation to Serapha has identified all material issues or risks associated with Serapha, its business or the industry in which it competes. Furthermore, Boundless Bio cannot assure you that factors outside of its or Serapha’s control will not later arise, or that any previously identified risks will not materialize in a manner inconsistent with the preliminary analysis. As a result of these factors, following the Closing, the Combined Company may be exposed to liabilities and incur additional costs and expenses and it may be forced to later write-down or write off assets, restructure its operations, or incur impairment or other charges. Boundless Bio and its stockholders have no indemnification rights against Serapha or its stockholders under the Merger Agreement. Accordingly, any stockholders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that remain stockholders of the Combined Company following the Merger could suffer a reduction in the value of their securities. Such stockholders are unlikely to have a remedy for such reduction in value unless they are able to successfully claim that the reduction was due to the breach by Boundless Bio’s 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Nasdaq Reverse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Nasdaq Reverse Split may not increase the Combined Company’s stock price over the long-term.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Nasdaq Reverse Split is to increase the per-share market price of Boundless Bio Common Stock above the minimum bid price requirement under the Nasdaq rules so that the listing of Boundless Bio and the shares of Boundless Bio Common Stock being issued in the Merger on Nasdaq will be approved. Based on the recent trading prices of Boundless Bio Common Stock, Boundless Bio and Serapha currently estimate that a reverse stock split ratio of at least 1-for-    would be required to increase the per-share market price to $4.00, which is the minimum initial listing price requirement of Nasdaq. The final reverse stock split ratio will be determined mutually by the Boundless Bio Board of Directors and the Serapha Board of Directors prior to the Closing based primarily on the then-current trading price of Boundless Bio Common Stock and the objective of achieving a post-closing per-share price that (1) satisfies Nasdaq’s listing requirements and (2) provides an appropriate and sustainable post-closing per-share market price that the parties believe will better position the Combined Company for long-term trading stability, investor interest and market visibility, taking into account prevailing market conditions and other relevant factors. Accordingly, the ratio effected is likely to be greater than the minimum necessary to satisfy Nasdaq’s listing standards. It cannot be assured, however, that the Nasdaq Reverse Split will accomplish this objective for any meaningful period of time. While it is expected that the reduction in the number of outstanding shares of common stock will proportionally increase the market price of Boundless Bio Common Stock, it cannot be assured that the Nasdaq Reverse Split will increase the market price of its common stock by a multiple of the reverse stock split ratio mutually agreed by Boundless Bio and Serapha, or result in any permanent or sustained increase in the market price of Boundless Bio Common Stock, which is dependent upon many factors, including Boundless Bio’s business and financial performance, general market conditions and prospects for future success. Thus, while the stock price of Boundless Bio might meet the listing requirements for Nasdaq initially, it cannot be assured that it will continue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Nasdaq Reverse Split may decrease the liquidity of the Combined Company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Boundless Bio Board of Directors believes that the anticipated increase in the market price of the Combined Company common stock resulting from the proposed Nasdaq Reverse Split could encourage interest in its common stock and possibly promote greater liquidity for its stockholders, such liquidity could also be adversely affected by the reduced number of shares outstanding after the Nasdaq Reverse Split. The reduction in the number of outstanding shares may lead to reduced trading and a smaller number of market makers for the Combined Company common stock. In addition, the Nasdaq Reverse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Nasdaq Reverse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 common stock decline after the Nasdaq Reverse Split, the percentage decline may be greater, due to the smaller number of shares outstanding, than it would have been prior to the Nasdaq Reverse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it cannot be assured that the total market value of the Combined Company common stock will remain the same after the Nasdaq Reverse Split is effected, or that the Nasdaq Reverse Split will not have an adverse effect on the Combined Company’s stock price due to the reduced number of shares outstanding after the Nasdaq Reverse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Boundless Bio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Boundless Bio’s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 has a limited operating history, has incurred significant operating losses since its inception, and expects to incur significant losses for the foreseeable future. Boundless Bio may never generate any revenue or become profitable or, if it achieves profitability, Boundless Bio may not be able to sustain it. </w:t>
      </w:r>
    </w:p>
    <w:p>
      <w:pPr>
        <w:pStyle w:val="TextBody"/>
        <w:bidi w:val="0"/>
        <w:spacing w:before="120" w:after="0"/>
        <w:jc w:val="left"/>
        <w:rPr>
          <w:rFonts w:ascii="Times New Roman" w:hAnsi="Times New Roman"/>
          <w:sz w:val="20"/>
        </w:rPr>
      </w:pPr>
      <w:r>
        <w:rPr>
          <w:rFonts w:ascii="Times New Roman" w:hAnsi="Times New Roman"/>
          <w:sz w:val="20"/>
        </w:rPr>
        <w:t xml:space="preserve">Biopharmaceutical product development is a highly speculative undertaking and involves a substantial degree of risk. Boundless Bio is a clinical-stage oncology company with a limited operating history upon which you can evaluate its business and prospects. Boundless Bio commenced operations in 2018, has no products approved for commercial sale, and has not generated any revenue from the sale of its products. To date, Boundless Bio has focused primarily on organizing and staffing the company, business planning, raising capital, building its proprietary Spyglass platform, discovering its extrachromosomal DNA (“ecDNA”) directed therapeutic candidates (“ecDTx”), developing its diagnostic, establishing its intellectual property portfolio, conducting research, preclinical studies and clinical trials, establishing arrangements with third parties for the manufacture of its ecDTx and supply of related raw materials, and providing general and administrative support for these operations. Boundless Bio’s scientific approach to the discovery and development of ecDTx, including its use of the Spyglass platform, is unproven, and Boundless Bio does not know whether it will be able to develop or obtain regulatory approval for any products of commercial value.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and will no longer invest in the development of ECHO, which is an ecDNA diagnostic clinical trial assay used in the POTENTIATE trial.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Boundless Bio has not yet completed any clinical trials, successfully developed and validated a diagnostic test, obtained regulatory approvals, manufactured products at commercial scale, or arranged for a third party to do so on its behalf, or conducted sales or marketing activities necessary for successful product commercialization. Consequently, any predictions made about Boundless Bio’s future success or viability may not be as accurate as they could be if Boundless Bio had a history of successfully developing and commercializing biopharmaceutical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incurred significant operating losses since its inception and expects to incur significant losses for the foreseeable future. Boundless Bio does not have any products approved for sale and has not generated any revenue since its inception. If the Merger is not completed and Boundless Bio continues to develop any current or future ecDTx and Boundless Bio is unable to successfully develop, obtain requisite approval for and commercialize any current or future ecDTx, Boundless Bio may never generate revenue. Boundless Bio’s net losses were $58.2 million and $65.4 million for the years ended December 31, 2025 and 2024, respectively. As of June 30, 2026, Boundless Bio had an accumulated deficit of $296.9 million. Substantially all of Boundless Bio’s losses have resulted from expenses incurred in connection with its research and development programs and from general and administrative costs associated with its operations. All of Boundless Bio’s current or future ecDTx will require substantial additional development time and resources before Boundless Bio would be able to apply for or receive regulatory approvals and begin generating revenue from product sales. Boundless Bio expects to continue to incur losses for the foreseeable future, and Boundless Bio anticipates these losses will increase substantially if the Merger is not completed and Boundless Bio continues to develop any current or future ecDTx,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seek regulatory approval for, and potentially commercialize any current or future ecDTx and seek to discover and develop additional ecDTx, as well as operate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to become and remain profitable, Boundless Bio must succeed in discovering, developing, obtaining regulatory approvals for, and eventually commercializing products that generate significant revenue. This will require Boundless Bio to be successful in a range of challenging activities, including completing clinical trials and preclinical studies of its ecDTx, discovering additional ecDTx, obtaining regulatory approval for these ecDTx and, if required, its diagnostic, and manufacturing, marketing, and selling any products for which Boundless Bio may obtain regulatory approval. Boundless Bio is in only the preliminary stages of these activities. Boundless Bio may never succeed in these activities and, even if it does, may never generate revenue that is significant enough to achieve profitability. In addition, Boundless Bio has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Boundless Bio is unable to accurately predict the timing or amount of increased expenses or when, or if, Boundless Bio will be able to achieve profitability. Even if Boundless Bio does achieve profitability, it may not be able to sustain or increase profitability on a quarterly or annual basis. Boundless Bio’s failure to become and remain profitable may have an adverse effect on the value of Boundless Bio and could impair its ability to raise capital, expand its business, maintain its research and development efforts, diversify its ecDTx pipeline, achieve its strategic objectives, or even continue its operations. A decline in the value of Boundless Bio could also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will require substantial additional capital to finance its operations if the Merger is not completed and it continues to develop any ecDTx, and a failure to obtain this necessary capital when needed on acceptable terms, or at all, could force Boundless Bio to delay, limit, reduce, or terminate any ecDTx development programs, commercialization efforts, or 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of Boundless Bio’s ecDTx, including conducting preclinical studies and clinical trials, is a very time-consuming, capital-intensive, and uncertain process. Boundless Bio’s operations have consumed substantial amounts of cash since inception. If Boundless Bio continues to develop any ecDTx, Boundless Bio expects its expenses to substantially increase in connection with any ongoing activities, particularly if it conducts any clinical trials and preclinical studies and potentially seeks regulatory approval for any current or future ecDTx it may develop. If Boundless Bio obtains regulatory approval for its ecDTx or any future ecDTx it may develop, Boundless Bio also expects to incur significant commercialization expenses related to product manufacturing, marketing, sales, and distribution. Because the outcome of any clinical trial or preclinical study is highly uncertain, Boundless Bio cannot reasonably estimate the actual amount of capital necessary to successfully complete the development and commercialization of its ecDTx. Furthermore, Boundless Bio will continue to incur additional costs associated with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its current operating plan, Boundless Bio believes that its existing cash, cash equivalents, and short-term investments will be sufficient to fund its operations through the anticipated closing date of the Merger and for a period of at least 12 months from the date of issuance of its unaudited interim financial statements for the quarter ended June 30, 2026 appearing elsewhere in this proxy statement/prospectus. Boundless Bio has based its belief in this regard on assumptions that may prove to be wrong, and it could expend its capital resources sooner than currently expected. Boundless Bio’s operating plans and other demands on its cash resources may change as a result of many factors currently unknown, and Boundless Bio may need to seek additional funds sooner than planned. Boundless Bio’s existing capital is not sufficient to complete development of its current or future ecDTx, and Boundless Bio will require substantial capital in order to advance any current or future ecDTx through clinical trials, regulatory approval, and commercialization. Accordingly, if the Merger is not completed, Boundless Bio will need to obtain substantial additional funding in connection with its continuing operations. Boundless Bio’s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increases in unemployment rates, and uncertainty about economic stability. If Boundless Bio is unable to complete the Merger, its ability to raise additional funds and the terms upon which it is able to raise such funds may also be adversely affected by the uncertainties regarding its financial condition, uncertainties with respect to the prospects for its ecDTx programs, the sufficiency of its capital resources, potential future management turnover, and volatility and instability in the global financial markets. As a result of these and other factors, there is no guarantee that sufficient additional funding will be available to Boundless Bio on acceptable terms, or at all. If the equity and credit markets deteriorate, it may make any necessary debt or equity financing more difficult, more costly, and more dilutive. If Boundless Bio is unable to raise capital when needed or on attractive terms and Boundless Bio continues to develop any ecDTx, Boundless Bio could be forced to delay, reduce, or eliminate its research and development programs or any future commercialization efforts, or even cease operations. If the Merger is not completed, Boundless Bio expects to finance its cash needs through public or private equity or debt financings or other capital sources, including potential collaborations, licenses, and other similar arrangements. In addition, Boundless Bio may seek additional capital due to favorable market conditions or strategic considerations even if it believes it has sufficient funds for its current or future operating plans. Attempting to secure additional financing may divert Boundless Bio’s management from its day-to-day activities, which may adversely affect its ability to develop its ecDTx. </w:t>
      </w:r>
    </w:p>
    <w:p>
      <w:pPr>
        <w:pStyle w:val="TextBody"/>
        <w:bidi w:val="0"/>
        <w:spacing w:before="240" w:after="0"/>
        <w:jc w:val="left"/>
        <w:rPr>
          <w:rFonts w:ascii="Times New Roman" w:hAnsi="Times New Roman"/>
          <w:sz w:val="20"/>
        </w:rPr>
      </w:pPr>
      <w:r>
        <w:rPr>
          <w:rFonts w:ascii="Times New Roman" w:hAnsi="Times New Roman"/>
          <w:sz w:val="20"/>
        </w:rPr>
        <w:t xml:space="preserve">Boundless Bio currently has a “shelf” registration statement on Form S-3 effective and an existing at-the-market (“ATM”) offering program; however, its ability to raise capital under its shelf registration statement, including through the ATM offering program, may be limited by SEC rules and regulations. Based on Boundless Bio’s public float as of the filing date of this proxy statement/prospectus, as calculated pursuant to SEC rules, Boundless Bio is only permitted to utilize its shelf registration statement, including the prospectus pursuant to which its ATM offering is conducted, subject to Instruction I.B.6 of Form S-3, which is referred to as the “baby shelf” rule. Accordingly, for so long as Boundless Bio’s public float is less than $75.0 million, it generally may not sell securities registered on its shelf registration statement in a primary offering with a value exceeding more than one-third of its public float during any 12 calendar month period. Although alternative public and private transaction structures may be available to raise additional capital, these may require additional time and cost, may impose operational restrictions on Boundless Bio, and may not be available on acceptable terms.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future capital requirements are difficult to predict and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Boundless Bio’s ecDTx that it may choose to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for Boundless Bio’s ecDTx, including commercial manufacture at sufficient scale, if any of its ecDTx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obtaining raw materials for manufacturing sufficient quantities of Boundless Bio’s ecDTx or obtaining sufficient quantities of any combination agents or other materials needed for use in its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developing diagnostics, if required, and the outcome of their regulatory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meetings and reviews of Boundless Bio’s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policies or approval pathways;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that hinder its ability to perform routine activities or function in the normal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seeking to obtain, maintain, expand, enforce, defend, and protect Boundless Bio’s patents and other intellectual property and proprietary rights, or to challenge third-party patents and other intellectual property rights, if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purchasing laboratory supplies and equipment and pharmacology supplies for Boundless Bio’s preclinical activities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any variable payment obligations under Boundless Bio’s facility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needed, to support Boundless Bio’s clinical and preclinical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or securing sales and marketing capabilities if any of Boundless Bio’s ecDTx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Boundless Bio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Conducting clinical trials and preclinical studies and discovering potential ecDTx is a time-consuming, expensive, and uncertain process that takes years to complete, and Boundless Bio may never generate the necessary data or results required to obtain regulatory approval and commercialize its ecDTx. In addition, Boundless Bio’s ecDTx, if approved, may not achieve commercial success. Boundless Bio’s commercial revenue, if any, will initially be derived from sales of products that it does not expect to be commercially available for many years, if at all.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Merger is not completed and Boundless Bio continues to develop any ecDTx, Boundless Bio will need to continue to rely on additional financing to achieve its business objectives. Adequate additional financing may not be available to Boundless Bio on acceptable terms, or at all, including as a result of financial and credit market deterioration or instability, market-wide liquidity shortages, geopolitical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Boundless Bio’s stockholders, restrict its operations, or require Boundless Bio to relinquish rights to its technologies or ecDTx. </w:t>
      </w:r>
    </w:p>
    <w:p>
      <w:pPr>
        <w:pStyle w:val="TextBody"/>
        <w:bidi w:val="0"/>
        <w:spacing w:before="120" w:after="0"/>
        <w:jc w:val="left"/>
        <w:rPr>
          <w:rFonts w:ascii="Times New Roman" w:hAnsi="Times New Roman"/>
          <w:sz w:val="20"/>
        </w:rPr>
      </w:pPr>
      <w:r>
        <w:rPr>
          <w:rFonts w:ascii="Times New Roman" w:hAnsi="Times New Roman"/>
          <w:sz w:val="20"/>
        </w:rPr>
        <w:t xml:space="preserve">Until Boundless Bio can generate substantial product revenue, if ever, and if the Merger is not completed, it expects to finance its cash needs through equity offerings, debt financings, or other capital sources, including potential collaborations, licenses, and other similar arrangements. Boundless Bio does not have any committed external source of funds. To the extent that Boundless Bio raises additional capital through the sale of equity or convertible debt securities, existing stockholders’ ownership interest may be diluted, and the terms of these securities may include liquidation or other preferences that adversely affect their rights as common stockholders. Debt financing and preferred equity financing, if available, may involve agreements that include covenants limiting or restricting Boundless Bio’s ability to take specific actions, such as incurring additional debt, making capital expenditures, or declaring dividends. Such restrictions could adversely impact Boundless Bio’s ability to conduct its operations and execute its business plan.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raises additional funds through future collaborations, licenses, and other similar arrangements, Boundless Bio may be required to relinquish valuable rights to its future revenue streams or proprietary technology, or grant licenses on terms that may not be favorable to Boundless Bio and/or that may reduce the value of Boundless Bio Common Stock. If Boundless Bio is unable to raise additional funds through equity or debt financings or other arrangements when needed or on terms acceptable to it, Boundless Bio would be required to delay, limit, reduce, or terminate any product development or future commercialization efforts, or grant rights to develop and market ecDTx that it might otherwise prefer to develop and market itself, or on less favorable terms than it would otherwise choose.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Discovery, Development, and Regulatory Approval of Boundless Bio’s ecDTx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Boundless Bio continues to develop any ecDTx and is unable to successfully develop, obtain regulatory approval, and ultimately commercialize any current or future ecDTx, or experiences significant delays in doing so, its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invested substantially all of its efforts to date in developing its ecDTx, developing a diagnostic as a potential patient selection tool, identifying other targets for therapeutic pursuit, and developing its proprietary Spyglass platform. If Boundless Bio continues to develop any ecDTx, there can be no assurance any current or future ecDTx will demonstrate acceptable or commercially viable clinical trial results. Boundless Bio’s ability to generate product revenue, which it does not expect will occur for many years, if ever, will depend heavily on the successful development and eventual commercialization of its ecDTx. The success of Boundless Bio’s ecDTx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initiation and enrollment of clinical trials, and timely completion of clinical trials and preclinical studies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allowance to proceed with clinical trials for Boundless Bio’s ecDTx under INDs by the FDA, or under similar regulatory submissions by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frequency and severity of adverse events observed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establishing relationships with contract research organizations (“CROs”) and clinical sites for the clinical development of Boundless Bio’s ecDTx, and ability of such CROs and clinical sites to comply with clinical trial protocols, Good Clinical Practice requirements (“GCPs”) and other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demonstrating the safety and efficacy of Boundless Bio’s ecDTx to the satisfaction of applicable regulatory authorities, including by establishing a safety database of a size satisfactory to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development, validation, and regulatory approval of diagnostic tests for use in patient selection with Boundless Bio’s ecDTx,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regulatory approvals from applicable regulatory authorities, including approvals of new drug applications (“NDAs”), from the FDA and maintaining such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relationships with Boundless Bio’s third-party manufacturers and their ability to comply with current Good Manufacturing Practice requirements (“cGMPs”) as well as making arrangements with its third-party manufacturers for, or establishing its own, commercial manufacturing capabilities at a cost and scale sufficient to support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launching commercial sales of Boundless Bio’s products,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protecting, and enforcing any patent and trade secret protection, patent term extensions (if applicable), and/or regulatory exclusivity for Boundless Bio’s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 acceptable safety profile of Boundless Bio’s products following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growing an organization of people who can develop and commercialize Boundless Bio’s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Boundless Bio’s products, if approved, by patients, the medical community, and third-party payors.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Boundless Bio is unable to develop, obtain regulatory approval for, or, if approved, successfully commercialize any ecDTx, or if Boundless Bio experiences delays as a result of any of the above factors or otherwise, its business would be materially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Boundless Bio’s approach to treating cancer with oncogene amplifications by developing ecDTx directed against ecDNA is novel and unproven, and if Boundless Bio continues to develop any ecDTx, Boundless Bio does not know whether it will be able to develop any products of commercial value, or if competing approaches will limit the commercial value of its ecDTx.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Boundless Bio’s business depends primarily upon its ability to discover, develop, and commercialize products based on its scientific approach, which is focused on developing therapies that are directed against ecDNA in oncogene amplified cancers, a novel and unproven approach. While Boundless Bio has had favorable preclinical study results for certain of its ecDTx programs, Boundless Bio has not yet succeeded and may not succeed in demonstrating efficacy and safety for its ecDTx in clinical trials or in obtaining regulatory approvals from the FDA or other regulatory authorities or in commercializing such ecDTx. For example,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and will no longer invest in the development of ECHO, which is an ecDNA diagnostic clinical trial assay used in the POTENTIATE trial.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As an organization, Boundless Bio has not completed any clinical trials for any of its ecDTx. If Boundless Bio continues to develop any ecDTx, Boundless Bio’s research methodology and scientific approach in using its Spyglass platform may be unsuccessful in identifying and discovering additional ecDTx, and, even if successful, Boundless Bio may not be able to submit INDs and have such INDs allowed to proceed to enable it to commence clinical trials on the timelines it expects, if at all. Any ecDTx Boundless Bio does discover may be shown to have harmful side effects or may have other characteristics that may necessitate additional clinical testing or make the ecDTx unmarketable or unlikely to receive regulatory approval. In particular, developing therapies that are directed against ecDNA in oncogene amplified cancers is a novel approach that may have unexpected consequences, including adverse events that preclude successful development and approval of Boundless Bio’s ecDTx. Further, because Boundless Bio’s ecDTx and all of its discovery programs are ecDNA based, adverse developments with respect to one of its programs may have a significant adverse impact on the actual or perceived likelihood of success and value of its other programs.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biotechnology and biopharmaceutical industries are characterized by rapidly advancing technologies. If Boundless Bio continues to develop any ecDTx, Boundless Bio’s future success will depend in part on its ability to maintain a competitive position with its scientific approach. If Boundless Bio fails to stay at the forefront of technological change in utilizing its approach to create and develop ecDTx and, if required, diagnostic tests, Boundless Bio may be unable to compete effectively. Boundless Bio’s competitors may render its approach obsolete or limit the commercial value of its products or ecDTx by advances in existing technological approaches or the development of new or different approaches, potentially eliminating the advantages in its drug discovery process that Boundless Bio believes it derives from its approach. By contrast, adverse developments with respect to other companies that attempt to use a similar approach to Boundless Bio’s approach may adversely impact the actual or perceived value and potential of its ecDTx.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events occur, Boundless Bio may be forced to delay, modify, or abandon its development efforts for a program or programs, which would have a material adverse effect on its business and could potentially cause Boundless Bio to cease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and preclinical development involves a lengthy and expensive process with uncertain timelines and outcomes, and the results of preclinical studies and early clinical trials are not necessarily predictive of future results. If Boundless Bio continues to develop any ecDTx, Boundless Bio’s ecDTx may not achieve favorable results in ongoing or future clinical trials or preclinical studies or receive regulatory approval on a timely basis, if at all. </w:t>
      </w:r>
    </w:p>
    <w:p>
      <w:pPr>
        <w:pStyle w:val="TextBody"/>
        <w:bidi w:val="0"/>
        <w:spacing w:before="120" w:after="0"/>
        <w:jc w:val="left"/>
        <w:rPr>
          <w:rFonts w:ascii="Times New Roman" w:hAnsi="Times New Roman"/>
          <w:sz w:val="20"/>
        </w:rPr>
      </w:pPr>
      <w:r>
        <w:rPr>
          <w:rFonts w:ascii="Times New Roman" w:hAnsi="Times New Roman"/>
          <w:sz w:val="20"/>
        </w:rPr>
        <w:t xml:space="preserve">Clinical and preclinical development is expensive and can take many years to complete, and its outcome is inherently uncertain. If Boundless Bio continues to develop any ecDTx, Boundless Bio cannot guarantee that any clinical trials or preclinical studies will be conducted as planned, including whether it is able to meet expected timeframes for data readouts, or completed on schedule, if at all, and failure can occur at any time during the trial or study process. Despite any promising preclinical or clinical results, any ecDTx can unexpectedly fail at any stage of clinical or preclinical development. The historical failure rate for product candidates in the industry is high, particularly in the earlier stages of development. For example, as discussed above,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and will no longer invest in the development of ECHO, which is an ecDNA diagnostic clinical trial assay used in the POTENTIATE trial.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The results from preclinical studies or clinical trials of an ecDTx or of a competitor’s product candidates in the same class may not predict the results of later clinical trials of Boundless Bio’s current or future ecDTx, and interim, topline, or preliminary results of a clinical trial are not necessarily indicative of final results. ecDTx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these studies, or in future IND-enabling studies for Boundless Bio’s current and any potential future ecDTx development programs, such results may delay or prevent the initiation of clinical trials for such ecDTx programs. </w:t>
      </w:r>
    </w:p>
    <w:p>
      <w:pPr>
        <w:pStyle w:val="TextBody"/>
        <w:bidi w:val="0"/>
        <w:spacing w:before="240" w:after="0"/>
        <w:jc w:val="left"/>
        <w:rPr>
          <w:rFonts w:ascii="Times New Roman" w:hAnsi="Times New Roman"/>
          <w:sz w:val="20"/>
        </w:rPr>
      </w:pPr>
      <w:r>
        <w:rPr>
          <w:rFonts w:ascii="Times New Roman" w:hAnsi="Times New Roman"/>
          <w:sz w:val="20"/>
        </w:rPr>
        <w:t xml:space="preserve">Moreover, preclinical and clinical data may be susceptible to varying interpretations and analyses. A number of companies in the biopharmaceutical and biotechnology industries, including Boundless Bio, as discussed above, have suffered significant setbacks in clinical development even after achieving promising results in earlier studies. Such setbacks have occurred and may occur for many reasons if Boundless Bio continues to develop any ecDTx, including, but not limited to: clinical sites and investigators may deviate from clinical trial protocols, whether due to lack of training or otherwise, and Boundless Bio may fail to detect any such deviations in a timely manner; patients may fail to adhere to any required clinical trial procedures, including any requirements for post-treatment follow-up; any current or future ecDTx may fail to demonstrate effectiveness or safety in certain patient subpopulations, which has not been observed in earlier trials due to limited sample size, lack of analysis, or otherwise; or Boundless Bio’s clinical trials may not adequately represent the patient populations it intends to treat, whether due to limitations in its trial designs or otherwise, such as where one patient subgroup is overrepresented in the clinical trial. Based upon negative or inconclusive results, Boundless Bio or any future collaborator may decide, or regulators may require Boundless Bio, to conduct additional preclinical studies or clinical trials, which would cause Boundless Bio to incur additional operating expenses and delays and may not be sufficient to support regulatory approval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As a result, if Boundless Bio continues to develop any ecDTx, Boundless Bio cannot be certain that its clinical trials and preclinical studies will be successful. Any safety concerns observed in any one of Boundless Bio’s clinical trials in its targeted indications could limit the prospects for regulatory approval of its ecDTx in those and other indications, which could have a material adverse effect on Boundless Bio’s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Boundless Bio continues to develop any ecDTx, any difficulties or delays in the commencement or completion, or the termination or suspension, of its clinical trials or preclinical studies could result in increased costs to Boundless Bio, delay or limit its ability to generate revenue, or adversely affect its commercial prospects.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Boundless Bio’s ecDTx, Boundless Bio must conduct extensive clinical trials to demonstrate the safety and efficacy of the ecDTx in humans. Before Boundless Bio can initiate clinical trials for its preclinical ecDTx, it must submit the results of preclinical studies to the FDA or comparable foreign regulatory authorities along with other information, including information about ecDTx chemistry, manufacturing, and controls, and its proposed clinical trial protocol, as part of an IND or similar regulatory submission. The FDA or comparable foreign regulatory authorities may require Boundless Bio to conduct additional preclinical studies for any ecDTx before it allows Boundless Bio to initiate clinical trials under any IND or similar regulatory submission, which may lead to delays and increase the costs of Boundless Bio’s preclinical ecDTx programs. Moreover, even if Boundless Bio commences clinical trials, issues may arise that could cause regulatory authorities to suspend or terminate such clinical trials. Any such delays in the commencement or completion, or the termination or suspension, of Boundless Bio’s clinical trials or preclinical studies for its current and any future ecDTx could significantly affect its product development timelines and product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continues to develop any ecDTx, Boundless Bio does not know whether its clinical trials and preclinical studies will begin on time or if its ongoing or future trials or studies will be completed on schedule, if at all. The commencement, data readouts, and completion of clinical trials and preclinical studies can be delayed for a number of reasons, including delays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animals or materials to initiate and generate sufficient preclinical, toxicology, or other </w:t>
            </w:r>
            <w:r>
              <w:rPr>
                <w:rFonts w:ascii="Times New Roman" w:hAnsi="Times New Roman"/>
                <w:i/>
                <w:sz w:val="20"/>
              </w:rPr>
              <w:t xml:space="preserve">in vivo </w:t>
            </w:r>
            <w:r>
              <w:rPr>
                <w:rFonts w:ascii="Times New Roman" w:hAnsi="Times New Roman"/>
                <w:sz w:val="20"/>
              </w:rPr>
              <w:t xml:space="preserve">or </w:t>
            </w:r>
            <w:r>
              <w:rPr>
                <w:rFonts w:ascii="Times New Roman" w:hAnsi="Times New Roman"/>
                <w:i/>
                <w:sz w:val="20"/>
              </w:rPr>
              <w:t>in vitro</w:t>
            </w:r>
            <w:r>
              <w:rPr>
                <w:rFonts w:ascii="Times New Roman" w:hAnsi="Times New Roman"/>
                <w:sz w:val="20"/>
              </w:rPr>
              <w:t xml:space="preserve">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allowance from regulatory authorities to commence a trial or reaching a consensus with regulatory authorities on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disagreeing as to the design or implementation of Boundless Bio’s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approval from one or more institutional review boards (“IRBs”) or ethics committees (“ECs”) at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IRBs/ECs refusing to approve, suspending, or terminating the trial at an investigational site, precluding enrollment of additional patients,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amendments to the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Boundless Bio’s CROs to perform in accordance with GCP requirements or applicable regulatory requirements or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raw materials for manufacturing sufficient quantities of Boundless Bio’s ecDTx or obtaining sufficient quantities of combination therapies or other materials needed for use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failing to enroll or remain in Boundless Bio’s trials at the rate Boundless Bio expects, or failing to return for post-treatment follow-up, including patients failing to remain in Boundless Bio’s trials due to movement restrictions, health reasons, or otherwise resulting from any future public health concerns;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choosing alternative treatments for the indications for which Boundless Bio is developing Boundless Bio’s ecDTx,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any clinical trials or preclinical studies or costs being greater than Boundless Bio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experiencing severe or serious unexpected drug-related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serious adverse events in trials of the same class of agents conducted by other companies that could be considered similar to Boundless Bio’s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endpoints that require prolonged periods of clinical observation or extended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of manufacturing processes to larger-scale facilities operated by a contract manufacturing organization (“CMO”), delays, or failure by Boundless Bio’s CMOs or Boundless Bio to make any necessary changes to such manufacturing process, or failure of Boundless Bio’s CMOs to produce clinical trial materials in accordance with cGMP regulations or other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being unwilling or unable to satisfy their contractual obligations to Boundless Bio in a timely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Boundless Bio could also encounter delays if a clinical trial is suspended or terminated by Boundless Bio, by ECs or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and other regulatory requirements or Boundless Bio’s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Boundless Bio may need to amend clinical trial protocols to comply with these changes. Amendments may require Boundless Bio to resubmit Boundless Bio’s clinical trial protocols to ECs or IRBs for reexamination, which may impact the costs, timing, or successful completion of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Further, if Boundless Bio conducts clinical trials in foreign countries, this will present additional risks that may delay completion of Boundless Bio’s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40" w:after="0"/>
        <w:jc w:val="left"/>
        <w:rPr>
          <w:rFonts w:ascii="Times New Roman" w:hAnsi="Times New Roman"/>
          <w:sz w:val="20"/>
        </w:rPr>
      </w:pPr>
      <w:r>
        <w:rPr>
          <w:rFonts w:ascii="Times New Roman" w:hAnsi="Times New Roman"/>
          <w:sz w:val="20"/>
        </w:rPr>
        <w:t xml:space="preserve">Moreover, principal investigators for Boundless Bio’s clinical trials may serve as scientific advisors or consultants to Boundless Bio from time to time and receive compensation in connection with such services. Under certain circumstances, Boundless Bio may be required to report some of these relationships to the FDA or comparable foreign regulatory authorities. The FDA or comparable foreign regulatory authority may conclude that a financial relationship between Boundless Bio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Boundless Bio’s marketing applications by the FDA or a comparable foreign regulatory authority, as the case may be, and may ultimately lead to the denial of regulatory approval of Boundless Bio’s ecDTx.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many of the factors that cause, or lead to, the termination or suspension of, or a delay in the commencement or completion of, clinical trials may also ultimately lead to the denial of regulatory approval of an ecDTx. Any delays to Boundless Bio’s clinical trials that occur as a result could shorten any period during which Boundless Bio may have the exclusive right to commercialize Boundless Bio’s ecDTx. In such cases, Boundless Bio’s competitors may be able to bring products to market before Boundless Bio does, and the commercial viability of Boundless Bio’s ecDTx could be significantly reduced. Any of these occurrences may harm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Boundless Bio may find it difficult to enroll patients in any clinical trials. If Boundless Bio encounters difficulties or delays enrolling patients in Boundless Bio’s clinical trials, Boundless Bio’s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Successful and timely completion of clinical trials will require that Boundless Bio identifies and enrolls a specified number of patients for each of Boundless Bio’s clinical trials. Boundless Bio may not be able to initiate or continue clinical trials for any ecDTx if Boundless Bio is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Boundless Bio’s ability to recruit clinical trial investigators with the appropriate competencies and experience, and competing clinical trials and clinicians’ and patients’ perceptions as to the potential advantages and risks of any ecDTx being studied in relation to other available therapies, including any new products that may be approved for the indications Boundless Bio may be investigating as well as any product candidates under development. Boundless Bio will be required to identify and enroll a sufficient number of patients for each of Boundless Bio’s clinical trials and monitor such patients adequately during and after treatment. Potential patients for any planned clinical trials may not be adequately diagnosed or identified with the diseases that Boundless Bio is targeting, which could adversely impact the outcomes of Boundless Bio’s trials and could have safety concerns for the potential patients. Potential patients for any planned clinical trials may also not meet the entry criteria for such trials.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because Boundless Bio’s ecDTx are focused on patients with tumors harboring oncogene amplifications on or enabled by ecDNA, Boundless Bio’s ability to enroll eligible patients may be limited or take more time than Boundless Bio anticipates, due to the frequency of the biomarker Boundless Bio is seeking to target, or Boundless Bio’s ability to effectively identify such biomarker. Boundless Bio also may encounter difficulties in identifying and enrolling patients with the proper tumor characteristics or stage of disease appropriate for any of Boundless Bio’s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Boundless Bio’s clinical trials. The timing of Boundless Bio’s clinical trials depends, in part, on the speed at which Boundless Bio can recruit patients to participate in Boundless Bio’s trials, as well as completion of required follow-up periods. The eligibility criteria of Boundless Bio’s clinical trials, once established, may further limit the pool of available trial participants. If patients are unwilling or unable to participate in Boundless Bio’s trials for any reason, including the existence of concurrent clinical trials for similar target populations, the availability of approved therapies, or the fact that enrolling in Boundless Bio’s trials may prevent patients from taking a different product, or Boundless Bio otherwise has difficulty enrolling a sufficient number of patients, the timeline for recruiting patients, conducting trials, and obtaining regulatory approval of Boundless Bio’s current or future ecDTx may be delayed. Additionally, patients in Boundless Bio’s prior clinical trials are typically in the late stages of their disease and may experience disease progression independent from Boundless Bio’s ecDTx, making them unevaluable for purposes of the clinical trial and requiring additional patient enrollment. Boundless Bio’s inability to enroll a sufficient number of patients for any of Boundless Bio’s future clinical trials would result in significant delays or may require Boundless Bio to abandon one or more clinical trials altogether.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Boundless Bio continues to develop any ecDTx, Boundless Bio will continue to rely on CROs and clinical trial sites to ensure proper and timely enrollment of Boundless Bio’s clinical trials. Though Boundless Bio has entered into agreements governing their services, Boundless Bio has limited influence over their actual performance. Boundless Bio cannot assure you that Boundless Bio’s assumptions used in determining expected clinical trial timelines are correct, or that Boundless Bio will not experience delays or difficulties in enrollment, or be required by the FDA or other regulatory authorities to increase Boundless Bio’s enrollment, which would result in the delay of completion of such trials beyond Boundless Bio’s expected timelines.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Boundless Bio’s current or future ecDTx could be associated with side effects, adverse events, or other properties or safety risks, which could delay or preclude regulatory approval, cause Boundless Bio to suspend or discontinue clinical trials, cause Boundless Bio to abandon an ecDTx, limit the commercial profile of an approved label, or result in other significant negative consequences that could severely harm Boundless Bio’s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oncology drugs generally, it is likely that there may be side effects and adverse events associated with use of Boundless Bio’s ecDTx. If Boundless Bio continues to develop any ecDTx, results of Boundless Bio’s clinical trials could reveal a high and unacceptable severity and prevalence of expected or unexpected side effects or unexpected characteristics. Undesirable side effects caused by any of Boundless Bio’s ecDTx when used alone or in combination with approved or investigational drugs could cause Boundless Bio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Boundless Bio’s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if Boundless Bio’s ecDTx are associated with undesirable side effects in clinical trials or demonstrate characteristics that are unexpected, Boundless Bio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ecDTx if approved. Unacceptable enhancement of certain toxicities may be seen when Boundless Bio’s ecDTx is combined with standard of care therapies, or when used as a single agent. Boundless Bio may also be required to modify Boundless Bio’s development and clinical trial plans based on findings in Boundless Bio’s ongoing clinical trials. For example, in the now-discontinued monotherapy arm of the POTENTIATE trial, BBI-355 administered with continuous every other day dosing (“Q2D”) demonstrated a narrow therapeutic index resulting from hematological toxicity at or near doses associated with clinical activity, and in the now-discontinued combination arms with third-party targeted therapies, the combination of BBI-355 administered with Q2D dosing in combination with these therapies was not well-tolerated at the exposure levels believed to be required for robust, sustained anti-tumor activity. Many compounds that initially showed promise in early-stage testing for treating cancer have later been found to cause side effects that prevented further development of the compounds. In addition, if Boundless Bio continues to develop any ecDTx, Boundless Bio plans to study its ecDTx in combination with other therapies, which may exacerbate adverse events associated with such ecDTx.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continues to develop any ecDTx and successfully completes early phase clinical studies and establishes initial clinical proof-of-concept, it is possible that as Boundless Bio tests its ecDTx in larger, longer, and more extensive clinical trials, including with different dosing regimens, or as the use of these ecDTx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Boundless Bio’s business, financial condition, and prospects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Patients treated with Boundless Bio’s current or future ecDTx may also be undergoing surgical, radiation, and/or chemotherapy treatments, which can cause side effects or adverse events that are unrelated to Boundless Bio’s ecDTx but may still impact the success of Boundless Bio’s clinical trials. The inclusion of critically ill patients in Boundless Bio’s clinical trials may result in deaths or other adverse medical events due to other therapies or medications that such patients may be using or due to the gravity of such patients’ illnesses. For example, if Boundless Bio continues to develop any ecDTx, Boundless Bio expects that some of the patients enrolled in its clinical trials will die or experience major clinical events either during the course of Boundless Bio’s clinical trials or after participating in such trials.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Boundless Bio’s ecDTx receives regulatory approval, and Boundless Bio or others later identify undesirable side effects caused by such product,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suspend, or limit approvals of such product, or seek an injunction against its manufacture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be required to recall a product or change the way such product is administered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additional warnings on the label, such as a “black box” warning or a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be required to implement a Risk Evaluation and Mitigation Strategy (“REMS”) or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be required to change the way a product is distributed or administered, conduct additional clinical trials, change the labeling of a product, or conduct additional post-marketing studies or surveillance;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could be sued and held liable for harm caused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or the product could become less competitive;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Boundless Bio from achieving or maintaining market acceptance of the particular ecDTx, if approved, and could significantly harm Boundless Bio’s business,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an organization, Boundless Bio has never completed any clinical trials and may be unable to do so if Boundless Bio continues to develop any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never completed any clinical trials, and if Boundless Bio continues to develop any ecDTx, Boundless Bio will need to successfully complete ongoing and later-stage and pivotal clinical trials in order to obtain FDA or comparable foreign regulatory approval to market any current or future ecDTx. Carrying out later-stage clinical trials and the submission of a successful NDA is a complicated process. As discussed above, Boundless Bio elected to cease enrollment in the POTENTIATE trial and has not yet completed any clinical trials for Boundless Bio’s ecDTx. Boundless Bio has limited experience as a company in preparing and submitting marketing applications and has not previously submitted an NDA or other comparable foreign regulatory submission for any ecDTx. In addition, as a company, Boundless Bio has had limited interactions with the FDA and no interaction with other comparable foreign regulatory authorities and cannot be certain how many additional clinical trials of Boundless Bio’s ecDTx will be required or how such trials should be designed. Consequently, Boundless Bio may be unable to successfully and efficiently execute and complete necessary clinical trials in a way that leads to submission and regulatory approval of Boundless Bio’s ecDTx. Boundless Bio may require more time and incur greater costs than its competitors and may not succeed in obtaining regulatory approvals of ecDTx that Boundless Bio may develop. Failure to commence or complete, or delays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Boundless Bio’s clinical trials could prevent Boundless Bio from or delay Boundless Bio in submitting marketing applications, including NDAs, for and commercializing its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and is unable to successfully identify predictive biomarkers to identify patient populations most likely to benefit from Boundless Bio’s ecDTx, or develop a diagnostic to enable patient selection for Boundless Bio’s ecDTx, or if Boundless Bio experiences significant delays in doing so, Boundless Bio may not realize the full commercial potential of its ecDTx.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a key component of Boundless Bio’s strategy will continue to be its ability to identify patient populations most likely to benefit from its ecDTx by using a biomarker-driven approach. Identification of these patients will require identification of predictive biomarkers and may require the development and use of a diagnostic assay.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not be able to identify predictive biomarkers to identify patients most likely to benefit from its ecDTx. If Boundless Bio identifies predictive biomarkers, there are several risks associated with the development of a diagnostic assay to identify the biomarkers. Boundless Bio may not be able to validate a diagnostic and the related biomarkers or their functional relevance clinically. Potential biomarkers, even if validated preclinically, may not be functionally validated in human clinical trials. Any failure by Boundless Bio to successfully develop or obtain marketing authorization for a diagnostic assay, or any delays in doing so, may harm the commercial prospects of its ecDTx. Moreover, Boundless Bio may need to work with a third-party diagnostic developer to assist it in developing a diagnostic assay. For example, Boundless Bio developed an ecDNA diagnostic called ECHO as a clinical trial assay for use during its Phase 1/2 POTENTIATE clinical trial using a third-party </w:t>
      </w:r>
      <w:r>
        <w:rPr>
          <w:rFonts w:ascii="Times New Roman" w:hAnsi="Times New Roman"/>
          <w:i/>
          <w:sz w:val="20"/>
        </w:rPr>
        <w:t xml:space="preserve">in vitro </w:t>
      </w:r>
      <w:r>
        <w:rPr>
          <w:rFonts w:ascii="Times New Roman" w:hAnsi="Times New Roman"/>
          <w:sz w:val="20"/>
        </w:rPr>
        <w:t xml:space="preserve">diagnostic company, although, following its strategic portfolio review in January 2026 and its decision to cease enrollment of the POTENTIATE trial, Boundless Bio will no longer invest in the development of ECHO. In the future, Boundless Bio may have difficulty identifying or maintaining a relationship with a third-party diagnostic developer, and it may face competition from other companies in establishing these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Boundless Bio may develop its ecDTx in combination with other therapies, which exposes Boundless Bio to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Boundless Bio may develop its ecDTx for use in combination with one or more currently approved cancer therapies. Even if its ecDTx was to receive regulatory approval or be commercialized for use in combination with other existing therapies, Boundless Bio would continue to bear the risks that the FDA or similar foreign regulatory authorities could revoke approval of the therapy used in combination with its ecDTx or that safety, efficacy, manufacturing, or supply issues could arise with these existing therapies. Combination therapies are commonly used for the treatment of cancer, and Boundless Bio would be subject to similar risks if Boundless Bio develops its ecDTx for use in combination with other drugs or biologics or for indications other than cancer. Developing combination therapies using approved therapeutics, as Boundless Bio may do for its ecDTx, also exposes Boundless Bio to additional clinical risks, such as the requirement that Boundless Bio demonstrate the safety and efficacy of each active component of any combination regimen it may develop. </w:t>
      </w:r>
    </w:p>
    <w:p>
      <w:pPr>
        <w:pStyle w:val="TextBody"/>
        <w:bidi w:val="0"/>
        <w:spacing w:before="240" w:after="0"/>
        <w:jc w:val="left"/>
        <w:rPr>
          <w:rFonts w:ascii="Times New Roman" w:hAnsi="Times New Roman"/>
          <w:sz w:val="20"/>
        </w:rPr>
      </w:pPr>
      <w:r>
        <w:rPr>
          <w:rFonts w:ascii="Times New Roman" w:hAnsi="Times New Roman"/>
          <w:sz w:val="20"/>
        </w:rPr>
        <w:t xml:space="preserve">If the FDA or similar foreign regulatory authorities revoke the approval of combination agents, or if safety, efficacy, manufacturing, or supply issues arise with the drugs Boundless Bio chooses to evaluate in combination with Boundless Bio’s ecDTx, Boundless Bio may be unable to obtain approval of or market Boundless Bio’s ecDTx for combination therapy regimens.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third-party providers of therapies or therapies in development used in combination with its ecDTx are unable to produce sufficient quantities for clinical trials or for commercialization of Boundless Bio’s ecDTx, or if the cost of combination therapies are prohibitive, Boundless Bio’s development and commercialization efforts would be impaired, which would have an adverse effect on Boundless Bio’s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Boundless Bio may expend Boundless Bio’s limited resources to pursue a particular ecDTx or a particular indication for an ecDTx and fail to capitalize on ecDTx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Boundless Bio has limited financial and managerial resources, if Boundless Bio continues to develop any ecDTx, Boundless Bio may focus on specific ecDTx, development programs, and indications. As a result, Boundless Bio may forgo or delay pursuit of opportunities with other ecDTx that could have had greater commercial potential. Boundless Bio’s resource allocation and other decisions may cause Boundless Bio to fail to identify and capitalize on viable potential ecDTx or additional indications for its ecDTx or other profitable market opportunities. Boundless Bio’s spending on current and future research and development programs and ecDTx for specific indications may not yield any commercially viable ecDTx.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Boundless Bio does not accurately evaluate the commercial potential or target market for a particular indication or ecDTx, Boundless Bio may relinquish valuable rights to that ecDTx through collaborations, licenses, and other similar arrangements in cases in which it would have been more advantageous for Boundless Bio to retain sole development and commercialization rights to such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it may in the future conduct certain of its clinical trials for Boundless Bio’s ecDTx outside of the United States. However, the FDA and other foreign equivalents may not accept data from such trials, in which case Boundless Bio’s development plans will be delayed, which could materially harm Boundless Bio’s business.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Boundless Bio may in the future conduct one or more of Boundless Bio’s clinical trials for Boundless Bio’s ecDTx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the FDA will accept data from clinical trials conducted outside of the United States. If the FDA does not accept data from Boundless Bio’s clinical trials of its ecDTx, it would likely result in the need for additional clinical trials, which would be costly and time-consuming and delay or permanently halt Boundless Bio’s development of its ecDTx. </w:t>
      </w:r>
    </w:p>
    <w:p>
      <w:pPr>
        <w:pStyle w:val="TextBody"/>
        <w:bidi w:val="0"/>
        <w:spacing w:before="240" w:after="0"/>
        <w:jc w:val="left"/>
        <w:rPr>
          <w:rFonts w:ascii="Times New Roman" w:hAnsi="Times New Roman"/>
          <w:sz w:val="20"/>
        </w:rPr>
      </w:pPr>
      <w:r>
        <w:rPr>
          <w:rFonts w:ascii="Times New Roman" w:hAnsi="Times New Roman"/>
          <w:sz w:val="20"/>
        </w:rPr>
        <w:t xml:space="preserve">Conducting clinical trials outside the United States also exposes Boundless Bio to additional risks, including risks associated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foreign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foreign manufacturing, customs, shipment, and storage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inconsistent standards for reporting and evaluating clinical data and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diminished protection of intellectual property in some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health concerns or political instability, civil unrest, war, or similar events that may jeopardize Boundless Bio’s ability to commence, conduct, or complete a clinical trial and evaluate resulting data.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Boundless Bio continues to develop any ecDTx, interim, topline, and preliminary data from Boundless Bio’s clinical trials and preclinical studies that Boundless Bio announces or publishes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Boundless Bio may publicly disclose interim, topline, or preliminary data from its clinical trials and preclinical studies, which is based on a preliminary analysis of then-available data, and the results and related findings and conclusions are subject to change following a more comprehensive review of the data related to the particular study or trial. Boundless Bio also makes assumptions, estimations, calculations, and conclusions as part of Boundless Bio’s analyses of data, and Boundless Bio may not have received or had the opportunity to fully and carefully evaluate all data. As a result, the interim, topline, or preliminary results that Boundless Bio reports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Boundless Bio previously published. As a result, topline and preliminary data should be viewed with caution until the final data are available. Interim data from clinical trials that Boundless Bio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Boundless Bio’s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others, including regulatory authorities, may not accept or agree with Boundless Bio’s assumptions, estimates, calculations, conclusions, or analyses or may interpret or weigh the importance of data differently, which could impact the value of the particular program, the approvability or commercialization of the particular ecDTx or product and its company in general. Moreover, the information Boundless Bio chooses to publicly disclose regarding a particular study or clinical trial is based on what is typically extensive information, and you or others may not agree with what Boundless Bio determines is material or otherwise appropriate information to include in its disclosure, and any information Boundless Bio determines not to disclose may ultimately be deemed significant with respect to future decisions, conclusions, views, activities or otherwise regarding a particular drug, ecDTx or its business. If the interim, topline, or preliminary data that Boundless Bio report differ from actual results, or if others, including regulatory authorities, disagree with the conclusions reached, Boundless Bio’s ability to obtain approval for, and commercialize its ecDTx may be harmed, which could harm Boundless Bio’s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methods of ecDTx manufacturing or formulation may result in additional costs or delay. </w:t>
      </w:r>
    </w:p>
    <w:p>
      <w:pPr>
        <w:pStyle w:val="TextBody"/>
        <w:bidi w:val="0"/>
        <w:spacing w:before="120" w:after="0"/>
        <w:jc w:val="left"/>
        <w:rPr>
          <w:rFonts w:ascii="Times New Roman" w:hAnsi="Times New Roman"/>
          <w:sz w:val="20"/>
        </w:rPr>
      </w:pPr>
      <w:r>
        <w:rPr>
          <w:rFonts w:ascii="Times New Roman" w:hAnsi="Times New Roman"/>
          <w:sz w:val="20"/>
        </w:rPr>
        <w:t xml:space="preserve">As any of Boundless Bio’s current or future ecDTx progress through preclinical studies to clinical trials to regulatory approval and commercialization, it is common that various aspects of the ecDTx development program, such as manufacturing methods and formulation, are altered along the way in an effort to optimize safety, efficacy, yield, and manufacturing batch size, minimize costs, and achieve consistent quality and results. There can be no assurance that this or any other future manufacturing or formulation changes will achieve their intended objectives. These changes and any future changes Boundless Bio may make to its ecDTx may also cause such candidates to perform differently and affect the results of future clinical trials conducted with the altered materials. Such changes or related unfavorable clinical trial results could delay initiation or completion of additional clinical trials, require the conduct of bridging studies or clinical trials or the repetition of one or more studies or clinical trials, increase development costs, delay or prevent potential regulatory approval, and jeopardize Boundless Bio’s ability to commercialize its ecDTx, if approved, and generate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Boundless Bio is required by the FDA or comparable foreign regulatory authority to obtain approval of a companion diagnostic test in connection with approval of Boundless Bio’s ecDTx, and Boundless Bio does not obtain, or face delays in obtaining, FDA or foreign approval of such companion diagnostic, Boundless Bio will not be able to commercialize Boundless Bio’s ecDTx, and Boundless Bio’s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If the FDA believes that the safe and effective use of Boundless Bio’s ecDTx depends on an in vitro diagnostic, then it may require approval or clearance of that diagnostic as a companion diagnostic at the same time that the FDA approves its ecDTx,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diagnostic is not commercially available in this situation, Boundless Bio may be required to complete the development of a diagnostic that would be subject to regulatory approval requirements. The process of obtaining or creating such diagnostics is time-consuming and costly. </w:t>
      </w:r>
    </w:p>
    <w:p>
      <w:pPr>
        <w:pStyle w:val="TextBody"/>
        <w:bidi w:val="0"/>
        <w:spacing w:before="240" w:after="0"/>
        <w:jc w:val="left"/>
        <w:rPr>
          <w:rFonts w:ascii="Times New Roman" w:hAnsi="Times New Roman"/>
          <w:sz w:val="20"/>
        </w:rPr>
      </w:pPr>
      <w:r>
        <w:rPr>
          <w:rFonts w:ascii="Times New Roman" w:hAnsi="Times New Roman"/>
          <w:sz w:val="20"/>
        </w:rPr>
        <w:t xml:space="preserve">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As such, Boundless Bio expects that if it continues to develop any ecDTx, it may need to obtain approval for any diagnostic Boundless Bio may develop for use with its ecDTx. The approval or clearance of a companion diagnostic as part of the therapeutic product’s further labeling limits the use of the therapeutic product to only those patients who express the specific characteristic that the companion diagnostic was developed to detect. </w:t>
      </w:r>
    </w:p>
    <w:p>
      <w:pPr>
        <w:pStyle w:val="TextBody"/>
        <w:bidi w:val="0"/>
        <w:spacing w:before="240" w:after="0"/>
        <w:jc w:val="left"/>
        <w:rPr>
          <w:rFonts w:ascii="Times New Roman" w:hAnsi="Times New Roman"/>
          <w:sz w:val="20"/>
        </w:rPr>
      </w:pPr>
      <w:r>
        <w:rPr>
          <w:rFonts w:ascii="Times New Roman" w:hAnsi="Times New Roman"/>
          <w:sz w:val="20"/>
        </w:rPr>
        <w:t xml:space="preserve">If the FDA or a comparable foreign regulatory authority requires approval or clearance of a companion diagnostic for its ecDTx, whether before, simultaneously with, or after the ecDTx obtains regulatory approval, Boundless Bio and/or third-party developers may encounter difficulties in developing and obtaining approval or clearance for these companion diagnostics. Any delay or failure by Boundless Bio or third-party developers to develop or obtain regulatory approval or clearance of a companion diagnostic could delay or prevent approval or continued marketing of the relevant ecDTx. Boundless Bio or its third-party developers may also experience delays in developing a sustainable, reproducible, and scalable manufacturing process for the companion diagnostic or in transferring that process to commercial partners or negotiating insurance reimbursement plans, all of which may prevent Boundless Bio from completing any clinical trials or commercializing its ecDTx, if approved, on a timely or profitable basis, if at all. Following its strategic portfolio review in January 2026 and its decision to cease enrollment of the POTENTIATE trial, Boundless Bio will no longer invest in the development of ECHO, which is an ecDNA diagnostic clinical trial assay used in the POTENTIATE trial.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attempt to secure approval from the FDA through the use of the accelerated approval pathway if Boundless Bio continues to develop any ecDTx. If Boundless Bio is unable to obtain such approval, Boundless Bio may be required to conduct additional clinical trials beyond those that Boundless Bio contemplates, which could increase the expense of obtaining, and delay the receipt of, necessary regulatory approvals. Even if Boundless Bio receives accelerated approval from the FDA, if its confirmatory trials do not verify clinical benefit, or if Boundless Bio does not comply with rigorous post-marketing requirements, the FDA may seek to withdraw any accelerated approval it had obtained.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Boundless Bio may in the future seek an accelerated approval for Boundless Bio’s ecDTx.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the Food and Drug Omnibus Reform Act of 2022, among other things, provided the FDA with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 </w:t>
      </w:r>
    </w:p>
    <w:p>
      <w:pPr>
        <w:pStyle w:val="TextBody"/>
        <w:bidi w:val="0"/>
        <w:spacing w:before="240" w:after="0"/>
        <w:jc w:val="left"/>
        <w:rPr>
          <w:rFonts w:ascii="Times New Roman" w:hAnsi="Times New Roman"/>
          <w:sz w:val="20"/>
        </w:rPr>
      </w:pPr>
      <w:r>
        <w:rPr>
          <w:rFonts w:ascii="Times New Roman" w:hAnsi="Times New Roman"/>
          <w:sz w:val="20"/>
        </w:rPr>
        <w:t xml:space="preserve">Prior to seeking approval for any ecDTx, Boundless Bio intends to seek feedback from the FDA and will otherwise evaluate its ability to seek and receive accelerated approval. There can be no assurance that after its evaluation of the feedback and other factors Boundless Bio will decide to pursue or submit an NDA for accelerated approval or obtain any other form of expedited development, review, or approval. Furthermore, if Boundless Bio decides to submit an application for accelerated approval for its ecDTx, there can be no assurance that such submission or application will be accepted or that any expedited development, review, or approval will be granted on a timely basis, or at all. The FDA could also require Boundless Bio to conduct further studies prior to considering its application or granting approval of any type. A failure to obtain accelerated approval or any other form of expedited development, review, or approval for its ecDTx would result in a longer time period to commercialization of such ecDTx, if any, could increase the cost of development of such ecDTx, and could harm its competitive position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including due to government shutdowns, other funding shortages, policy changes, leadership changes, layoffs or significant personnel turnover, or public health concerns, could impede development and potential marketing approval of Boundless Bio’s ecDTx and its ability to raise capital. </w:t>
      </w:r>
    </w:p>
    <w:p>
      <w:pPr>
        <w:pStyle w:val="TextBody"/>
        <w:bidi w:val="0"/>
        <w:spacing w:before="120" w:after="0"/>
        <w:jc w:val="left"/>
        <w:rPr>
          <w:rFonts w:ascii="Times New Roman" w:hAnsi="Times New Roman"/>
          <w:sz w:val="20"/>
        </w:rPr>
      </w:pPr>
      <w:r>
        <w:rPr>
          <w:rFonts w:ascii="Times New Roman" w:hAnsi="Times New Roman"/>
          <w:sz w:val="20"/>
        </w:rPr>
        <w:t xml:space="preserve">Over the last several years, the U.S. government has shut down several times and certain federal regulatory agencies, such as the FDA and SEC, furloughed or laid off employees and halted non-essential operations due to the failure of Congress to pass a new appropriations bill or continuing resolution to temporarily extend funding. Political polarization among lawmakers may lead to a higher frequency and longer duration of government shutdowns in the future. A federal government shutdown or other disruption to ordinary course operations could prevent or delay staff at federal agencies from performing key functions that may adversely affect Boundless Bio’s business, and the more prolonged the disruption, the greater risks it may pose to its business. In addition, considerable uncertainty exists regarding the current U.S. presidential administration’s initiatives and how these might impact federal government agencies, including the FDA, their implementation of laws, regulations, policies, and guidance, and their personnel. Alternatively, state governments may attempt to address or react to changes at the federal level with changes to their own regulatory frameworks in a manner that is adverse to Boundless Bio’s business or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the FDA to review and approve new product applications or take action with respect to other regulatory matters can be affected by a variety of factors, including funding levels, ability to accept the payment of user fees, ability to hire and retain key personnel, and statutory, regulatory, and policy changes. Government funding of other government agencies that fund research and development activities is subject to the political process, which is inherently fluid and unpredictable. For example, the current U.S. presidential administration has issued certain policies and executive orders directed towards reducing, and subsequent reductions have occurred to, the employee headcount and costs associated with U.S. administrative agencies, including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 remains unclear the degree to which these efforts may limit or otherwise adversely affect the FDA’s ability to conduct routine activities. Disruptions at the FDA may delay meetings and other communications with agency staff necessary to progress development of Boundless Bio’s ecDTx and may slow the time necessary for acceptance, review, and approval of applications to commence clinical studies or to market a new product in the U.S., which could also adversely affect its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disruptions at the SEC could prevent or delay SEC staff from performing key functions, including, for example, granting acceleration requests for registration statements, declaring registration statements or amendments thereto effective and providing interpretive guidance or no-action letters. If a federal government shutdown halts non-essential SEC operations for an extended period, it may negatively impact Boundless Bio’s ability to raise additional capital through registered offerings of its securities. If a prolonged U.S. government shutdown or other event or condition occurs that prevents or significantly delays the FDA, SEC or other regulatory agencies from hiring and retaining personnel and conducting their regular activities, or if an agency is restructured or experiences significant reduction in funding, leadership changes, or employee turnover, it could significantly impact the ability of these agencies to timely review and process Boundless Bio’s regulatory submissions and may impede its access to additional capital needed to maintain or expand its operations or to complete important acquisitions or other transactions, which could have a material adverse effect on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Boundless Bio’s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 relies on third parties to conduct Boundless Bio’s clinical trials and preclinical studies. If these third parties do not successfully carry out their contractual duties, comply with applicable regulatory requirements, or meet expected deadlines, Boundless Bio’s current or future ecDTx development programs and ability to seek or obtain regulatory approval for or commercialize its ecDTx may be delayed.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and will be dependent on third parties to conduct its clinical trials and preclinical studies for development of any ecDTx. Specifically, Boundless Bio has relied on, and will continue to rely on, medical institutions, clinical investigators, CROs, and consultants to conduct its preclinical studies and clinical trials in accordance with its clinical protocols and regulatory requirements. These CROs, investigators, and other third parties play a significant role in the conduct and timing of these trials and subsequent collection and analysis of data. While Boundless Bio has and will have agreements governing the activities of its third-party contractors, Boundless Bio has limited influence over their actual performance. Nevertheless, Boundless Bio is responsible for ensuring that each of Boundless Bio’s clinical trials is conducted in accordance with the applicable protocol and legal, regulatory, and scientific standards and requirements, and Boundless Bio’s reliance on its CROs and other third parties does not relieve Boundless Bio of regulatory responsibilities. In addition, Boundless Bio and its CROs are required to comply with Good Laboratory Practice (“GLP”) requirements for certain preclinical studies, as well as GCP requirements, which are regulations and guidelines enforced by the FDA and comparable foreign regulatory authorities for clinical trials of all of its ecDTx. Regulatory authorities enforce these GCPs through periodic inspections of trial sponsors, principal investigators, and trial sites. If Boundless Bio or any of its CROs or trial sites fail to comply with applicable GLP or GCP or other requirements, the clinical data generated in Boundless Bio’s preclinical studies or clinical trials may be deemed unreliable, and the FDA or comparable foreign regulatory authorities may require Boundless Bio to perform additional preclinical studies or clinical trials before approving Boundless Bio’s marketing applications, if ever. Further, Boundless Bio’s clinical trials must be conducted with products produced in accordance with cGMP regulations. Failure to comply with these regulations may require Boundless Bio to repeat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There is no guarantee that any of Boundless Bio’s CROs, investigators, or other third parties will devote adequate time and resources to such trials or studies or perform as contractually required. If any of these third parties fail to meet expected deadlines, adhere to Boundless Bio’s clinical protocols, or meet regulatory requirements, or otherwise perform in a substandard manner, Boundless Bio’s clinical trials may be extended, delayed, or terminated. In addition, many of the third parties with whom Boundless Bio contracts may also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relationships with other commercial entities, including its competitors, for whom they may also be conducting clinical trials or other development activities that could harm its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CROs have the right to terminate their agreements with Boundless Bio in the event of an uncured material breach and under other specified circumstances. If any of Boundless Bio’s relationships with these third parties terminate, Boundless Bio may not be able to enter into arrangements with alternative third parties on commercially reasonable terms, in a timely manner or at all. Switching or adding additional CROs, investigators, and other third parties involves additional cost and requires Boundless Bio’s management’s time and focus. In addition, there is a natural transition period when a new CRO commences work. As a result, delays occur, which can materially impact its ability to meet its desired clinical development timelines. Though Boundless Bio works to carefully manage its relationships with its CROs, investigators and other third parties, there can be no assurance that Boundless Bio will not encounter challenges or delays in the future or that these delays or challenges will not have a material adverse impact on its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and Boundless Bio continues to develop any ecDTx, Boundless Bio expects to continue to rely on third parties for the manufacture of its ecDTx for clinical and preclinical development and expects to continue to do so for the foreseeable future. This reliance on third parties increases the risk that Boundless Bio will not have sufficient quantities of its ecDTx or products or such quantities at an acceptable cost, which could delay, prevent, or impair, its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own or operate manufacturing facilities and has no plans to develop its own clinical or commercial-scale manufacturing capabilities. If Boundless Bio continues to develop any ecDTx, Boundless Bio expects to continue to rely on third parties, some of which operate outside of the U.S., for the manufacture of its ecDTx and related raw materials and to package, label, ship, store, and distribute its ecDTx for clinical and preclinical development, and Boundless Bio intends to rely on third parties for such services for its commercial products if any marketing approval is obtained. This reliance on third parties increases the risk that timely availability of clinical trial supplies of its ecDTx, and future products, if any, may be delayed, limited, or interrupted, or that their quality or cost is not satisfactory or acceptable. The facilities used by third-party manufacturers to manufacture its ecDTx must be approved for the manufacture of its ecDTx by the FDA and any comparable foreign regulatory authority pursuant to inspections that will be conducted after Boundless Bio submits an NDA to the FDA or any comparable submission to a foreign regulatory authority. Boundless Bio does not control the manufacturing process of, and is completely dependent on, third-party manufacturers for compliance with cGMP requirements for manufacture of products. If these third-party manufacturers cannot successfully manufacture material that conforms to Boundless Bio’s specifications and the strict regulatory requirements of the FDA or any comparable foreign regulatory authority, they will not be able to secure and/or maintain regulatory approval for their manufacturing facilities. In addition, Boundless Bio has no control over the ability of third-party manufacturers to maintain adequate quality control, quality assurance, and qualified personnel. If the FDA or any comparable foreign regulatory authority does not approve these facilities for the manufacture of its ecDTx or if it withdraws any such approval in the future, Boundless Bio may need to find alternative manufacturing facilities, which would significantly impact its ability to develop, obtain regulatory approval for, or market its ecDTx, if approved. Boundless Bio’s failure, or the failure of Boundless Bio’s third-party manufacturers, to comply with applicable regulations could result in sanctions being imposed on Boundless Bio, including clinical holds, fines, injunctions, civil penalties, delays, suspension or withdrawal of approvals, seizures or recalls of ecDTx or products, operating restrictions, and criminal prosecutions, any of which could significantly and adversely affect supplies of its ecDTx.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or a third party’s failure to execute on its manufacturing requirements on commercially reasonable terms, in a timely manner and in compliance with cGMP or other regulatory requirements could adversely affect Boundless Bio’s business in a number of ways,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initiate or continue clinical trials of its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in submitting regulatory applications, or receiving regulatory approvals, for its ecDTx;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subjecting third-party manufacturing facilities to additional inspections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cease development or to recall batches of its ecDTx;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approval to market and commercialize its ecDTx, an inability to meet commercial demands for its ecDTx.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relied and may in the future rely on foreign CMOs. Such foreign CMOs may be subject to U.S. legislation, sanctions, trade restrictions, and other foreign regulatory requirements which could increase the cost or reduce the supply of material available to Boundless Bio, delay the procurement or supply of such material, or have an adverse effect on Boundless Bio’s ability to secure significant commitments from governments to purchase its potential therapies. For example, in January 2024, there was congressional activity, including the introduction of the BIOSECURE Act (“H.R. 7085”) in the House of Representatives and a substantially similar Senate bill (“S.3558”). A version of the BIOSECURE Act was passed by the U.S. House of Representatives in September 2024 (“H.R. 8333”), however, the Senate did not approve that legislation. In October 2025, both the U.S. House of Representatives and Senate passed their respective versions of the National Defense Authorization Act of 2026 (“NDAA”), each including an amendment often referred to as “BIOSECURE 2.0.” BIOSECURE 2.0 was reconciled in conference and signed into law on December 18, 2025. BIOSECURE 2.0 establishes federal government contracting, grant, and loan restrictions similar in effect to previously introduced bills. BIOSECURE 2.0 implements a process-based designation system through which biotechnology companies “of concern” are identified based on whether such companies fall within statutorily defined categories, including entities identified on the Department of Defense’s Section 1260H list of “Chinese military companies” and other entities that are subject to the administrative governance structure, direction, control, or jurisdiction of a foreign adversary’s government which pose national security risks based on specified criteria. The prohibitions of BIOSECURE 2.0 will become effective approximately three years after the enactment of BIOSECURE 2.0 (i.e., December 2028). BIOSECURE 2.0 has the potential to severely restrict the ability of U.S. biopharmaceutical companies like Boundless Bio to purchase products or services from, or otherwise collaborate with, certain Chinese biotechnology companies “of concern” without losing the ability to contract with, or otherwise receive funding from, the U.S. government. It is possible some of Boundless Bio’s Chinese CMOs and other Chinese vendors, could be impacted by this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Boundless Bio does not have any long-term commitments or supply agreements with its third-party manufacturers. Boundless Bio may be unable to establish any long-term supply agreements with third-party manufacturers or to do so on acceptable terms or at all, which increases the risk of failing to timely obtain sufficient quantities of its ecDTx or such quantities at an acceptable cost. Even if Boundless Bio is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Boundless Bio’s product according to its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adequate raw materials and other materials required for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Boundless Bio’s product according to its schedule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scale up manufacturing capacity,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Boundless Bio’s proprietary information, including its trade secrets and know-how;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 to pay tariffs for products or the related raw materials imported from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heightened exposure to supply chain complexities and disruptions;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Boundless 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ecDTx and any products that Boundless Bio may develop may compete with other product candidates and products for access to manufacturing facilities. </w:t>
      </w:r>
    </w:p>
    <w:p>
      <w:pPr>
        <w:pStyle w:val="TextBody"/>
        <w:bidi w:val="0"/>
        <w:spacing w:before="240" w:after="0"/>
        <w:jc w:val="left"/>
        <w:rPr>
          <w:rFonts w:ascii="Times New Roman" w:hAnsi="Times New Roman"/>
          <w:sz w:val="20"/>
        </w:rPr>
      </w:pPr>
      <w:r>
        <w:rPr>
          <w:rFonts w:ascii="Times New Roman" w:hAnsi="Times New Roman"/>
          <w:sz w:val="20"/>
        </w:rPr>
        <w:t xml:space="preserve">Any performance failure on the part of Boundless Bio’s existing or future manufacturers could delay clinical development or regulatory approval, and any related remedial measures may be costly or time consuming to implement. Boundless Bio does not currently have arrangements in place for redundant supply or a second source for all required raw materials used in the manufacture of Boundless Bio’s ecDTx. If Boundless Bio’s existing or future third-party manufacturers cannot perform as agreed, Boundless Bio may be required to replace such manufacturers if Boundless Bio continues to develop any ecDTx and Boundless Bio may be unable to replace them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Boundless Bio’s current and anticipated future dependence upon others for the manufacture of its ecDTx or products may adversely affect its future profit margins and Boundless Bio’s ability to commercialize any products that receive regulatory approval on a timely and competitive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reliance on third parties requires Boundless Bio to share its trade secrets, which increases the possibility that a competitor or other third party will discover them or that its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Boundless Bio will rely on third parties to manufacture its ecDTx and to perform quality testing if Boundless Bio continues to develop an ecDTx, Boundless Bio must, at times, share Boundless Bio’s proprietary technology and confidential information, including trade secrets, with them. Boundless Bio seeks to protect Boundless Bio’s proprietary technology, in part, by entering into confidentiality agreements, and, if applicable, material transfer agreements, collaborative research agreements, consulting agreements, or other similar agreements with Boundless Bio’s collaborators, advisors, employees, and consultants prior to beginning research or disclosing proprietary information. These agreements typically limit the rights of third parties to use or disclose its confidential information. Despite the contractual provisions employed when working with third parties, the need to share trade secrets and other confidential information increases the risk that such trade secrets become known by Boundless Bio’s competitors or other third parties, are intentionally or inadvertently incorporated into the technology of others, or are disclosed or used in violation of these agreements. Given that Boundless Bio’s proprietary position is based, in part, on its know-how and trade secrets and despite its efforts to protect its trade secrets, a competitor’s or other third party’s discovery of Boundless Bio’s proprietary technology and confidential information or other unauthorized use or disclosure of such technology or information would impair Boundless Bio’s competitive position and may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Boundless Bio may seek to enter into collaborations, licenses, and other similar arrangements and may not be successful in doing so, and even if Boundless Bio is successful, it may relinquish valuable rights and may not realize the benefits of such relationships.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Boundless Bio may seek to enter into collaborations, joint ventures, licenses, and other similar arrangements for the development or commercialization of its ecDTx, if approved, due to capital costs required to develop or commercialize the ecDTx or manufacturing constraints. Boundless Bio may not be successful in its efforts to establish or maintain such collaborations for its ecDTx because its research and development pipeline may be insufficient, its ecDTx may be deemed to be at too early of a stage of development for collaborative effort, or third parties may not view its ecDTx as having the requisite potential to demonstrate safety and efficacy or significant commercial opportunity. In addition, Boundless Bio faces significant competition in seeking appropriate strategic partners, and the negotiation process can be time-consuming and complex. Even if Boundless Bio is successful in its efforts to establish such collaborations, the terms that Boundless Bio agrees upon may not be favorable. For example, Boundless Bio may need to relinquish valuable rights to its future revenue streams, research programs, intellectual property, ecDTx or a diagnostic assay, or grant licenses on terms that may not be favorable as part of any such arrangement, and such arrangements may restrict Boundless Bio from entering into additional agreements with other potential collaborators. In addition,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enter into such collaborations, it will have limited control over the amount and timing of resources that its collaborators will dedicate to the development or commercialization of its ecDTx. Boundless Bio’s ability to generate revenue from these arrangements will depend on any future collaborators’ abilities to successfully perform the functions assigned to them in these arrangements. Boundless Bio cannot be certain that, following a collaboration, license, or strategic transaction, Boundless Bio will achieve an economic benefit that justifies such transaction, and such transaction may not yield additional development or ecDTx for its pipeline. Furthermore, Boundless Bio may not be able to maintain such collaborations if, for example, the development or approval of an ecDTx is delayed, the safety of an ecDTx is questioned, or the sales of an approved ecDTx are unsatisfactory.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potential future collaborations may be terminable by Boundless Bio’s strategic partners, and Boundless Bio may not be able to adequately protect its rights under these agreements. Furthermore, strategic partners may negotiate for certain rights to control decisions regarding the development and commercialization of its ecDTx, if approved, and may not conduct those activities in the same manner as Boundless Bio does. Any termination of collaborations Boundless Bio enters into in the future, or any delay in entering into collaborations related to its ecDTx, could delay the development and commercialization of its ecDTx, if approved, and reduce its competitiveness if it reaches the market, which could have a material adverse effect on its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Boundless Bio’s ecDTx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Boundless Bio receives regulatory approval for any ecDTx, Boundless Bio will be subject to ongoing regulatory obligations and continued regulatory review, which may result in significant additional expense.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Boundless Bio may receive for its ecDTx will require the submission of reports to regulatory authorities, subject Boundless Bio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Boundless Bio’s ecDTx, which could include requirements for a medication guide, physician communication plans, or additional elements to ensure safe use, such as restricted distribution methods, patient registries, and other risk minimization tools.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FDA or a comparable foreign regulatory authority approves Boundless Bio’s ecDTx, the manufacturing processes, labeling, packaging, distribution, adverse event reporting, storage, advertising, promotion, import, export, and recordkeeping for its products will be subject to extensive and ongoing regulatory requirements. These requirements include submissions of safety and other post-marketing information and reports, registration, as well as continued compliance with cGMPs and GCP requirements for any clinical trials that Boundless Bio conducts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Boundless Bio’s products, including adverse events of unanticipated severity or frequency, or with Boundless Bio’s third-party manufacturers or manufacturing processes,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Boundless Bio’s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product distribution or use, or requirements to conduct post-marketing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Boundless Bio’s ability to conduct clinical trials, including full or partial clinical holds on ongoing or planned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restitutions, disgorgement of profits or revenue, warning letters, untitled letters, adverse publicity requirements, or holds on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or other regulatory authorities to approve pending applications or supplements to approved applications submitted by Boundless Bio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Boundless Bio’s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and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event or penalty described above may inhibit Boundless Bio’s ability to commercialize its ecDTx and generate revenue and could require Boundless Bio to expend significant time and resources in response and could generate negative publicity. </w:t>
      </w:r>
    </w:p>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promulgated that could prevent, limit, or delay marketing authorization of any ecDTx. Boundless Bio also cannot predict the likelihood, nature, or extent of government regulation that may arise from future legislation or administrative action, either in the United States or abroad. If Boundless Bio is slow or unable to adapt to changes in existing requirements or the adoption of new requirements or policies, or if Boundless Bio is not able to maintain regulatory compliance, Boundless Bio may be subject to enforcement action and Boundless Bio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the promotion of off-label uses.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agencies strictly regulate the promotional claims that may be made about prescription products, such as Boundless Bio’s ecDTx, if approved. In particular, a product may not be promoted for uses that are not approved by the FDA or such other regulatory agencies as reflected in the product’s approved labeling. If Boundless Bio receives regulatory approval for an ecDTx, physicians may nevertheless prescribe it to their patients in a manner that is inconsistent with the approved label. If Boundless Bio is found to have promoted such off-label uses, Boundless Bio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Boundless Bio cannot successfully manage the promotion of its ecDTx, if approved, Boundless Bio could become subject to significant liability, which would materially adversely affect its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commercial success of any Boundless Bio ecDTx will depend upon the degree of market acceptance of such ecDTx by physicians, patients, healthcare payors, and others in the medical community. </w:t>
      </w:r>
    </w:p>
    <w:p>
      <w:pPr>
        <w:pStyle w:val="TextBody"/>
        <w:bidi w:val="0"/>
        <w:spacing w:before="120" w:after="0"/>
        <w:jc w:val="left"/>
        <w:rPr>
          <w:rFonts w:ascii="Times New Roman" w:hAnsi="Times New Roman"/>
          <w:sz w:val="20"/>
        </w:rPr>
      </w:pPr>
      <w:r>
        <w:rPr>
          <w:rFonts w:ascii="Times New Roman" w:hAnsi="Times New Roman"/>
          <w:sz w:val="20"/>
        </w:rPr>
        <w:t xml:space="preserve">Any Boundless Bio ecDTx may not be commercially successful. Even if any Boundless Bio ecDTx receives regulatory approval, it may not gain market acceptance among physicians, patients, healthcare payors, or the medical community. The commercial success of Boundless Bio’s ecDTx will depend significantly on the broad adoption and use of the resulting product by these individuals and organizations for approved indications. The degree of market acceptance of Boundless Bio’s products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demonstration of clinical efficacy and safety, including as compared to any more-established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indications for which Boundless Bio’s ecDTx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limitation of Boundless Bio’s targeted patient population and other limitations or warnings contained in any FDA-approved labeling;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a new drug for the relevant indication by healthcare providers and their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cost-effectiveness of Boundless Bio’s products, as well as the cost of treatment with Boundless Bio’s products in relation to alternative treatments and therapies;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obtain and maintain sufficient third-party coverage and adequate reimbursement from government healthcare programs, including Medicare and Medicaid, private health insurers, and other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all, or a portion of, out-of-pocket costs associated with Boundless Bio’s products in the absence of sufficient third-party coverage and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Boundless Bio’s products, and the prevalence and severity of any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product liability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Boundless Bio’s products as well as availability, safety, and efficacy of competitive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Boundless Bio’s or any potential future collaborators’ sales and marketing strategies;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publicity relating to the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ecDTx is approved but does not achieve an adequate level of acceptance by physicians, hospitals, healthcare payors, or patients, Boundless Bio may not generate sufficient revenue from that product and may not become or remain profitable. Boundless Bio’s efforts to educate the medical community and third-party payors regarding the benefits of Boundless Bio’s products may require significant resources and may never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successful commercialization of Boundless Bio’s ecDTx, if approved, will depend in part on the extent to which governmental authorities and health insurers establish coverage, adequate reimbursement levels, and favorable pricing policies. Failure to obtain or maintain coverage and adequate reimbursement for Boundless Bio’s ecDTx could limit its ability to market those products and decrease Boundless Bio’s ability to generate revenue. </w:t>
      </w:r>
    </w:p>
    <w:p>
      <w:pPr>
        <w:pStyle w:val="TextBody"/>
        <w:bidi w:val="0"/>
        <w:spacing w:before="120" w:after="0"/>
        <w:jc w:val="left"/>
        <w:rPr>
          <w:rFonts w:ascii="Times New Roman" w:hAnsi="Times New Roman"/>
          <w:sz w:val="20"/>
        </w:rPr>
      </w:pPr>
      <w:r>
        <w:rPr>
          <w:rFonts w:ascii="Times New Roman" w:hAnsi="Times New Roman"/>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Boundless Bio’s ecDTx, if approved. If the Merger is not completed and Boundless Bio continues to develop any ecDTx, Boundless Bio’s ability to achieve coverage and adequate levels of reimbursement for its ecDTx by third-party payors will have a material effect on its ability to successfully commercialize its ecDTx. Accordingly, Boundless Bio will need to successfully implement a coverage and reimbursement strategy for any approved ecDTx. Even if Boundless Bio obtains coverage for a given ecDTx by a third-party payor, the resulting reimbursement payment rates may not be adequate or may require co-payments that patients find unacceptably high. Reimbursement for drugs by government healthcare programs may be reduced by mandatory discounts or rebates required by such programs. Certain government healthcare programs impose ceiling prices on products of participating manufacturers.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Boundless Bio’s ecDTx as substitutable and offer to reimburse patients only for the less expensive product. Even if Boundless Bio is successful in demonstrating improved efficacy or improved convenience of administration with its ecDTx, pricing of existing drugs may limit the amount Boundless Bio will be able to charge for its ecDTx. These payors may deny or revoke the reimbursement status of a given product or establish prices for new or existing marketed products at levels that are not adequate to enable Boundless Bio to realize an appropriate return on its investment in ecDTx development. If reimbursement is not available or is available only at inadequate levels, Boundless Bio may not be able to successfully commercialize its ecDTx and may not be able to obtain a satisfactory financial return on ecDTx that Boundless Bio may develop. In addition, in the event that Boundless Bio develops companion diagnostic tests for use with its ecDTx, once approved, such diagnostic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tests will require coverage and reimbursement separate and apart from the coverage and reimbursement for their companion pharmaceutical product. Similar challenges to obtaining coverage and reimbursement applicable to pharmaceutical products will apply to companion diagnostics tests.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third-party payor coverage and reimbursement of newly approved products. In the United States, third-party payors, including private and governmental payors, such as the Medicare and Medicaid,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Boundless Bio’s products.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time consuming and costly and may require Boundless Bio to provide scientific and clinical support for the use of its ecDTx to each payor separately, with no assurance that coverage and adequate reimbursement will be applied consistently or obtained in the first instance. Reimbursement practices are also subject to rules and regulations that may change frequently, and, in some cases, at short notice.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international operations are generally subject to extensive governmental price controls and other market regulations, and Boundless Bio believes the increasing emphasis on cost-containment initiatives in Europe and other countries has and will continue to put pressure on the pricing and usage of its ecDTx,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Boundless Bio is able to charge for its ecDTx. Accordingly, in markets outside the United States, the reimbursement for Boundless Bio’s products may be reduced compared with the United States and may be insufficient to generate commercially reasonable revenue and profits. </w:t>
      </w:r>
    </w:p>
    <w:p>
      <w:pPr>
        <w:pStyle w:val="TextBody"/>
        <w:bidi w:val="0"/>
        <w:spacing w:before="240" w:after="0"/>
        <w:jc w:val="left"/>
        <w:rPr>
          <w:rFonts w:ascii="Times New Roman" w:hAnsi="Times New Roman"/>
          <w:sz w:val="20"/>
        </w:rPr>
      </w:pPr>
      <w:r>
        <w:rPr>
          <w:rFonts w:ascii="Times New Roman" w:hAnsi="Times New Roman"/>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Boundless Bio’s ecDTx. Boundless Bio expects to experience pricing pressures in connection with the sale of its ecDTx due to the trend toward managed healthcare, the increasing influence of health maintenance organizations and additional legislative changes. There is increasing downward pressure on healthcare costs in general, and prescription drugs, surgical procedures, and other treatments in particular. As a result, increasingly high barriers are being erected to the entry of new products. See the section titled “</w:t>
      </w:r>
      <w:r>
        <w:rPr>
          <w:rFonts w:ascii="Times New Roman" w:hAnsi="Times New Roman"/>
          <w:i/>
          <w:sz w:val="20"/>
        </w:rPr>
        <w:t>Risk Factors — Risks Related to Boundless Bio — Risks Related to Boundless Bio’s Business Operations and Industry — Current and future healthcare reform legislation or regulation may increase the difficulty and cost for Boundless Bio to obtain coverage for and commercialize its ecDTx and may adversely affect the prices it may set</w:t>
      </w:r>
      <w:r>
        <w:rPr>
          <w:rFonts w:ascii="Times New Roman" w:hAnsi="Times New Roman"/>
          <w:sz w:val="20"/>
        </w:rPr>
        <w:t xml:space="preserve">” for additional related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faces significant competition from entities that have developed or may develop product candidates for cancer, including companies developing novel treatments and technology platforms. If Boundless Bio’s competitors develop and commercialize their product candidates more rapidly than Boundless Bio does, or their technologies or their product candidates are more effective, safer, or less expensive than Boundless Bio’s ecDTx, Boundless Bio’s business and its ability to develop and successfully commercialize ecDTx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biopharmaceutical industry is characterized by rapid advancing technologies, intense competition, and a strong emphasis on proprietary and novel products and product candidates. Boundless Bio’s competitors have developed, are developing, or may develop products or product candidates competitive with Boundless Bio’s ecDTx. If the Merger is not completed and Boundless Bio continues to develop any ecDTx, any ecDTx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successfully develops and commercializes will compete with existing therapies and new therapies that may become available in the future. Boundless Bio believes that a significant number of products are currently under development, and may become commercially available in the future, for the treatment of indications for which Boundless Bio may attempt to develop ecDTx. In particular, there is intense competition in the oncology field. Boundless Bio’s competitors include larger and better-funded pharmaceutical, biopharmaceutical, biotechnological, and therapeutics companies. Moreover, Boundless Bio may also compete with universities and other research institutions that may be active in oncology research and could be in direct competition with Boundless Bio. Boundless Bio also competes with these organizations to recruit management, scientists, and clinical development personnel, and Boundless Bio’s inability to compete successfully could negatively affect its level of expertise and its ability to execute its business plan. Boundless Bio will also face competition in establishing clinical trial sites, enrolling patients for clinical trials, and identifying and in-licensing intellectual property related to new ecDTx, as well as entering into collaborations, joint ventures, license agreements, and other similar arrangements.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Bio’s ecDTx is approved, it will compete with surgery, radiation, and drug therapy, including chemotherapy, hormone therapy, biologic therapy, such as monoclonal and bispecific antibodies, antibody-drug conjugates, radiopharmaceuticals, immunotherapy, cell-based therapy, and targeted therapy, or a combination of any such methods, either approved or under development, that are intended to treat the same indications that Boundless Bio is targeting or may target, including through approaches that may prove to be more effective, have fewer side effects, be less costly to manufacture, be more convenient to administer, or have other advantages over Boundless Bio’s ecDTx. There are numerous companies developing precision oncology medicines with which Boundless Bio may compete. In addition to competing with other therapies targeting similar indications, there are numerous other companies and academic institutions focused on similar targets as its ecDTx and/or different scientific approaches to treating the same indications. Boundless Bio faces competition from such companies in seeking any future potential collaborations to partner its ecDTx, as well as potentially competing commercially for any approved products. </w:t>
      </w:r>
    </w:p>
    <w:p>
      <w:pPr>
        <w:pStyle w:val="TextBody"/>
        <w:bidi w:val="0"/>
        <w:spacing w:before="240" w:after="0"/>
        <w:jc w:val="left"/>
        <w:rPr>
          <w:rFonts w:ascii="Times New Roman" w:hAnsi="Times New Roman"/>
          <w:sz w:val="20"/>
        </w:rPr>
      </w:pPr>
      <w:r>
        <w:rPr>
          <w:rFonts w:ascii="Times New Roman" w:hAnsi="Times New Roman"/>
          <w:sz w:val="20"/>
        </w:rPr>
        <w:t xml:space="preserve">Many of Boundless Bio’s competitors have significantly greater financial, technical, manufacturing, marketing, sales, and supply resources or experience than Boundless Bio does. If Boundless Bio successfully obtains approval for any ecDTx, Boundless Bio will face competition based on many different factors, including the safety and effectiveness of its products, the ease with which its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Boundless Bio may develop. Competitive products may make any ecDTx Boundless Bio develops obsolete or noncompetitive before Boundless Bio recovers the expense of developing and commercializing it. If Boundless Bio is unable to compete effectively, its opportunity to generate revenue from the sale of any ecDTx Boundless Bio may develop, if approved,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opportunities for Boundless Bio’s ecDTx may be limited to patients who are ineligible for or have failed prior treatments and may be small or different from Boundless Bio’s estimates. </w:t>
      </w:r>
    </w:p>
    <w:p>
      <w:pPr>
        <w:pStyle w:val="TextBody"/>
        <w:bidi w:val="0"/>
        <w:spacing w:before="120" w:after="0"/>
        <w:jc w:val="left"/>
        <w:rPr>
          <w:rFonts w:ascii="Times New Roman" w:hAnsi="Times New Roman"/>
          <w:sz w:val="20"/>
        </w:rPr>
      </w:pPr>
      <w:r>
        <w:rPr>
          <w:rFonts w:ascii="Times New Roman" w:hAnsi="Times New Roman"/>
          <w:sz w:val="20"/>
        </w:rPr>
        <w:t xml:space="preserve">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approved therapies, there is no guarantee that Boundless Bio’s ecDTx, even if approved, would be approved for second line or first line therapy. This could limit Boundless Bio’s potential market opportunity. In addition, Boundless Bio may have to conduct additional clinical trials prior to gaining approval for second line or first line therapy.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projections of both the number of people who have the cancers Boundless Bio is targeting, as well as the subset of people with these cancers in a position to receive later stage therapy and who have the potential to benefit from treatment with its ecDTx, are based on Boundless Bio’s beliefs and estimates. These estimates have been derived from a variety of sources, including scientific literature, publicly available clinical molecular reports, patient foundations, or market research, and may prove to be incorrect. Further, new trials or information may change the estimated incidence or prevalence of these cancers. Further, specific to Boundless Bio’s biomarker-driven strategy, data analytics, and information from databases that Boundless Bio relies on for identifying or validating some of its biomarker-target relationships may not accurately reflect potential patient populations or may be based on incorrect methodology. As ecDNA in oncogene amplified cancers is a new and novel approach, this heightens the risk that Boundless Bio’s estimates of the eligible patient population may not be accurate. The number of patients in the United States and other major markets and elsewhere may turn out to be lower than expected, patients may not be otherwise amenable to treatment with Boundless Bio’s products, or new patients may become increasingly difficult to identify or gain access to, all of which would adversely affect Boundless Bio’s results of operations and Boundless Bio’s business. Further, even if Boundless Bio obtains significant market share for its ecDTx, because some of Boundless Bio’s potential target populations are very small, it may never achieve profitability despite obtaining such significant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currently has no marketing and sales organization and have no experience as a company in commercializing products, and Boundless Bio may need to invest significant resources to develop these capabilities. If Boundless Bio is unable to establish marketing and sales capabilities or enter into agreements with third parties to market and sell its products, Boundless Bio may not be able to generate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no internal sales, marketing, or distribution capabilities, nor has Boundless Bio ever commercialized a product. If the Merger is not completed and Boundless Bio’s ecDTx ultimately receives regulatory approval, Boundless Bio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Boundless Bio’s own sales force and distribution systems or in lieu of Boundless Bio’s own sales force and distribution systems. Boundless Bio has no prior experience as a company with the marketing, sale, or distribution of biopharmaceutical products, and there are significant risks involved in the building and managing of a sales organization, including Boundless Bio’s ability to hire, retain, and incentivize qualified individuals, generate sufficient sales leads, provide adequate training to sales and marketing personnel, and effectively manage a geographically dispersed sales and marketing team. Any failure or delay in the development of Boundless Bio’s internal sales, marketing, and distribution capabilities would adversely impact the commercialization of these products. Boundless Bio may not be able to enter into collaborations or hire consultants or external service providers to assist Boundless Bio in sales, marketing, and distribution functions on acceptable financial terms, or at all. In addition, Boundless Bio’s ecDTx revenue and its profitability, if any, may be lower if Boundless Bio relies on third parties for these functions than if it were to market, sell, and distribute any ecDTx that Boundless Bio develops itself. Boundless Bio will likely have little control over such third parties, and any of them may fail to devote the necessary resources and attention to sell and market Boundless Bio’s ecDTx effectively. If Boundless Bio is not successful in commercializing its ecDTx, either on Boundless Bio’s own or through arrangements with one or more third parties, Boundless Bio may not be able to generate any future ecDTx revenue and Boundless Bio would incur significant additional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Boundless Bio’s future growth may depend, in part, on Boundless Bio’s ability to operate in foreign markets, where Boundless Bio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future growth may depend, in part, on Boundless Bio’s ability to develop and commercialize its ecDTx in foreign markets. Boundless Bio is not permitted to market or promote Boundless Bio’s ecDTx before Boundless Bio receives regulatory approval from applicable regulatory authorities in foreign markets, and Boundless Bio may never receive such regulatory approvals for its ecDTx. To obtain separate regulatory approval in many other countries Boundless Bio must comply with numerous and varying regulatory requirements regarding safety and efficacy and governing, among other things, clinical trials, commercial sales, pricing, and distribution of Boundless Bio’s ecDTx. Approval procedures may be more onerous than those in the United States and may require that Boundless Bio conducts additional preclinical studies or clinical trials. If Boundless Bio obtains regulatory approval of its ecDTx and ultimately commercialize its ecDTx in foreign markets, Boundless Bio would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regulatory requirements for approval of drugs in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additional third-party patent rights of potential relevance to Boundless Bio’s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export control and import laws and regulations and unexpected changes in tariffs, trade barriers,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particular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 and other obligations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reimbursement, pricing, and insurance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public health pandemics or epidemics, or natural disasters including earthquakes, typhoons, floods, and fires.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Boundless Bio’s Business Operations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Bio’s operating results may fluctuate significantly, which makes its future operating results difficult to predict and could cause its operating results to fall below expectations or any guidance Boundless Bio may provide.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quarterly and annual operating results may fluctuate significantly, which makes it difficult for Boundless Bio to predict its future operating results. These fluctuations may occur due to a variety of factors, many of which are outside of its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and level of investment in, research, development, regulatory approval, and commercialization activities relating to Boundless Bio’s ecDTx, which may change from time to time, including the need to conduct unanticipated clinical trials or trials that are larger or more complex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enroll patients in clinical trials and the timing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or failure of preclinical studies or clinical trials for Boundless Bio’s ecDTx or competing products, or any other change in the competitive landscape of Boundless Bio’s industry, including consolidation among Boundless Bio’s competitors or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policies with respect to Boundless Bio’s ecDTx, if approved, and potential future drugs that compete with Boundless Bio’s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Boundless Bio’s ecDTx, which may vary depending on the quantity of production and the terms of Boundless Bio’s agreements with third-party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expenditures that Boundless Bio may incur to acquire, develop, or commercialize additional ecDTx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demand for any approved ecDTx, which may vary significantly and be difficult to predict;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establish and maintain collaborations, licensing, or other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unforeseen business disruptions that increase Boundless Bio’s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accounting pronouncements or changes in Boundless Bio’s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royalty, or other payments payable by Boundless Bio or due to Boundless Bio under any collaboration, licensing, or other similar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cumulative effects of these factors could result in large fluctuations and unpredictability in Boundless Bio’s quarterly and annual operating results. As a result, comparing Boundless Bio’s operating results on a period-to-period basis may not be meaningful. Investors should not rely on Boundless Bio’s past results as an indication of Boundless Bio’s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This variability and unpredictability could also result in Boundless Bio’s failing to meet the expectations of industry or financial analysts or investors for any period. If Boundless Bio’s revenue or operating results fall below the expectations of analysts or investors or below any forecasts Boundless Bio may provide to the market, or if the forecasts Boundless Bio provides to the market are below the expectations of analysts or investors, the price of Boundless Bio Common Stock could decline substantially. Such a stock price decline could occur even when Boundless Bio has met any previously publicly stated revenue or earnings guidance Boundless Bio may provide.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has a relatively small number of employees which may constrain its ability to accomplish its business objectives. If the Merger is not completed, Boundless Bio’s long-term success is dependent on its ability to retain and attract highly qualified management and other clinical and scientific personnel.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Boundless Bio had 15 employees, all of whom were full-time employees. Due to Boundless Bio’s relatively small workforce, Boundless Bio may experience constraints that impede the achievement of its business objectives. Further, if multiple employees were to become unable to work for a prolonged period, or if they were to resign at roughly the same time, Boundless Bio’s ability to effectively manage and operate its business could become significantly impaired.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Boundless Bio’s long-term success depends in part on its ability to attract, recruit, retain, manage, and motivate highly qualified management, clinical, and scientific personnel, and Boundless Bio faces significant competition for experienced personnel. Boundless Bio is highly dependent upon its senior management and other members of Boundless Bio’s management team. The loss of services of any of these individuals could delay or prevent the successful development of Boundless Bio’s product pipeline, initiation or completion of any clinical trials and preclinical studies, regulatory approvals, or the commercialization of its ecDTx. Although Boundless Bio has executed employment agreements or offer letters with each member of its senior management team, these agreements are terminable at will with or without notice and, therefore, Boundless Bio may not be able to retain their services as expected. For example, in connection with the Merger, the employment of Boundless Bio’s President and Chief Executive Officer terminated in July 2026 and the employment of Boundless Bio’s Chief Business Officer previously terminated in January 2025. Boundless Bio does not currently maintain “key person” life insurance on the lives of its executives or any of its employees. This lack of insurance means that Boundless Bio may not have adequate compensation for the loss of the services of these individuals.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employment candidates and existing employees often consider the value of the stock awards they receive in connection with their employment. If the perceived benefits of Boundless Bio’s stock awards decline, either due to the trading price of its stock or for other reasons, it may harm Boundless Bio’s ability to recruit and retain highly skilled employees. Boundless Bio’s ability to retain highly skilled employees may be negatively impacted by any significant appreciation or depreciation in its stock price relative to the exercise price of outstanding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if the Merger is not completed and Boundless Bio continues to develop any ecDTx, Boundless Bio will need to expand and effectively manage its managerial, operational, financial, and other resources in order to successfully pursue any clinical development and commercialization efforts. Boundless Bio may not be successful in maintaining its unique company culture and continuing to attract or retain qualified management, clinical, and scientific personnel in the future due to the intense competition for qualified personnel among biopharmaceutical, biotechnology, and other businesses. If Boundless Bio is not able to attract, integrate, retain, and motivate necessary personnel to accomplish its business objectives, Boundless Bio may experience constraints that will significantly impede the achievement of its development objectives, its ability to raise additional capital, and its ability to implement its business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encounter difficulties in managing its growth and expanding its operations successfully.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 ecDTx, Boundless Bio will need to expand its financial, development, regulatory, manufacturing, information technology, marketing, and sales capabilities or contract with third parties to provide these capabilities for Boundless Bio. If Boundless Bio’s operations expand, Boundless Bio expects that it will need to manage additional relationships with various strategic partners, suppliers, and other third parties, and it may not be successful in doing so. Boundless Bio’s future financial performance and its ability to develop and commercialize its ecDTx and to compete effectively will depend, in part, on its ability to manage any future growth effectively.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is subject to various U.S. federal, state, and foreign healthcare laws and regulations, which could increase compliance costs, and Boundless Bio’s failure to comply with these laws and regulations could harm its reputation, subject Boundless Bio to significant fines and liability, or otherwise adversely affect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business operations and current and future arrangements with investigators, healthcare professionals, consultants, third-party payors, patient organizations, and customers expose Boundless Bio to broadly applicable foreign, federal, and state fraud and abuse and other healthcare laws and regulations. These laws may constrain the business or financial arrangements and relationships through which Boundless Bio conducts its operations, including how Boundless Bio researches, markets, sells, and distributes any products for which Boundless Bio obtains regulatory approval. Such laws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false claims laws, including the civil False Claims Act (“FCA”),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The government can bring claims directly or through a civil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whistleblower or </w:t>
            </w:r>
            <w:r>
              <w:rPr>
                <w:rFonts w:ascii="Times New Roman" w:hAnsi="Times New Roman"/>
                <w:i/>
                <w:sz w:val="20"/>
              </w:rPr>
              <w:t>qui tam</w:t>
            </w:r>
            <w:r>
              <w:rPr>
                <w:rFonts w:ascii="Times New Roman" w:hAnsi="Times New Roman"/>
                <w:sz w:val="20"/>
              </w:rPr>
              <w:t xml:space="preserve"> action, and potential liability includes mandatory treble damages and significant per-claim penalties.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 In addition, the government may assert that a claim including items or services resulting from a violation of the federal Anti-Kickback Statute constitutes a false or fraudulent claim for purposes of the civil False Claims Act.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HIPAA, as amended by the Health Information Technology for Economic and Clinical Health Act of 2009 (“HITECH”) and their respective implementing regulations, which impose privacy, security, and breach reporting obligations with respect to individually identifiable health information upon covered entities, including certain healthcare providers, health plans, and healthcare clearinghouses, and their respective business associates and covered subcontractors.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Similar to the federal Anti-Kickback Statute and federal false claims laws,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Boundless Bio’s current and future business arrangements with third parties will comply with applicable healthcare and privacy laws and regulations will involve ongoing substantial costs.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possible that governmental authorities will conclude that Boundless Bio’s business practices, including certain consulting agreements and advisory board agreements Boundless Bio has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Boundless Bio’s current or future practices might be challenged under one or more of these laws. If Boundless Bio’s operations are found to be in violation of any of these laws or any other governmental regulations that may apply to Boundless Bio, Boundless Bio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Boundless Bio’s operations. Defending against any such actions can be costly and time-consuming and may require significant financial and personnel resources. Therefore, even if Boundless Bio is successful in defending against any such actions that may be brought against Boundless Bio, its business may be impaired. Further, if any of the physicians or other healthcare providers or entities with whom Boundless Bio expects to do business are found not to be in compliance with applicable laws or regulations, they may be subject to significant criminal, civil, or administrative sanctions, including exclusions from government-funded healthcare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Current and future healthcare reform legislation or regulation may increase the difficulty and cost for Boundless Bio to obtain coverage for and commercialize any ecDTx and may adversely affect the prices Boundless Bio may set.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Boundless Bio expects there will continue to be, a number of legislative and regulatory changes to the healthcare system, including cost-containment measures, that may reduce or limit coverage and reimbursement for newly approved drugs and affect Boundless Bio’s ability to profitably sell any ecDTx for which Boundless Bio obtains regulatory approval. In particular, there have been and continue to be a number of initiatives at the U.S. federal and state levels that seek to reduce healthcare costs and improve the quality of healthcare.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In June 2021, the U.S. Supreme Court dismissed the most recent judicial challenge to the ACA brought by several states without specifically ruling on the constitutionality of the ACA. The current U.S. presidential administration has made several changes to how the ACA is implemented. For example, in January 2025, President Trump issued Executive Order 14148, which revoked Executive Order 14009 issued by President Biden in January 2021, that had initiated a special enrollment period for purposes of obtaining health insurance coverage through the ACA marketplace. It is possible that the ACA will be subject to further judicial or Congressional challenges in the future. It is unclear what healthcare reform measures will be implemented by the current presidential administration going forward, but further changes are anticipated.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In July 2025, the annual reconciliation bill, the “One Big Beautiful Bill Act” (“OBBBA”), was signed into law which is expected to reduce Medicaid spending and enrollment by shortening the open enrollment period, disqualifying Deferred Action for Childhood Arrivals (“DACA”) recipients, implementing work requirements for some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beneficiaries, capping state-directed payments, reducing federal funding, and limiting provider taxes used to fund the program. OBBBA also narrows access to ACA marketplace exchange enrollment and declined to extend the ACA’s enhanced advanced premium tax credits, which expired in 2025, and these changes, among other provisions in the law, are anticipated to reduce the number of Americans with health insurance. Additionally, under the sequestration required by the Budget Control Act of 2011, beginning April 1, 2013, Medicare payments to providers were reduced, which will remain in effect through 2032 unless additional Congressional action is taken. Enacted in January 2013, the American Taxpayer Relief Act of 2012, among other things, reduced Medicare payments to several providers, including hospitals, and increased the statute of limitations period for the government to recover overpayments to providers from three to five years. Further, enacted in March 2021, the American Rescue Plan Act of 2021 eliminated the statutory Medicaid drug rebate cap, beginning January 1, 2024. The rebate was previously capped at 100% of a drug’s average manufacturer price.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and regulations designed to, among other things, reduce the cost of prescription drugs under Medicare, bring more transparency to product pricing, review the relationship between pricing and manufacturer patient assistance programs, and reform government program reimbursement methodologies for products. Most significantly, in August 2022, the Inflation Reduction Act of 2022 (“IRA”) was enacted. This statute marks the most significant action by Congress with respect to the pharmaceutical industry since adoption of the ACA in 2010. Among other things, the IRA requires manufacturers of certain drugs to engage in price negotiations with Medicare to establish a “maximum fair price” for a fixed number of pharmaceutical and biological products covered under Medicare Parts B and D;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(which began in 2025). CMS published the negotiated maximum prices for the initial ten drugs that were subject to the IRA’s negotiation process, which are effective in 2026, and published the negotiated maximum prices for the subsequent 15 drugs to be effective in 2027.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In December 2023, the National Institute of Standards and Technology published for comment a Draft Interagency Guidance Framework for Considering the Exercise of March-In Rights, which, under the Bayh-Dole Act, gives the federal government authority to “march in” and grant compulsory patent licenses to third parties in some circumstances. Under the draft guidance, march-in rights include the price of a product as one factor an agency can use when deciding to exercise march-in rights. While march-in rights have not previously been exercised, it is uncertain if that will continue under the new framework. The impact of the IRA on the pharmaceutical industry cannot yet be fully determined but is likely to be significant. Further, there is uncertainty surrounding this program with the current U.S. presidential administration, especially in light of the administration’s budget cuts which impact an agency’s ability to regulate through guidance. Further, it is unclear how the new leadership of HHS, CMS, etc. will approach the issue of drug pricing. Additional drug pricing proposals could appear in future legislation.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while some states are also seeking to implement general, across-the-board price caps for pharmaceuticals, or are seeking to regulate drug distribution. Legally mandated price controls on payment amounts by third-party payors or other restrictions could harm Boundless Bio’s business, results of operations, financial condition, and prospects. In addition, regional healthcare authorities and individual hospitals are increasingly using bidding procedures to determine what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pharmaceutical products and which suppliers will be included in their prescription drug and other healthcare programs. This could reduce the ultimate demand for Boundless Bio’s ecDTx, if approved, or put pressure on Boundless Bio’s product pricing, which could negatively affect Boundless Bio’s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future course of federal or state healthcare legislation and regulation in the U.S. directed at broadening the availability of healthcare and containing or lowering the cost of healthcare, is subject to considerable uncertainty. The current presidential administration is pursuing policies to reduce regulations and expenditures across the federal government, including at HHS, the FDA, the CMS, and related agencies. These actions, presently directed by executive orders or memoranda from the Office of Management and Budget, may propose policy changes that create additional uncertainty for the pharmaceutical industry and Boundless Bio’s business. These actions and proposals include, for example, (a) reducing agency workforce and cutting programs; (b) rescinding a prior presidential administration’s executive order tasking the Center for Medicare and Medicaid Innovation to consider new payment and healthcare models to limit drug spending; (c) directing HHS and other agencies to lower prescription drug costs through a variety of initiatives, including by improving upon the Medicare Drug Price Negotiation Program and establishing most-favored-nation pricing for pharmaceutical products; (d) imposing tariffs of imported pharmaceutical products; and (e) directing certain federal agencies to enforce existing law regarding hospital and price plan price transparency and by standardizing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Boundless Bio’s operations, including those issued by the FDA. The U.S. Congress may introduce and ultimately pass healthcare related legislation that could, among others, impact the drug approval process and make changes to modify the Medicare Drug Price Negotiation Program created under the IRA.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and Boundless Bio continues to develop any ecDTx, Boundless Bio expects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Boundless Bio receives for any approved product. In addition, Boundless Bio expects to experience pricing pressures in connection with the sale of Boundless Bio’s product candidates due to the trend toward managed healthcare, the increasing influence of health maintenance organizations and additional legislative changes. Any reduction in reimbursement from Medicare or other government programs may result in a similar reduction in payments from private payors. The implementation of cost containment measures or other healthcare reforms may prevent Boundless Bio from being able to generate revenue, attain profitability, or commercialize its ecDTx,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Boundless Bio, it may incur substantial liabilities and may be required to limit, delay, or cease commercialization of any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 faces an inherent risk of product liability as a result of any clinical trials of Boundless Bio’s ecDTx and will face an even greater risk if Boundless Bio commercializes any ecDTx, if approved. For example, Boundless Bio may be sued if any ecDTx allegedly cause injury or are found to be otherwise unsuitable during product testing, manufacturing, marketing, or sale. Any such product liability claims may include allegations of defects in manufacturing, defects in design, a failure to warn of dangers inherent in the ecDTx, negligence, strict liability, and a breach of warranties. Claims may be brought against Boundless Bio by clinical trial participants, patients or others using, administering, or selling products that may be approved in the future. Claims could also be asserted under state consumer protection 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Boundless Bio cannot successfully defend itself against product liability claims, Boundless Bio may incur substantial liabilities or be required to limit, delay, or cease the commercialization of its products. Even a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Boundless Bio’s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Boundless Bio’s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Boundless Bio’s management’s time and Boundless Bio’s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product recipients;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or withdrawals, and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negative financial impact;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Boundless Bio’s ecDTx;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Boundless Bio’s stock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 currently holds approximately $10.0 million in product liability insurance coverage in the aggregate. Boundless Bio may need to increase its insurance coverage if Boundless Bio continues to develop any ecDTx and Boundless Bio expands its clinical trials or if Boundless Bio commences commercialization of its ecDTx. Insurance coverage is increasingly expensive. Boundless Bio’s inability to obtain and retain sufficient product liability insurance at an acceptable cost to protect against potential product liability claims could prevent or inhibit the commercialization of Boundless Bio’s ecDTx. Although Boundless Bio will maintain such insurance, any claim that may be brought against it could result in a court judgment or settlement in an amount that is not covered, in whole or in part, by its insurance or that is in excess of the limits of Boundless Bio’s insurance coverage. Boundless Bio’s insurance policies will also have various exclusions, and Boundless Bio may be subject to a product liability claim for which it has no coverage. Boundless Bio may have to pay any amounts awarded by a court or negotiated in a settlement that exceed its coverage limitations or that are not covered by its insurance, and Boundless Bio may not have, or be able to obtain, sufficient capital to pay such amounts.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insurance policies are expensive and protect Boundless Bio from only some business risks, which will leave Boundless Bio exposed to significant uninsured liabilities.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carry insurance for all categories of risk that Boundless Bio’s business may encounter. Some of the policies Boundless Bio currently maintains include property, general liability, employee benefits liability, business automobile, workers’ compensation, products/clinical trial liability, cyber liability, clinical trials, and directors’ and officers’, and employment practices insurance. Boundless Bio does not know, however, if Boundless Bio will be able to maintain insurance with adequate levels of coverage. No assurance can be given that an insurance carrier will not seek to cancel or deny coverage after a claim has occurred. Any significant uninsured liability may require Boundless Bio to pay substantial amounts, which would adversely affect Boundless Bio’s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its service providers may be subject to a variety of data protection, privacy, and security obligations, including laws, regulations, standards, and contractual provisions, which could increase compliance costs, and Boundless Bio’s actual or perceived failure to comply with such laws and obligations could subject Boundless Bio to potentially significant liability, fines, or penalties and otherwise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its service providers may maintain a large quantity of sensitive information, including confidential business and patient health information, in connection with any clinical trials, and are subject to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regulations governing the privacy and security of such information. The global data protection landscape is rapidly evolving, and Boundless Bio and its service providers may be affected by or subject to existing, amended, or new laws and regulations in the future, including as its operations continue to expand or if Boundless Bio operates in foreign jurisdictions. These laws and regulations may be subject to differing interpretations, thus creating potentially complex compliance issues for Boundless Bio and its service providers, strategic partners, and future customers. The cost of compliance with these laws, regulations, and standards is high and is likely to increase in the future. Any failure or perceived failure by Boundless Bio to comply with federal, state, or foreign laws or regulations, its internal policies and procedures or its contracts governing Boundless Bio’s processing of personal information could result in negative publicity, government investigations and enforcement actions, claims by third parties, and damage to Boundless Bio’s reputation, any of which could have a material adverse effect on Boundless 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continues to develop any ecDTx and Boundless Bio’s operations and business grow, Boundless Bio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Boundless Bio’s operations or the operations of Boundless Bio’s collaborators and third-party providers. In addition, Boundless Bio may obtain health information from third parties (including research institutions from which Boundless Bio obtains clinical trial data) that are subject to privacy and security requirements under HIPAA, as amended by HITECH. Consequently, depending on the facts and circumstances, Boundless Bio could be subject to significant penalties if Boundless Bio knowingly receive individually identifiable health information from a HIPAA-covered healthcare provider or research institution that has not satisfied HIPAA’s requirements for disclosure of individually identifiable health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Boundless Bio is subject to or affected by HIPAA, the CCPA, or other domestic privacy and data protection laws, any liability from failure to comply with the requirements of these laws could adversely affect Boundless Bio’s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state comprehensive data privacy laws, recent years have brought substantial changes to the federal and state treatment of non-HIPAA consumer health information. The Federal Trade Commission (“FTC”) and many state Attorneys General continue to enforce federal and state consumer protection laws against companies for online collection, use, dissemination, and security practices that appear to be unfair or deceptive. The FTC brought three enforcement actions in 2023 against a range of companies that handle electronic health information relating to collection and disclosure of non-HIPAA covered consumer health information under Section 5 of the FTC Act, two of which included allegations made under the FTC’s Health Breach Notification Rule (“HBNR”). The FTC’s focus on health information continued in 2024 with changes to the HBNR that clarified its scope and emphasized applicability to non-HIPAA healthcare providers as well as three additional enforcement actions against companies for their use of health information for advertising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At the state level, Washington and Nevada have adopted significant new legislation addressing businesses treatment of consumer health information, and Connecticut added more stringent protections for health information to its existing comprehensive state privacy law. In both Washington’s and Nevada’s laws, there are restrictive provisions limiting collection and disclosure of consumer health information, and Washington’s law provides a separate private right of action for violations.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also privacy laws in other countries that may impact Boundless Bio’s operations, now or in the future. For example, in Europe, the General Data Protection Regulation (“GDPR”) went into effect in May 2018, and imposes stringent requirements regarding the collection, use, disclosure, storage, transfer, or other processing of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The GDPR also confers a private right of action in some circumstances on data subjects and consumer associations to lodge complaints with supervisory authorities, seek judicial remedies, and obtain compensation for damages resulting from violations of the GDPR. In addition to fines, a breach of the GDPR may result in regulatory investigations, reputational damage, orders to cease or change Boundless Bio’s data processing activities, enforcement notices, assessment notices (for a compulsory audit), and/or civil claims (including class actions). </w:t>
      </w:r>
    </w:p>
    <w:p>
      <w:pPr>
        <w:pStyle w:val="TextBody"/>
        <w:bidi w:val="0"/>
        <w:spacing w:before="240" w:after="0"/>
        <w:jc w:val="left"/>
        <w:rPr>
          <w:rFonts w:ascii="Times New Roman" w:hAnsi="Times New Roman"/>
          <w:sz w:val="20"/>
        </w:rPr>
      </w:pPr>
      <w:r>
        <w:rPr>
          <w:rFonts w:ascii="Times New Roman" w:hAnsi="Times New Roman"/>
          <w:sz w:val="20"/>
        </w:rPr>
        <w:t xml:space="preserve">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Boundless Bio expects the existing legal complexity and uncertainty regarding international personal data transfers to continue. In particular, Boundless Bio expects the DPF Adequacy Decision to be challenged, and international transfers to the United States and to other jurisdictions more generally to continue to be subject to enhanced scrutiny by regulators. As a result, Boundless Bio may have to make certain operational changes and Boundless Bio will have to implement revised standard contractual clauses and other relevant documentation for existing data transfers within required time frames. </w:t>
      </w:r>
    </w:p>
    <w:p>
      <w:pPr>
        <w:pStyle w:val="TextBody"/>
        <w:bidi w:val="0"/>
        <w:spacing w:before="240" w:after="0"/>
        <w:jc w:val="left"/>
        <w:rPr>
          <w:rFonts w:ascii="Times New Roman" w:hAnsi="Times New Roman"/>
          <w:sz w:val="20"/>
        </w:rPr>
      </w:pPr>
      <w:r>
        <w:rPr>
          <w:rFonts w:ascii="Times New Roman" w:hAnsi="Times New Roman"/>
          <w:sz w:val="20"/>
        </w:rPr>
        <w:t xml:space="preserve">Further, following the withdrawal of the United Kingdom from the European Union and the end of the transition period, from January 1, 2021, companies could also be subject to the United Kingdom General Data Protection Regulation and Data Protection Act 2018 (collectively, the “UK GDPR”). The UK GDPR mirrors the fines under the GDPR and has the ability to fine up to the greater of 20 million/£17 million or 4% of global turnover. On October 12, 2023, the UK Extension to the DPF came into effect (as approved by the UK Government), as a data transfer mechanism from the UK to U.S. entities self-certified under the DPF. If Boundless Bio expands into other foreign countries and jurisdictions, Boundless Bio may be subject to additional laws and regulations that may affect how Boundless Bio conducts business.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Boundless Bio to take on more onerous obligations in its contracts, restrict its ability to collect, store, use, transfer, disclose, and otherwise process data, update its data privacy and security policies and procedures, or in some cases, impact its ability to operate in certain jurisdictions. Failure or perceived failure by Boundless Bio or its collaborators and its service providers to comply with U.S. and international data protection laws and regulations could result in government enforcement actions (which could include civil or criminal penalties), private litigation, and/or adverse publicity and could negatively affect Boundless Bio’s operating results and business. Moreover, clinical trial subjects about whom Boundless Bio or its potential collaborators obtain information, as well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providers who share this information with Boundless Bio, may contractually limit Boundless Bio’s ability to use and disclose such information. Claims that Boundless Bio has violated individuals’ privacy rights, failed to comply with data protection laws, or breached its contractual obligations, even if Boundless Bio is not found liable, could be expensive and time consuming to defend, could result in adverse publicity, and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information technology systems, or those of any of Boundless Bio’s service providers, may fail or suffer security incidents and other disruptions, which could result in a material disruption of its ecDTx development programs if Boundless Bio continues to develop any ecDTx, compromise sensitive information related to Boundless Bio’s business, or prevent Boundless Bio from accessing critical information, potentially exposing Boundless Bio to liability, or otherwise adversely affecting Boundless Bio’s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Boundless Bio collects, stores, and transmits confidential information including but not limited to intellectual property, clinical trial data, proprietary and confidential business information, and personal information of Boundless Bio’s employees and contractors (collectively, “Confidential Information”). Boundless Bio’s information technology systems and those of Boundless Bio’s third-party service providers, strategic partners, and other contractors or consultants are vulnerable to attack, damage, and interruption from computer viruses and malware (e.g. ransomware), malicious code, misconfigurations, “bugs” or other vulnerabilities, natural disasters, terrorism, war, telecommunication and electrical failures, hacking, cyberattacks, phishing attacks and other social engineering schemes, employee theft or misuse, human error, fraud, denial or degradation of service attacks, and sophisticated nation-state and nation-state-supported actors.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Boundless Bio may be unable to anticipate these techniques or implement adequate preventative measures. Boundless Bio may also experience security incidents that may remain undetected for an extended period. Even if identified, Boundless Bio may be unable to adequately investigate or remediate incidents or breaches due to attackers increasingly using tools and techniques that are designed to circumvent controls, to avoid detection, and to remove or obfuscate forensic evidence. There can also be no assurance that Boundless Bio’s and its third-party service providers’, strategic partners’, contractors’, or consultants’ cybersecurity risk management program and processes, including policies, controls, or procedures, will be fully implemented, complied with or effective in protecting Boundless Bio’s systems, networks, and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certain of Boundless Bio’s service providers are from time to time subject to cyberattacks and security incidents. If any such event, whether actual or perceived, were to occur, it could impact Boundless Bio’s reputation and/or operations, cause Boundless Bio to incur significant costs, including legal expenses, harm customer confidence, hurt Boundless Bio’s expansion into new markets, cause Boundless Bio to incur remediation costs, or cause Boundless Bio to lose existing customers. For example, any loss of clinical trial data from clinical trials could result in delays in Boundless Bio’s regulatory approval efforts and significantly increase Boundless Bio’s costs to recover or reproduce the data. Boundless Bio also relies on a third party to manufacture its ecDTx, and similar events relating to their computer systems could also have a material adverse effect on Boundless Bio’s business. To the extent that any actual or perceived disruption or security incident affects Boundless Bio’s systems (or those of its third-party collaborators, service providers, contractors or consultants) or were to result in a loss of or accidental, unlawful, or unauthorized access to, use of, release of, or other processing of Confidential Information, Boundless Bio could incur liability, the further development and commercialization of its ecDTx could be delayed, and Boundless Bio could be subject to significant fines, penalties or liabilities for any noncompliance to certain privacy and security laws.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also outsourced elements of its information technology infrastructure, and as a result a number of third-party vendors may or could have access to Boundless Bio’s Confidential Information. If Boundless Bio’s third-party vendors fail to protect their information technology systems and Boundless 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 Information, Boundless Bio may be vulnerable to disruptions in service and unauthorized access to its Confidential Information and Boundless Bio could incur liability and reputational damage. If the information technology systems of Boundless Bio’s third-party vendors and other contractors and consultants become subject to disruptions or security breaches, Boundless Bio may have insufficient recourse against such third parties and Boundless Bio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Boundless Bio or by Boundless Bio’s vendors, contractors, or organizations with which Boundless Bio has formed strategic relationships. Any adverse impact to the availability, integrity, or confidentiality of Boundless Bio’s or third-party systems or Confidential Information can result in legal claims or proceedings (such as class actions), regulatory investigations and enforcement actions, fines, and penalties. Boundless Bio’s contracts may not contain limitations of liability, and even where they do, there can be no assurance that limitations of liability in Boundless Bio’s contracts are sufficient to protect Boundless Bio from liabilities, damages, or claims related to Boundless Bio’s data privacy and security obligations. Although Boundless Bio currently holds cybersecurity insurance, the costs related to significant security breaches or disruptions could be material and cause Boundless Bio to incur significant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business is subject to risks arising from pandemic and epidemic diseases. </w:t>
      </w:r>
    </w:p>
    <w:p>
      <w:pPr>
        <w:pStyle w:val="TextBody"/>
        <w:bidi w:val="0"/>
        <w:spacing w:before="120" w:after="0"/>
        <w:jc w:val="left"/>
        <w:rPr>
          <w:rFonts w:ascii="Times New Roman" w:hAnsi="Times New Roman"/>
          <w:sz w:val="20"/>
        </w:rPr>
      </w:pPr>
      <w:r>
        <w:rPr>
          <w:rFonts w:ascii="Times New Roman" w:hAnsi="Times New Roman"/>
          <w:sz w:val="20"/>
        </w:rPr>
        <w:t xml:space="preserve">The COVID-19 worldwide pandemic presented substantial public health and economic challenges and affected Boundless Bio’s employees, patients, physicians and other healthcare providers, communities, and business operations, as well as the U.S. and global economies and financial markets. If Boundless Bio continues to develop any ecDTx, any future pandemic or epidemic disease outbreaks could disrupt the supply chain and the manufacture or shipment of drug substances and finished drug products for Boundless Bio’s ecDTx for use in its clinical trials and research and preclinical studies and, delay, limit or prevent its employees and CROs from continuing research and development activities, impede its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Boundless Bio’s preclinical studies and clinical trials and increase Boundless Bio’s development costs, and have a material adverse effect on Boundless Bio’s business, financial condition, and results of operations. Any future pandemic or epidemic disease outbreak could also potentially further affect the business of the FDA, the European Medicines Agency (“EMA”), or other regulatory authorities, which could result in delays in meetings related to any of Boundless Bio’s clinical trials, as well have an adverse impact on global economic conditions, which could have an adverse effect on Boundless Bio’s business and financial condition, including impairing its ability to raise capital when needed.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business could be affected by litigation, government investigations, and enforcement actions.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operates in a number of jurisdictions in a highly regulated industry, and Boundless Bio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Boundless Bio’s business. Any determination that Boundless Bio’s operations or activities are not in compliance with existing laws or regulations could result in the imposition of fines, civil and criminal penalties, equitable remedies, including disgorgement, injunctive relief, and/or other sanctions against Boundless Bio, and remediation of any such findings could have an adverse effect on Boundless Bio’s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healthcare debarment, injunctive relief, product recalls, reputational damage, and modifications of Boundless Bio’s business practices, which could have a material adverse effect on Boundless Bio’s business and results of operations. Even if such a proceeding, investigation, or enforcement action is ultimately decided in Boundless Bio’s favor, the investigation and defense thereof could require substantial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employees and independent contractors, including principal investigators, CROs, consultants,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exposed to the risk that Boundless Bio’s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Boundless Bio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Boundless Bio’s preclinical studies or clinical trials, or illegal misappropriation of drug product, which could result in regulatory sanctions and cause serious harm to Boundless Bio’s reputation. It is not always possible to identify and deter misconduct by employees and other third parties, and the precautions Boundless Bio takes to detect and prevent this activity may not be effective in controlling unknown or unmanaged risks or losses or in protecting Boundless Bio from governmental investigations or other actions or lawsuits stemming from a failure to be in compliance with such laws or regulations. In addition, Boundless Bio is subject to the risk that a person or government could allege such fraud or other misconduct, even if none occurred. If any such actions are instituted against Boundless Bio, and it is not successful in defending itself or asserting Boundless Bio’s rights, those actions could have a significant impact on Boundless Bio’s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Boundless Bio becomes subject to a corporate integrity agreement or similar agreement to resolve allegations of non-compliance with these laws, and curtailment of Boundless Bio’s operations, any of which could adversely affect Boundless Bio’s ability to operate Boundless Bio’s business and Boundless Bio’s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Boundless Bio may engage in strategic transactions that could impact Boundless Bio’s liquidity, increase Boundless Bio’s expenses, and present significant distractions to Boundless Bio’s management.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from time to time, Boundless Bio may consider strategic transactions, such as acquisitions of companies, asset purchases, and out-licensing or in-licensing of intellectual property, products, or technologies. Additional potential transactions that Boundless Bio may consider in the future if the Merger is not completed include a variety of business arrangements, including spin-offs, strategic partnerships, joint ventures, restructurings, divestitures, business combinations, and investments. Any future transactions could increase Boundless Bio’s near and long-term expenditures, result in potentially dilutive issuances of its equity securities, including Boundless Bio Common Stock, or the incurrence of debt, contingent liabilities, amortization expenses or acquired in-process research and development expenses, any of which could affect Boundless Bio’s financial condition, liquidity, and results of operations. Future acquisitions may also require Boundless Bio to obtain additional financing, which may not be available on favorable terms or at all. These transactions may never be successful and may require significant time and attention of Boundless Bio’s management. In addition, the integration of any business that Boundless Bio may acquire in the future may disrupt Boundless 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existing business and may be a complex, risky, and costly endeavor for which Boundless Bio may never realize the full benefits. Furthermore, Boundless Bio may experience losses related to investments in other companies, including as a result of failure to realize expected benefits or the materialization of unexpected liabilities or risks, which could have a material negative effect on Boundless Bio’s results of operations and financial condition. Accordingly, although there can be no assurance that Boundless Bio will undertake or successfully complete any additional transactions of the nature described above, any additional transactions that Boundless Bio does complete could have a material adverse effect on Boundless Bio’s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ability to use net operating loss carryforwards and other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incurred substantial losses during Boundless Bio’s history, does not expect to become profitable in the near future, and may never achieve profitability. To the extent that Boundless Bio continues to generate taxable losses, unused losses will carry forward to offset future taxable income, if any (subject to limitations), until such unused losses expire (if at all). As of December 31, 2025, Boundless Bio had net operating loss (“NOL”) carryforwards of approximately $161.4 million for federal income tax purposes and $231.3 million for state income tax purposes, which may be available to offset Boundless Bio’s future taxable income, if any. Boundless Bio’s federal NOL carryforwards will not expire but may generally be used to offset only 80% of taxable income, which may require Boundless Bio to pay federal income taxes in future years despite having additional federal NOL carryforwards to utilize. Boundless Bio’s state NOL carryforwards begin to expire in various amounts in 2038. As of December 31, 2025, Boundless Bio had federal and state research and development tax credit carryforwards of approximately $9.3 million and $5.9 million, respectively. Boundless Bio’s NOL carryforwards and other tax attributes are subject to review and possible adjustment by the Internal Revenue Service (“IRS”) and state tax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Section 382 of the Code, Boundless Bio’s federal NOL carryforwards may be or become subject to an annual limitation in the event Boundless Bio has had or has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Boundless Bio has not determined the amount of the cumulative change in Boundless Bio’s ownership resulting from Boundless Bio’s IPO, the Merger or other transactions, or any resulting limitations on Boundless Bio’s ability to utilize Boundless Bio’s NOL carryforwards and other tax attributes. However, Boundless Bio believes that its ability to utilize Boundless Bio’s NOL carryforwards and other tax attributes to offset future taxable income or tax liabilities may be limited as a result of ownership changes, including potential changes in connection with Boundless Bio’s IPO or the Merger. If Boundless Bio earns taxable income, such limitations could result in increased future income tax liability to Boundless Bio, and its future cash flows could be adversely affected. Boundless Bio has recorded a full valuation allowance related to Boundless Bio’s NOL carryforwards and other deferred tax assets due to the uncertainty of the ultimate realization of the future benefits of those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could adversely affect Boundless Bio’s business and results of operation. </w:t>
      </w:r>
    </w:p>
    <w:p>
      <w:pPr>
        <w:pStyle w:val="TextBody"/>
        <w:bidi w:val="0"/>
        <w:spacing w:before="120" w:after="0"/>
        <w:jc w:val="left"/>
        <w:rPr>
          <w:rFonts w:ascii="Times New Roman" w:hAnsi="Times New Roman"/>
          <w:sz w:val="20"/>
        </w:rPr>
      </w:pPr>
      <w:r>
        <w:rPr>
          <w:rFonts w:ascii="Times New Roman" w:hAnsi="Times New Roman"/>
          <w:sz w:val="20"/>
        </w:rPr>
        <w:t xml:space="preserve">While inflation in the United States has been relatively low in recent years, the economy in the United States encountered a material level of inflation since 2021. Although inflation eased somewhat in 2024, it has raised Boundless Bio’s costs for commodities, labor, materials, and services and other costs required to grow and operate its business, and failure to secure these on reasonable terms may adversely impact Boundless Bio’s financial condition. Additionally, increases in inflation, along with public health concerns, geopolitical developments, and global supply chain disruptions, have caused, and may in the future cause, global economic uncertainty, and uncertainty about the interest rate environment, which may make it more difficult, costly, or dilutive for Boundless Bio to secure additional financing. A failure to adequately respond to these risks could have a material adverse impact on Boundless Bio’s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Boundless Bio’s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Boundless Bio is unable to obtain, maintain, defend, and enforce patent or other intellectual property protection for its ecDTx, diagnostic, or technology, or if the scope of the patent or other intellectual property protection obtained is not sufficiently broad, Boundless Bio’s competitors or other third parties could develop and commercialize products similar or identical to Boundless Bio’s, and Boundless Bio’s ability to successfully commercialize any ecDTx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relies upon a combination of patent, trade secret, and trademark protection for its ecDTx, its diagnostic, and proprietary technologies to prevent third parties from exploiting its achievements, thus eroding Boundless Bio’s competitive position in its market. These legal measures afford only limited protection, and competitors or others may gain access to or use Boundless Bio’s intellectual property and proprietary information. Boundless Bio’s success depends in large part on its ability to obtain, maintain, expand, enforce, and defend the scope of Boundless Bio’s intellectual property protection in the United States and other countries with respect to its ecDTx, its diagnostic, and other proprietary technologies Boundless Bio may develop. Boundless Bio generally seeks to protect its proprietary position, in part, by filing patent applications in the United States and abroad relating to its ecDTx and diagnostics, manufacturing processes, and methods of use. Boundless Bio may also seek to protect its proprietary position by acquiring or in-licensing relevant issued patents or pending patent applications from third parties. If Boundless Bio is unable to obtain, maintain, expand, enforce, and defend the scope of its intellectual property protection, Boundless Bio’s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Changes in either the patent laws or their interpretation in the United States and other jurisdictions may diminish Boundless Bio’s ability to protect its intellectual property, obtain, maintain, expand, enforce, and defend Boundless Bio’s intellectual property rights and, more generally, could affect the value of Boundless Bio’s intellectual property or narrow the scope of its protection. Boundless Bio cannot predict whether the patent applications Boundless Bio currently or may in the future pursue or may in-license will issue as patents in any particular jurisdiction, whether the claims of any issued patents will provide sufficient protection against competitors or other third parties, or if these patents are challenged by Boundless Bio’s competitors, whether the patents will be found to be invalid, unenforceable, or not infringed.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expensive, time-consuming, and complex, and Boundless Bio may not be able to file, prosecute, maintain, enforce, defend, or license all necessary or desirable patent applications or patents at a reasonable cost or in a timely manner or in all jurisdictions. If Boundless Bio is unable to adequately fund its patent prosecution and maintenance, or if the costs of defending its patents against third-party challenges become prohibitive, Boundless Bio’s competitive position could be weakened. Additionally, recent reforms and changes at government agencies of the United States and those of non-U.S. jurisdictions could increase the uncertainties and costs surrounding the prosecution or maintenance of Boundless Bio’s patent applications, and the maintenance, enforcement, or defense of Boundless Bio’s issued patents. For example, the ability of the U.S.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Boundless Bio’s ability to timely and adequately prosecute or maintain Boundless Bio’s patent applications, and Boundless Bio’s ability to timely and adequately maintain, enforce, or defend Boundless Bio’s issued patents. It is also possible that Boundless Bio will fail to identify patentable aspects of Boundless Bio’s research and development output in time to obtain patent protection. Although Boundless Bio enters into non-disclosure and confidentiality agreements with parties who have access to confidential or patentable aspects of Boundless Bio’s research and development output, such as Boundless Bio’s employees, third-party collaborators, CROs, contract manufacturers, consultants, advisors, and other third parties, any of these parties may breach the agreements and disclose such output before a patent application is filed, thereby jeopardizing Boundless Bio’s ability to seek patent protection. Consequently, Boundless Bio may not be able to prevent any third party from using any of Boundless Bio’s technology that is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public domain to compete with its ecDTx or technologies. In addition, Boundless Bio’s ability to obtain and maintain valid and enforceable patents depends on whether the differences between Boundless Bio’s inventions and the prior art allow Boundless Bio’s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Boundless Bio cannot be certain that it was the first to invent the inventions claimed in any of Boundless Bio’s owned patents or pending patent applications, or that Boundless Bio or any future licensors were the first to file for patent protection of such inventions. If a third party can establish that Boundless Bio was not the first to make or the first to file for patent protection of such inventions, Boundless Bio’s patents and patent applications may not issue as patents and even if issued, may be challenged and invalidated or rendered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Boundless Bio’s patent rights are highly uncertain. Boundless Bio’s current and future patent applications may not result in patents being issued. </w:t>
      </w:r>
    </w:p>
    <w:p>
      <w:pPr>
        <w:pStyle w:val="TextBody"/>
        <w:bidi w:val="0"/>
        <w:spacing w:before="240" w:after="0"/>
        <w:jc w:val="left"/>
        <w:rPr>
          <w:rFonts w:ascii="Times New Roman" w:hAnsi="Times New Roman"/>
          <w:sz w:val="20"/>
        </w:rPr>
      </w:pPr>
      <w:r>
        <w:rPr>
          <w:rFonts w:ascii="Times New Roman" w:hAnsi="Times New Roman"/>
          <w:sz w:val="20"/>
        </w:rPr>
        <w:t xml:space="preserve">Any issued patents may not afford sufficient protection of Boundless Bio’s ecDTx or their intended uses against competitors, nor can there be any assurance that the patents issued will not be infringed, designed around, invalidated by third parties, or effectively prevent others from commercializing competitive technologies or products. Further, even if these patents are granted, they may be difficult to enforce. Obtaining and maintaining Boundless Bio’s patent protection depends on compliance with various procedural, document submission, fee payment, and other requirements imposed by governmental patent agencies, and Boundless Bio’s patent protection could be reduced or eliminated if Boundless Bio fails to comply with these requirements. In the event Boundless Bio experiences noncompliance events that cannot be corrected and Boundless Bio loses its patent rights, competitors could enter the market, which would have a material adverse effect on Boundless Bio’s business. Further, any issued patents that Boundless Bio owns or may license in the future covering Boundless Bio’s ecDTx could be narrowed or found invalid or unenforceable if challenged in court or before administrative bodies in the United States or other countries, including the USPTO. Also, patent terms, including any extensions or adjustments that may or may not be available to Boundless Bio, may be inadequate to protect Boundless Bio’s competitive position on its ecDTx for an adequate amount of time, and Boundless Bio may be subject to claims challenging the inventorship, validity, or enforceability of Boundless Bio’s patents and/or other intellectual property. Changes in United States patent law, or laws in other countries, could diminish the value of patents in general, thereby impairing Boundless Bio’s ability to protect its ecDTx. Further, if Boundless Bio encounters delays in Boundless Bio’s development and testing of any ecDTx, clinical trials, or regulatory review and approval of its ecDTx, the period of time during which Boundless Bio could market Boundless Bio’s ecDTx under patent protection may be reduced (i.e., patents protecting the ecDTx might expire before or shortly after such ecDTx are commercialized). Thus, Boundless Bio’s patents may not provide Boundless Bio with sufficient rights to exclude others from commercializing products similar or identical to Boundless Bio’s or afford Boundless Bio any meaningful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Moreover, the claim coverage in a patent application can be significantly reduced before the corresponding patent is granted. Even if patent applications issue as patents, they may not issue in a form that will provide Boundless Bio with any meaningful protection, prevent competitors or other third parties from competing with Boundless Bio, or otherwise provide Boundless Bio with any competitive advantage. Any patents issuing from Boundless Bio’s owned and any future in-licensed patent applications may be challenged, narrowed, circumvented, or invalidated by third parties. Consequently, Boundless Bio does not know whether Boundless Bio’s ecDTx and other proprietary technology will be protectable or remain protected by valid and enforceable patents. Even if a patent is granted, Boundless Bio’s competitors or other third parties may be able to circumvent the patent by developing similar or alternative technologies or products in a non-infringing manner, which could materially adversely affect Boundless Bio’s business, financial condition, results of operations, and prospects. Furthermore, Boundless Bio’s competitors or other third parties may avail themselves of safe harbors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Drug Price Competition and Patent Term Restoration Act of 1984 (“Hatch-Waxman Amendments”) to conduct research and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Boundless Bio’s patent rights may be challenged in the courts or patent offices in the United States and abroad. Boundless Bio may be subject to a third-party post-issuance submission of prior art to the USPTO challenging the validity of one or more claims of Boundless Bio’s patents or patents Boundless Bio may license in the future. Third-party submissions may also be made prior to a patent’s issuance, precluding the granting of a patent based on Boundless Bio’s pending patent application or patent application Boundless Bio may license in the future. A third party may also claim that Boundless Bio’s patent rights are invalid or unenforceable in a litigation. The outcome following legal assertions of invalidity and unenforceability is unpredictable. In addition, Boundless Bio may become involved in opposition, derivation, revocation, reexamination, reissue, post-grant, proceedings, inter partes review, interference proceedings, or other similar proceedings in the United States and/or foreign jurisdictions challenging Boundless Bio’s patent rights. An adverse determination in any such submission, proceeding, or litigation could reduce the scope of, or invalidate or render unenforceable, Boundless Bio’s patent rights, and may allow third parties, including generic drug companies, to commercialize its ecDTx and other proprietary technologies Boundless Bio may develop and compete directly with Boundless Bio. </w:t>
      </w:r>
    </w:p>
    <w:p>
      <w:pPr>
        <w:pStyle w:val="TextBody"/>
        <w:bidi w:val="0"/>
        <w:spacing w:before="240" w:after="0"/>
        <w:jc w:val="left"/>
        <w:rPr>
          <w:rFonts w:ascii="Times New Roman" w:hAnsi="Times New Roman"/>
          <w:sz w:val="20"/>
        </w:rPr>
      </w:pPr>
      <w:r>
        <w:rPr>
          <w:rFonts w:ascii="Times New Roman" w:hAnsi="Times New Roman"/>
          <w:sz w:val="20"/>
        </w:rPr>
        <w:t xml:space="preserve">Moreover, some of Boundless Bio’s patent rights may in the future be co-owned with third parties. In the United States, each co-owner has the freedom to license and exploit the technology. If Boundless Bio is unable to obtain an exclusive license to any such third-party co-owners’ interest in such patent rights, such co-owners may be able to license their rights to other third parties, including Boundless Bio’s competitors, and Boundless Bio’s competitors could market competing products and technology. In addition, Boundless Bio may need the cooperation of any such co-owners of such patent rights in order to enforce such patent rights against third parties, and such cooperation may not be provided to Boundless Bio. Any of the foregoing could have a material adverse effect on Boundless Bio’s competitive position, business, financial conditions,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not be able to protect its intellectual property and proprietary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maintaining, enforcing, and defending patents on Boundless Bio’s ecDTx in all countries throughout the world is expensive, and the laws of foreign countries may not protect Boundless Bio’s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limiting patent protection to specifically disclosed embodiments. Consequently, Boundless Bio may not be able to prevent third parties from practicing its inventions in all countries outside the United States, or from selling or importing products made using its intellectual property in and into the United States or other jurisdictions. Competitors may use Boundless Bio’s intellectual property in jurisdictions where Boundless Bio has not pursued and obtained patent protection to develop their own products and, further, may export otherwise infringing products to territories where Boundless Bio has patent protection, but enforcement is not as strong as that in the United States. These products may compete with Boundless Bio’s products, and Boundless Bio’s patents or patents Boundless Bio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Boundless Bio to stop the infringement of its patents or marketing of competing products in violation of its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data that is not in the original patent filing. Under those heightened patentability requirements, Boundless Bio may not be able to obtain sufficient patent protection in certain jurisdictions even though the same or similar patent protection can be secured in the United States and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Boundless Bio’s intellectual property and proprietary rights in foreign jurisdictions could result in substantial costs and divert Boundless Bio’s efforts and attention from other aspects of its business, could put Boundless Bio’s patents and any patents Boundless Bio may license in the future at risk of being invalidated or interpreted narrowly, could put Boundless Bio’s patent applications and any patent applications Boundless Bio may license in the future at risk of not issuing, and could provoke third parties to assert claims against Boundless Bio. Boundless Bio may not prevail in any lawsuits that it initiates, and the damages or other remedies awarded, if any, may not be commercially meaningful. Accordingly, Boundless Bio’s efforts to enforce its intellectual property and proprietary rights around the world may be inadequate to obtain a significant commercial advantage from the intellectual property that Boundless Bio develops.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Boundless Bio is forced to grant a license to third parties with respect to any patents relevant to its business, its competitive position may be impaired, and its business, financial condition, results of operations, and prospects may be adversely affected. In addition, geopolitical actions in the United States and in foreign countries (such as the geopolitical conflicts in and around Ukraine and the Middle East; retaliatory measures by foreign countries in response to actions by the U.S., in particular, tariffs) could increase the uncertainties and costs surrounding the prosecution or maintenance of Boundless Bio’s patent applications or those of any future licensors and the maintenance, enforcement, or defense of its issued patents, which could impair its competitive intellectual property position. Many foreign countries could threaten to impose retaliatory measures that may adversely impact Boundless Bio’s intellectual property rights in those countries. For example, government actions may prevent filing, prosecution, and maintenance of issued patents in various jurisdictions experiencing geopolitical conflict. These actions could result in abandonment or lapse of Boundless Bio’s patents or patent applications, resulting in partial or complete loss of patent rights in such jurisdictions. In addition, jurisdictions outside of the U.S. could also permit Boundless Bio’s patents to be exploited without consent or compensation. For example, on March 14, 2025, Brazil enacted Law No. 15.122/2025 (known as the Economic Reciprocity Law), which provides a framework that allows for the suspension of obligations related to foreign entity’s intellectual property rights. In such circumstances Boundless Bio would not be able to prevent third parties from practicing its inventions or from selling or importing products made using its inventions in and into such jurisdictions. Accordingly, its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Boundless Bio’s patent protection depends on compliance with various procedural, document submission, fee payment, and other requirements imposed by government patent agencies, and its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USPTO and various non-U.S. government agencies require compliance with several procedural, documentary, fee payment, and other similar provisions during the patent application process. In some circumstances, Boundless Bio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Boundless Bio’s patents and applications. In certain circumstances, Boundless Bio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able to enter the market with similar or identical products or technology, which could have a material adverse effect on Boundless 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Boundless Bio’s business, financial condition, results of operations, and prospects. Boundless Bio would also be dependent on any future licensors to take the necessary actions to comply with these requirements with respect to any intellectual property Boundless Bio may license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Public health pandemics (such as the COVID-19 pandemic), geopolitical instability (war and terrorism), natural disasters, or similar events may impair Boundless Bio’s and its licensors’ ability to comply with these procedural, document submission, fee payment, and other requirements imposed by government patent agencies, which may materially and adversely affect Boundless Bio’s ability to obtain or maintain patent protection for its products and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laws or their interpretations could diminish the value of patents in general, thereby impairing Boundless Bio’s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Boundless Bio or its licensors could therefore be awarded a patent covering an invention of Boundless Bio’s or its licensors even if Boundless Bio or its licensors had made the invention before it was made by such third party. This requires Boundless Bio to be cognizant of the time from invention to filing of a patent application. Since patent applications in the United States and most other countries are confidential for a period of time after filing or until issuance, Boundless Bio cannot be certain that it or its licensors are the first to either (i) file any patent application related to its ecDTx and other proprietary technologies Boundless Bio may develop or (ii) invent any of the inventions claimed in its patents or patent applications. </w:t>
      </w:r>
    </w:p>
    <w:p>
      <w:pPr>
        <w:pStyle w:val="TextBody"/>
        <w:bidi w:val="0"/>
        <w:spacing w:before="240" w:after="0"/>
        <w:jc w:val="left"/>
        <w:rPr>
          <w:rFonts w:ascii="Times New Roman" w:hAnsi="Times New Roman"/>
          <w:sz w:val="20"/>
        </w:rPr>
      </w:pPr>
      <w:r>
        <w:rPr>
          <w:rFonts w:ascii="Times New Roman" w:hAnsi="Times New Roman"/>
          <w:sz w:val="20"/>
        </w:rPr>
        <w:t xml:space="preserve">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a third party may attempt to use the USPTO procedures to invalidate Boundless Bio’s patent claims or any patent claims Boundless Bio may license in the future that would not have been invalidated if first challenged by the third party as a defendant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Boundless Bio cannot predict how decisions by the courts, the U.S. Congress or the USPTO may impact the value of its patent rights. For example, the U.S. Supreme Court held in </w:t>
      </w:r>
      <w:r>
        <w:rPr>
          <w:rFonts w:ascii="Times New Roman" w:hAnsi="Times New Roman"/>
          <w:i/>
          <w:sz w:val="20"/>
        </w:rPr>
        <w:t>Amgen v. Sanofi (2023)</w:t>
      </w:r>
      <w:r>
        <w:rPr>
          <w:rFonts w:ascii="Times New Roman" w:hAnsi="Times New Roman"/>
          <w:sz w:val="20"/>
        </w:rPr>
        <w:t xml:space="preserve"> that a functionally claimed genus was invalid for failing to comply with the enablement requirement of the Patent Act. As such, Boundless Bio’s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Boundless Bio’s existing patent portfolio and its ability to protect and enforce its intellectual property in the future. Similarly, changes in patent law and regulations in other countries or jurisdictions or changes in the governmental bodies that enforce them or changes in how the relevant governmental authority enforces patent laws or regulations may weaken Boundless Bio’s ability to obtain new patents or to enforce patents that Boundless Bio has or may obtain or license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Boundless Bio’s European patent applications, if issued, could be challenged in the UPC. During the first seven years of the UPC’s existence, the UPC legislation allows a patent owner to opt its European patents out of the jurisdiction of the UPC. Boundless Bio may decide to opt out its future European patents from the UPC, but doing so may preclude Boundless Bio from realizing the benefits of the UPC. Moreover, if Boundless Bio does not meet all of the formalities and requirements for opt-out under the UPC, its future European patents could remain under the jurisdiction of the UPC. The UPC will provide Boundless Bio’s competitors with a new forum to centrally revoke its European patent, and allow for the possibility of a competitor to obtain pan-European injunction. Such a loss of patent protection could have a material adverse impact on Boundless Bio’s business and its ability to commercialize its technology and ecDTx due to increased competition and, resultantly, on its business, financial condition, results of operations, and prospects. The UPC and Unitary Patent are significant changes in European patent practice. As the UPC is a new court system, there is limited precedent for the court, increasing the uncertainty of any litigation in the UPC.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Boundless Bio’s ecDTx could be found invalid or unenforceable if challenged in court or before administrative bodies in the United States or abroad.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Boundless Bio’s core business, including distracting its management and scientific personnel from their normal responsibilities and generally harm its business. If Boundless Bio or any future licensors are unsuccessful in any of these proceedings, such patents and patent applications may be narrowed, invalidated, or held unenforceable. Any of the foregoing could have a material adverse effect on Boundless 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initiates legal proceedings against a third party to enforce a patent covering its ecDTx, the defendant could counterclaim that such patent is invalid or unenforceable. In patent litigation in the United States, defendant counterclaims alleging invalidity or unenforceability are commonplace. Grounds for a validity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Boundless Bio’s patent rights or any patent rights Boundless Bio may obtain or license in the future in such a way that they no longer cover Boundless Bio’s ecDTx or prevent third parties from competing with Boundless Bio’s ecDTx. The outcome following legal assertions of invalidity and unenforceability is unpredictable. With respect to the validity question, for example, Boundless Bio cannot be certain that there is no invalidating prior art, of which Boundless Bio and the patent examiner were unaware during prosecution. If a third party were to prevail on a legal assertion of invalidity or unenforceability, Boundless Bio would lose at least part, and perhaps all, of the patent protection for Boundless Bio’s ecDTx. Such a loss of patent protection would have a material adverse impact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the competitive position of Boundless Bio’s ecDTx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Boundless Bio’s ecDTx are obtained, once the patent has expired, Boundless Bio may be vulnerable to competition from competitive products, including generics. Given the amount of time required for the development, testing, and regulatory review of new ecDTx, patents protecting such ecDTx might expire before or shortly after such ecDTx are commercialized. As a result, Boundless Bio’s intellectual property may not provide it with sufficient rights to exclude others from commercializing products similar or identical to Boundless Bio’s. If Boundless Bio does not have sufficient patent life to protect its products, its business, financial condition, results of operations, and prospects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does not obtain patent term extension and equivalent extensions outside of the United States for its ecDTx, Boundless Bio’s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regulatory approval of Boundless Bio’s ecDTx, one or more of its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Boundless Bio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or the scope of patent protection afforded could be less than Boundless Bio projects or requests. In addition, to the extent Boundless Bio wishes to pursue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 extension based on a patent that it may license from a third party in the future, Boundless Bio may need the cooperation of that third party. If Boundless Bio is unable to obtain patent term extension, or the foreign equivalent, or if the term of any such extension is less than Boundless Bio projects or requests, its competitors may obtain approval of competing products following its patent expiration, and its business, financial condition, results of operations, and prospects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be subject to claims challenging the inventorship of its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may be subject to claims that former employees, consultants, collaborators, or other third parties have an interest in its patent rights, trade secrets, or other intellectual property as an inventor, co-inventor, or owner of trade secrets. For example, Boundless Bio may have inventorship disputes arise from conflicting obligations of consultants or others who are involved in developing its ecDTx and other proprietary technologies it may develop. Litigation may be necessary to defend against these and other claims challenging inventorship or Boundless Bio’s patent rights, trade secrets, or other intellectual property. If Boundless Bio fails in defending any such claims, in addition to paying monetary damages, it may lose valuable intellectual property rights, such as exclusive ownership of, or the right to use intellectual property that is important to its ecDTx and other proprietary technologies it may develop. Even if Boundless Bio is successful in defending against such claims, litigation could result in substantial costs and be a distraction to its management and other employees. Any of the foregoing could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is unable to protect the confidentiality of its trade secrets, its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 protection for Boundless Bio’s ecDTx and proprietary technologies, Boundless Bio may rely on trade secret protection and confidentiality agreements to protect its unpatented know-how, technology, and other proprietary information and to maintain its competitive position. Boundless Bio seeks to protect these trade secrets and other proprietary technology, in part, by entering into non-disclosure and confidentiality agreements with parties who have access to them, such as its employees, third-party collaborators, CROs, contract manufacturers, consultants, advisors, and other third parties. Boundless Bio also enters into confidentiality and invention or patent assignment agreements with its employees and consultants. Trade secrets and know-how can be difficult to protect. Boundless Bio cannot guarantee that it has entered into applicable agreements with each party that may have or have had access to its trade secrets or proprietary technology and processes. Despite these efforts, any of these parties may breach the agreements and disclose Boundless Bio’s proprietary information, including its trade secrets, and Boundless Bio may not be able to obtain adequate remedies for such breaches. Monitoring unauthorized uses and disclosures is difficult, and Boundless Bio does not know whether the steps it has taken to protect its proprietary technologies will be effective. Boundless Bio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Boundless Bio’s trade secrets were to be lawfully obtained or independently developed by a competitor or other third party, Boundless Bio would have no right to prevent them from using that technology or information to compete with it. Furthermore, others may independently discover similar trade secrets and proprietary information. If any of Boundless Bio’s trade secrets were to be disclosed or misappropriated or if any such information were to be independently developed by a competitor or other third party, Boundless Bio’s competitive position would be materially and adversely harmed.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be subject to claims that third parties have an ownership interest in its trade secrets. For example, Boundless Bio may have disputes arise from conflicting obligations of its employees, consultants, or others who are involved in developing any ecDTx. Litigation may be necessary to defend against these and other claims challenging ownership of Boundless Bio’s trade secrets. If Boundless Bio fails in defending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in addition to paying monetary damages, it may lose valuable trade secret rights, such as exclusive ownership of, or right to use, trade secrets that are important to its ecDTx and other proprietary technologies it may develop. Such an outcome could have a material adverse effect on Boundless Bio’s business. Even if Boundless Bio is successful in defending against such claims, litigation could result in substantial costs and be a distraction to its management and other employees. Any of the foregoing could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be subject to claims that its employees, consultants, or advisors have wrongfully used or disclosed alleged trade secrets of their current or former employers or claims asserting ownership of what Boundless Bio regards as its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Some of Boundless Bio’s employees, consultants, and advisors are currently or were previously employed at universities or other biotechnology or pharmaceutical companies, including Boundless Bio’s competitors or potential competitors. Although Boundless Bio tries to ensure that its employees, consultants, and advisors do not use the proprietary information or know-how of others in their work for Boundless Bio, Boundless Bio may be subject to claims that it or these individuals have used or disclosed intellectual property, including trade secrets or other proprietary information, of any such individual’s current or former employer. Litigation may be necessary to defend against these claims. If Boundless Bio fails in defending any such claims, in addition to paying monetary damages, it may lose valuable intellectual property rights or personnel. Even if Boundless Bio is successful in defending against such claims, litigation could result in substantial costs and be a distraction to its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Boundless Bio’s policy to require its employees and contractors who may be involved in the conception or development of intellectual property to execute agreements assigning such intellectual property to Boundless Bio, Boundless Bio may be unsuccessful in executing such an agreement with each party who, in fact, conceives or develops intellectual property that Boundless Bio regards as its own. The assignment of intellectual property rights may not be self-executing, or the assignment agreements may be breached, and Boundless Bio may be forced to bring claims against third parties, or defend claims that they may bring against it, to determine the ownership of what Boundless Bio regards as its intellectual property. Such claims could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not identify relevant third-party patents or may incorrectly interpret the relevance, scope, or expiration of a third-party patent, which might adversely affect its ability to develop and market its products and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cannot guarantee that any of its patent searches or analyses, including the identification of relevant patents, the scope of patent claims, or the expiration of relevant patents, are or will be complete or thorough, nor can Boundless Bio be certain that it has identified or will identify each and every third-party patent and pending patent application in the United States and abroad that is relevant to or necessary for the commercialization of its current and future ecDTx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Boundless Bio’s ecDTx could have been filed by others without its knowledge. The scope of a patent claim is determined by the interpretation of the law, the words of a patent claim, the written disclosure in a patent, and the patent’s prosecution history. Boundless Bio’s interpretation of the relevance or the scope of a patent or a pending patent application may be incorrect, which may negatively impact its ability to market its products. Boundless Bio may incorrectly determine that its products or ecDTx are not covered by a third-party patent or may incorrectly predict whether a third party’s pending patent application will issue with claims of relevant scope. Boundless Bio’s determination of the expiration date of any patent in the United States or abroad that it considers relevant may be incorrect, and Boundless Bio may incorrectly conclude that a third-party patent is invalid and unenforceable or not infringed. Boundless Bio’s failure to identify and correctly interpret relevant patents may negatively impact its ability to develop and market its ecDTx. If Boundless Bio fails to identify and correctly interpret relevant patents, it may be subject to infringement claims. Also, because the claims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published patent applications can change between publication and patent grant, there may be published patent applications that may ultimately issue with claims that Boundless Bio infringes.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Boundless Bio may receive threatening letters, notices or “invitations to license,” or may be the subject of claims that its products and business operations infringe or violate the intellectual property rights of others. Boundless Bio cannot guarantee that it will be able to successfully settle or otherwise resolve such infringement claims. If Boundless Bio fails in any such dispute, in addition to being forced to pay damages, it may be temporarily or permanently prohibited from commercializing its ecDTx that is held to be infringing. Boundless Bio might, if possible, also be forced to redesign ecDTx or services so that it no longer infringes the third-party intellectual property rights. Any of these events, even if Boundless Bio were ultimately to prevail, could require it to divert substantial financial and management resources that it would otherwise be able to devote to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misappropriation, or other violations against Boundless Bio or its collaborators could be expensive and time consuming and may prevent or delay the development and commercialization of its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commercial success depends in part on its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Numerous U.S. and foreign-issued patents and pending patent applications owned by third parties exist in the fields in which Boundless Bio plans to commercialize its therapeutic and diagnostic programs and in which Boundless Bio is developing other proprietary technologies. As the biotechnology and pharmaceutical industries expand and more patents are issued, and as Boundless Bio gains greater visibility and market exposure as a public company, the risk increases that its ecDTx and diagnostic programs and commercializing activities may give rise to claims of infringement of the patent rights of others. Boundless Bio cannot assure that its ecDTx and diagnostic programs and other proprietary technologies it develops will not infringe existing or future patents owned by third parties. Boundless Bio may not be aware of patents that have already been issued for which a third party, such as a competitor in the fields in which Boundless Bio could develop its ecDTx and diagnostic programs, might assert as infringed by Boundless Bio. It is also possible that patents owned by third parties of which Boundless Bio is aware, but which Boundless Bio does not believe it infringes or that Boundless Bio believes it has valid defenses to any claims of patent infringement, could be found to be infringed by Boundless Bio. It is not unusual that corresponding patents issued in different countries have different scopes of coverage, such that in one country a third-party patent does not pose a material risk, but in another country, the corresponding third-party patent may pose a material risk to Boundless Bio’s ecDTx. As such, Boundless Bio monitors third-party patents in the relevant pharmaceutical markets. In addition, because patent applications can take many years to issue, there may be currently pending patent applications that may later result in issued patents that Boundless Bio may infringe. For example, pending patent applications that have been published can, subject to certain limitations, be later amended in a manner that could cover Boundless Bio’s ecDTx or the use of its ecDTx. While Boundless Bio believes it has valid defenses to claims of patent infringement, Boundless Bio cannot be certain that it would prevail in any dispute, and it cannot be certain how an adverse determination would affect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third-party claims that Boundless Bio infringes their patents or that Boundless Bio is otherwise employing their proprietary technology without authorization and initiates litigation against Boundless Bio, even if Boundless Bio believes such claims are without merit, a court of competent jurisdiction could hold that such patents are valid, enforceable, and infringed by Boundless Bio. Defense of infringement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their merit, would involve substantial litigation expense and would be a substantial diversion of management and other employee resources from Boundless Bio’s business, and may impact its reputation. In the event of a successful claim of infringement against Boundless Bio, Boundless Bio may be enjoined from further developing or commercializing the infringing products or technologies. In addition, Boundless Bio may be required to pay substantial damages, including treble damages and attorneys’ fees for willful infringement, obtain one or more licenses from third parties, pay royalties, and/or redesign its infringing products or technologies, which may be impossible or require substantial time and monetary expenditure. Such licenses may not be available on commercially reasonable terms or at all. Even if Boundless Bio is able to obtain a license, the license would likely obligate Boundless Bio to pay license fees or royalties or both, and the rights granted to Boundless Bio might be nonexclusive, which could result in its competitors gaining access to the same intellectual property. If Boundless Bio is unable to obtain a necessary license to a third-party patent on commercially reasonable terms or at all, Boundless Bio may be unable to commercialize the infringing products or technologies or such commercialization efforts may be significantly delayed, which could in turn significantly harm its business. In addition, Boundless Bio may in the future pursue patent challenges with respect to third-party patents, including as a defense against the foregoing infringement claims. The outcome of such challenges is unpredictable.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Boundless Bio’s favor, the foregoing proceedings could be very expensive, particularly for a company of Boundless Bio’s size, and time-consuming. Such proceedings could substantially increase Boundless Bio’s operating losses and reduce the resources available for development activities or any future sales, marketing, or distribution activities. Boundless Bio may not have sufficient financial or other resources to conduct such proceedings adequately. Some of Boundless Bio’s competitors may be able to sustain the costs of litigation or administrative proceedings more effectively than Boundless Bio can because of greater financial resources. Such proceedings may also absorb significant time of Boundless Bio’s technical and management personnel and distract them from their normal responsibilities. Uncertainties resulting from such proceedings could impair Boundless Bio’s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Boundless Bio Common Stock. The occurrence of any of the foregoing could have a material adverse effect on Boundless Bio’s business,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in the future pursue invalidity proceedings with respect to third-party patents. The outcome following legal assertions of invalidity is unpredictable. Additionally, Boundless Bio may be subject to claims of patent infringement during those proceedings, and delays caused by the federal agencies may increase the time period that Boundless Bio is subject to such claims. For example, administrative changes, including reduced staff and budgets experienced by the Patent and Trial Appeal Board, could further delay Boundless Bio’s ability to timely challenge any such patents. Even if resolved in Boundless Bio’s favor, these legal proceedings may cause Boundless Bio to incur significant expenses and could distract its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Boundless Bio Common Stock. Such proceedings could substantially increase Boundless Bio’s operating losses and reduce the resources available for development activities or any future sales, marketing, or distribution activities. Boundless Bio may not have sufficient financial or other resources to conduct such proceedings adequately. Some of these third parties may be able to sustain the costs of such proceedings more effectively than Boundless Bio can because of their greater financial resources. Uncertainties resulting from the initiation and continuation of patent proceedings could compromise Boundless Bio’s ability to compete in the marketplace. For example, recent shifts in USPTO policy and increased discretionary denials may restrict Boundless Bio’s ability to challenge third-party patents, increasing its litigation risk and costs. Boundless Bio’s ability to use </w:t>
      </w:r>
      <w:r>
        <w:rPr>
          <w:rFonts w:ascii="Times New Roman" w:hAnsi="Times New Roman"/>
          <w:i/>
          <w:sz w:val="20"/>
        </w:rPr>
        <w:t>inter partes</w:t>
      </w:r>
      <w:r>
        <w:rPr>
          <w:rFonts w:ascii="Times New Roman" w:hAnsi="Times New Roman"/>
          <w:sz w:val="20"/>
        </w:rPr>
        <w:t xml:space="preserve"> review (“IPR”) and other post-grant proceedings to challenge the validity of third-party patents is subject to evolving procedural rules and increased administrative discretion. If Boundless Bio is unable to use the Patent Trial and Appeal Board to invalidate questionable patents, Boundless Bio may face increased litigation expenses in slower and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costly district court venues. These policy shifts could result in infringement liability, licensing fees, or injunctions that could adversely affect Boundless Bio’s product development timelines, market share, and overall financial condition. If Boundless Bio does not prevail in the patent proceedings, third parties may assert a claim of patent infringement directed at its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become involved in lawsuits to protect or enforce its patents and other intellectual property rights,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Third parties, such as a competitor, may infringe Boundless Bio’s patent rights. In an infringement proceeding, a court may decide that a patent Boundless Bio owns or a patent Boundless Bio may license in the future is invalid or unenforceable or may refuse to stop the other party from using the invention at issue. In addition, Boundless Bio’s patent rights may become involved in inventorship, ownership, priority, enforceability, or validity disputes. To counter or defend against such claims can be expensive and time-consuming. An adverse result in any litigation proceeding could put Boundless Bio’s patent rights at risk of being invalidated, held unenforceable or interpreted narrowly. Furthermore, because of the substantial amount of discovery required in connection with intellectual property litigation and proceedings, there is a risk that some of Boundless Bio’s confidential information could be compromised by disclosure during such litigation and proceedings.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Boundless Bio’s favor, litigation or other legal proceedings relating to intellectual property claims may cause Boundless Bio to incur significant expenses and could distract its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Boundless Bio Common Stock. Such litigation or proceedings could substantially increase Boundless Bio’s operating losses and reduce the resources available for development activities or any future sales, marketing, or distribution activities. Boundless Bio may not have sufficient financial or other resources to conduct such litigation or proceedings adequately. Some of Boundless Bio’s competitors may be able to sustain the costs of such litigation or proceedings more effectively than Boundless Bio can because of their greater financial resources and more mature and developed intellectual property portfolios. Uncertainties resulting from the initiation and continuation of patent litigation or other proceedings could have a material adverse effect on Boundless Bio’s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Bio’s trademarks and trade names are not adequately protected, then Boundless Bio may not be able to build name recognition in its markets of interest, and its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registered or unregistered trademarks or trade names may be challenged, infringed, diluted, circumvented, or declared generic or determined to be infringing, misappropriating, or violating other marks. Boundless Bio may not be able to protect its rights to these trademarks and trade names, which Boundless Bio needs to build name recognition among potential partners or customers in the markets of interest. During trademark registration proceedings, Boundless Bio may receive rejections of its applications by the USPTO or in other foreign jurisdictions. Although Boundless Bio is given an opportunity to respond to such rejections, Boundless Bio may be unable to overcome them. In the event that Boundless Bio’s trademarks are successfully challenged or determined to be infringing, misappropriating, or violating other marks, Boundless Bio could be forced to rebrand its products, which could result in loss of brand recognition, and could require Boundless Bio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Boundless Bio’s trademarks, which may not survive such proceedings. Moreover, any name Boundless Bio may propose to use with its ecDTx in the United States must be approved by the FDA, regardless of whether Boundless Bio has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Boundless Bio’s proposed proprietary product names, Boundless Bio may be required to expend significant additional resources in an effort to identify a suitable substitute name that would qualify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not be able to obtain, protect, or enforce its rights to these trademarks and trade names, which Boundless Bio needs to build name recognition among potential partners or customers in its markets of interest. At times, competitors or other third parties may adopt trade names or trademarks similar to Boundless Bio’s, thereby impeding its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Boundless Bio’s registered or unregistered trademarks or trade names. Over the long term, if Boundless Bio is unable to establish name recognition based on its trademarks and trade names, then Boundless Bio may not be able to compete effectively, and its business may be adversely affected. Boundless Bio’s efforts to obtain, enforce, or protect its proprietary rights related to trademarks, trade names, domain names, or other intellectual property may be ineffective and could result in substantial costs and diversion of resources and could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Boundless Bio’s intellectual property rights is uncertain because intellectual property rights have limitations and may not adequately protect Boundless Bio’s business or permit Boundless Bio to maintain its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Boundless Bio’s ecDTx or utilize similar technology but that are not covered by the claims of the patents that Boundless Bio owns or may license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or its licensors or collaborators might not have been the first to make the inventions covered by its current or future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or its licensors or collaborators might not have been the first to file patent applications covering Boundless Bio’s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Boundless Bio’s technologies without infringing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Boundless Bio’s pending and future patent applications that it owns or may license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issued patent that Boundless Bio owns or licenses in the future may be held invalid or unenforceable, including as a result of legal challenges by its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have access to the same intellectual property rights licensed to Boundless Bio in the future on a non-exclusive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competitors or other third parties might conduct research and development activities in countries where Boundless Bio or its licensors do not have patent rights and then use the information learned from such activities to develop competitive products for sale in its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fail to identify potential patentable subject matter and/or may fail to file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or other intellectual property rights of others may harm Boundless Bio’s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choose not to file for patent protection in order to maintain certain trade secrets or know-how, and a third party may subsequently file a patent application covering such intellectual property or disclose information resulting in a loss of protection for such trade secret.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any of the foregoing occur, it could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not be successful in obtaining or maintaining necessary rights to product components and processes for its development pipeline through acquisitions and in-licenses. </w:t>
      </w:r>
    </w:p>
    <w:p>
      <w:pPr>
        <w:pStyle w:val="TextBody"/>
        <w:bidi w:val="0"/>
        <w:spacing w:before="120" w:after="0"/>
        <w:jc w:val="left"/>
        <w:rPr>
          <w:rFonts w:ascii="Times New Roman" w:hAnsi="Times New Roman"/>
          <w:sz w:val="20"/>
        </w:rPr>
      </w:pPr>
      <w:r>
        <w:rPr>
          <w:rFonts w:ascii="Times New Roman" w:hAnsi="Times New Roman"/>
          <w:sz w:val="20"/>
        </w:rPr>
        <w:t xml:space="preserve">The growth of Boundless Bio’s business if the Merger is not completed and Boundless Bio continues to develop any ecDTx may depend in part on its ability to acquire, in-license, or use third-party intellectual property and proprietary rights. For example, Boundless Bio’s ecDTx may require specific formulations to work effectively and efficiently, Boundless Bio may develop ecDTx containing its compounds and pre-existing pharmaceutical compounds, or Boundless Bio may be required by the FDA or comparable foreign regulatory authorities to provide a diagnostic test or tests with its ecDTx, any of which could require Boundless Bio to obtain rights to use intellectual property held by third parties. In addition, with respect to any patent or other intellectual property rights Boundless Bio may co-own with third parties, Boundless Bio may require licenses to such co-owners’ interest to such patents. Boundless Bio may be unable to acquire or in-license any compositions, methods of use, processes, or other third-party intellectual property rights from third parties that Boundless Bio identifies as necessary or important to its business operations. In addition, Boundless Bio may fail to obtain any of these licenses at a reasonable cost or on reasonable terms, if at all. Were that to happen, Boundless Bio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Boundless Bio were able to develop such alternatives, which may not be feasible. Even if Boundless Bio is able to obtain a license, it may be non-exclusive, which means that Boundless Bio’s competitors may also receive access to the same technologies licensed to it. In that event, Boundless Bio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Boundless Bio may collaborate with academic institutions to accelerate its research and development under written agreements with these institutions. In certain cases, these institutions provide Boundless Bio with an option to negotiate a license to any of the institution’s rights in technology resulting from the collaboration. Even if Boundless Bio holds such an option, Boundless Bio may be unable to negotiate a license from the institution within the specified timeframe or under terms that are acceptable to Boundless Bio. If Boundless Bio is unable to do so, the institution may offer the intellectual property rights to others, potentially blocking Boundless Bio’s ability to pursue its program. Even if Boundless Bio is able to obtain a license, it may be non-exclusive, and its competitors may also receive access to the same technologies licensed to it.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that may be more established or have greater resources than Boundless Bio may also be pursuing strategies to license or acquire third-party intellectual property rights that Boundless Bio may consider necessary or attractive in order to commercialize its ecDTx. More established companies may have a competitive advantage over Boundless Bio due to their size, cash resources, or greater clinical development and commercialization capabilities. In addition, companies that perceive Boundless Bio to be a competitor may be unwilling to assign or license rights to it. There can be no assurance that Boundless Bio will be able to successfully complete these types of negotiations and ultimately acquire the rights to the intellectual property surrounding the additional ecDTx that Boundless Bio may seek to develop or market. If Boundless Bio is unable to successfully obtain rights to required third-party intellectual property or to maintain the existing intellectual property rights it has, Boundless Bio may have to abandon development of certain programs and its business financial condition, results of operations, and prospects could suffer.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Boundless Bio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An active, liquid, and orderly market for Boundless Bio Common Stock may not be sustained, or Boundless Bio may in the future fail to satisfy the continued listing requirements of Nasdaq. </w:t>
      </w:r>
    </w:p>
    <w:p>
      <w:pPr>
        <w:pStyle w:val="TextBody"/>
        <w:bidi w:val="0"/>
        <w:spacing w:before="120" w:after="0"/>
        <w:jc w:val="left"/>
        <w:rPr>
          <w:rFonts w:ascii="Times New Roman" w:hAnsi="Times New Roman"/>
          <w:sz w:val="20"/>
        </w:rPr>
      </w:pPr>
      <w:r>
        <w:rPr>
          <w:rFonts w:ascii="Times New Roman" w:hAnsi="Times New Roman"/>
          <w:sz w:val="20"/>
        </w:rPr>
        <w:t xml:space="preserve">Prior to Boundless Bio’s IPO, there was no public market for Boundless Bio Common Stock. Boundless Bio Common Stock began trading on Nasdaq in late March 2024, and Boundless Bio can provide no assurance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active trading market for Boundless Bio Common Stock will be sustained. If an active market for Boundless Bio Common Stock is not sustained, it may impair your ability to sell shares at the time you wish to sell them or at a price that you consider reasonable. An inactive market may also impair Boundless Bio’s ability to raise capital by selling shares and may impair its ability to acquire other businesses or technologies using its shares as consideration, which, in turn, could materially adversely affect Boundless Bio’s business.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fails to satisfy the continued listing requirements of Nasdaq, such as the corporate governance requirements or the minimum closing bid price requirement, Nasdaq may take steps to delist Boundless Bio Common Stock. Such a delisting would likely have a negative effect on the price of Boundless Bio Common Stock and would impair your ability to sell or purchase Boundless Bio Common Stock when you wish to do so. In the event of a delisting, Boundless Bio can provide no assurance that any action taken by it to restore compliance with listing requirements would allow Boundless Bio Common Stock to become listed again, stabilize the market price or improve the liquidity of Boundless Bio Common Stock, prevent Boundless Bio Common Stock from dropping below the Nasdaq minimum bid price requirement, or prevent future non-compliance with the listing requirements of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Boundless Bio Common Stock could be highly volatile, and purchasers of Boundless Bio Common Stock could incur substantial losses.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shares of Boundless Bio Common Stock at or above the price they paid to purchase them. The market price for Boundless Bio Common Stock may be influenced by those factors discussed in this “Risk Factors” section and many others,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Boundless Bio’s clinical trials and preclinical studies, and the results of trials of its competitors or those of other companies in its market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enroll patients in its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obtain and maintain regulatory approval of its ecDTx or additional indications thereof, or limitations to specific label indications or patient populations for their use, or changes or delays in the regulatory review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or failure of Boundless Bio’s efforts to develop, acquire, or license additional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innovations, clinical trial results, product approvals, and other developments regarding Boundless Bio’s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Boundless Bio or its competitors of significant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supply, or distribution delays or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Boundless Bio’s relationship with any manufacturers, suppliers, collaborators, or other strategic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achievement of expected product sales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Boundless Bio’s financial results or development timelines or those of companies that are perceived to be similar to Boundless Bio, including variations from expectations of securities analysts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biopharmaceutical sector and issuance of securities analysts’ reports or recommendations;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Boundless Bio’s stock by Boundless Bio, its insiders,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geopolitical, and market conditions, such as military conflict or war, inflation and financial institution instability, or pandemic or epidemic disease outbreaks, many of which are beyond Boundless Bio’s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senior management, directors, or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product liability, or other litigation against Boundless Bio or its inability to enforce its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Boundless Bio’s capital structure, such as future issuances of securities and the incurrence of additional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the past, stockholders have initiated class action lawsuits against biopharmaceutical companies following periods of volatility in the market prices of these companies’ stock. Such litigation, if instituted against Boundless Bio, could cause Boundless Bio to incur substantial costs, divert its management’s attention and resources, and damage its reputation, which could have a material adverse effect on Boundless Bio’s business, financial condition and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executive officers, directors, and principal stockholders, if they choose to act together, have the ability to significantly influence all matters submitted to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Boundless Bio’s executive officers, directors, greater than 5% stockholders, and their respective affiliates, in the aggregate, owned approximately 52.4% of Boundless Bio’s outstanding common stock. As a result, such persons, acting together, have the ability to significantly influence all matters submitted to Boundless Bio’s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combinations involving Boundless Bio, or discouraging a potential acquiror from making a tender offer or otherwise attempting to obtain control of Boundless Bio’s business, even if such a transaction would benefit other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than the Pre-Closing Dividend in connection with the Merger, Boundless Bio does not currently intend to pay dividends on Boundless Bio Common Stock, so any returns on your investment will be limited to the value of Boundless 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never declared or paid any cash dividend on Boundless Bio Common Stock. If the Merger is not completed and Boundless Bio determines to develop any current or future ecDTx, Boundless Bio anticipates that it will retain future earnings for the development, operation, and expansion of its business and does not anticipate declaring or paying any cash dividends for the foreseeable future. In addition, any future debt agreements may preclude Boundless Bio from paying dividends. Any return to stockholders will therefore be limited to the appreciation of Boundless Bio Common Stock. There is no guarantee that shares of Boundless Bio Common Stock will appreciate in value or even maintain the price at which stockholders have purchased their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Boundless Bio Common Stock by its existing stockholders in the public market could cause its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653,579 shares of Boundless Bio’s outstanding common stock, or 2.9%, were held by its directors, executive officers, and other affiliates. Such shares may be sold under Rule 144 under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 subject to volume limitations. Sales of a substantial number of shares of Boundless Bio Common Stock in the public market or the perception that these sales might occur could significantly reduce the market price of Boundless Bio Common Stock and impair Boundless Bio’s ability to raise adequate capital through the sale of additional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holders of Boundless Bio’s outstanding common stock may have registration rights that entitle such holders to require Boundless Bio to register their shares for resale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registration of such shares, could also significantly reduce the market price of Boundless Bio Common Stock and impair Boundless Bio’s ability to raise adequate capital through the sale of additional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future, Boundless Bio may issue additional shares of common stock, or other equity or debt securities convertible into common stock, in connection with the Merger as discussed above or if the Merger is not completed, in connection with a financing, acquisition, employee arrangement, or otherwise. For example, in April 2025, Boundless Bio entered into an Open Market Sale AgreementSM with Jefferies LLC under which Boundless Bio may sell shares of Boundless Bio Common Stock in ATM offerings through or to Jefferies, as sales agent or principal, and pursuant to the prospectus for the ATM offering, Boundless Bio may sell shares from time to time having an aggregate offering price of up to $14.5 million. Any such issuance could result in substantial dilution to Boundless Bio’s existing stockholders and could cause the price of Boundless Bio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is an emerging growth company and a smaller reporting company, and the reduced disclosure requirements applicable to emerging growth companies and smaller reporting companies may make Boundless Bio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an emerging growth company, as defined in the Jumpstart Our Business Startups Act of 2012 (“JOBS Act”), and may remain an emerging growth company until the last day of the fiscal year following the fifth anniversary of its IPO, or December 31, 2029. However, if certain events occur prior to the end of such five-year period, including if Boundless Bio becomes a “large accelerated filer”, as defined under the Exchange Act, its annual gross revenue exceeds $1.235 billion, or Boundless Bio issues more than $1.0 billion of non-convertible debt in any three-year period, Boundless Bio will cease to be an emerging growth company prior to December 31, 2029. For so long as Boundless Bio remains an emerging growth company, Boundless Bio is permitted and intends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in the assessment of Boundless Bio’s internal control over financial reporting pursuant to the Sarbanes-Oxley Act of 2002 (“Sarbanes-Oxley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has taken advantage of reduced reporting burdens in Boundless Bio’s Annual Report on Form 10-K for the year ended December 31, 2025 (“Boundless Bio’s 2025 Annual Report”) and other filings with the SEC, as well as in this proxy statement/prospectus. In particular, in Boundless Bio’s 2025 Annual Report and this proxy statement/prospectus, Boundless Bio provided only two years of audited financial statements and did not include all of the executive compensation-related information that would be required if Boundless Bio were not an emerging growth company. Investors may find Boundless Bio Common Stock less attractive because Boundless Bio relies on these exemptions. If some investors find Boundless Bio Common Stock less attractive as a result, there may be a less active trading market for Boundless Bio Common Stock and its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Boundless Bio has elected to avail itself of this exemption and, therefore, Boundless Bio may not be subject to new or revised accounting standards at the same time that they become applicable to public companies that are not emerging growth companies. Boundless Bio intends to rely on other exemptions provided by the JOBS Act, including without limitation, not being required to comply with the auditor attestation requirements of Section 404(b)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also a smaller reporting company as defined in Rule 12b-2 under the Exchange Act. Boundless Bio may continue to be a smaller reporting company even after it is no longer an emerging growth company. Boundless Bio may take advantage of certain of the scaled disclosures available to smaller reporting companies and will be able to take advantage of these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the Boundless Bio Charter and Boundless Bio Bylaws and under Delaware law could discourage a takeover that stockholders may consider favorable and may lead to entrenchment of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and Boundless Bio Bylaws contain provisions that could significantly reduce the value of its shares to a potential acquiror or delay or prevent changes in control or changes in Boundless Bio’s management without the consent of the Boundless Bio Board of Directors. The provisions in the Boundless Bio Charter and Boundless Bio Bylaws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classified board of directors with three-year staggered terms, which may delay the ability of stockholders to change the membership of a majority of the Boundless Bio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total number of directors on the Boundless Bio Board of Directors is established by the Boundless Bio Board of Directors, which may delay the ability of stockholders to change the composition of a majority of the Boundless Bio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exclusive right of the Boundless Bio Board of Directors to fill any vacancy on the Boundless Bio Board of Directors however occurring, which prevents stockholders from being able to fill vacancies on the Boundless Bio Board of Directors, subject to any special rights of the holders of any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director may be removed from office except for cause and, in addition to any other vote required by law, upon the approval of at least 66-2/3% of the voting power of all of Boundless Bio’s then outstanding shares of voting stock entitled to vote at an election of directors, subject to any special rights of the holders of any then outstanding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Boundless Bio Board of Directors to authorize the issuance of shares of preferred stock and to determine the price and other terms of those shares, including preferences and voting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without stockholder approval, which could be used to significantly dilute the ownership of a hostile acquiror;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Boundless Bio Board of Directors to amend or repeal the Boundless Bio Bylaws without obtaining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required approval of at least 66-2/3% of the then outstanding shares entitled to vote to adopt, amend, or repeal the Boundless Bio Bylaws or repeal the provisions of the Boundless Bio Charter regarding the election and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stockholder action by written consent, which forces stockholder action to be taken at an annual or special meeting of Boundless Bio’s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exclusive forum provision providing that the Court of Chancery of the State of Delaware will be the exclusive forum for certain actions and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 special meeting of stockholders may be called only by or at the direction of the Boundless Bio Board of Directors, the chair of the Boundless Bio Board of Directors, its chief executive officer, or its president, which may delay the ability of Boundless Bio’s stockholders to force consideration of a proposal or to take action, including the removal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that stockholders must comply with in order to nominate candidates to the Boundless Bio Board of Directors or to propose matters to be acted upon at a stockholders’ meeting, which may discourage or deter a potential acquiror from conducting a solicitation of proxies to elect the acquiror’s own slate of directors or otherwise attempting to obtain control of Boundless Bio.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 is also subject to the anti-takeover provisions contained in Section 203 of the DGCL, under which a corporation may not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Boundless Bio Charter provides that the Court of Chancery of the State of Delaware is the exclusive forum for substantially all disputes between Boundless Bio and its stockholders and that the federal district courts are the exclusive forum for the resolution of any complaint asserting a cause of action arising under the Securities Act, which could limit its stockholders’ ability to obtain a favorable judicial forum for disputes with Boundless Bio or its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the Court of Chancery of the State of Delaware is the exclusive forum for any derivative action or proceeding brought on its behalf, any action asserting a breach of fiduciary duty, any action asserting a claim against Boundless Bio arising pursuant to the DGCL, Boundless Bio Charter or Boundless Bio Bylaws, or any action asserting a claim against Boundless Bio that is governed by the internal affairs doctrine; provided, that, this provision would not apply to suits brought to enforce a duty or liability created by the Exchange Act or any other claim for which the federal courts have exclusive jurisdiction. Boundless Bio’s Charter also provides that unless Boundless Bio consents in writing to the selection of an alternative forum, the federal district courts of the United States are the exclusive forum for the resolution of any complaint asserting a cause of action arising under the Securities Act. These choice of forum provisions may limit a stockholder’s ability to bring a claim in a judicial forum that it finds favorable for disputes with Boundless Bio or its directors, officers, or other employees, which may discourage such lawsuits against Boundless Bio and its directors, officers, and other employees and result in increased costs for investors to bring a claim. By agreeing to this provision, however, stockholders will not be deemed to have waived Boundless Bio’s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the Boundless Bio Charter to be inapplicable or unenforceable in an action, Boundless Bio may incur additional costs associated with resolving such action in other jurisdictions, which could adversely affect its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 incurs significant costs as a result of operating as a public company, and its management is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Boundless Bio incurs significant legal, accounting, and other expenses that it did not incur as a private company. Boundless Bio is subject to the reporting requirements of the Exchange Act, which require, among other things, that it file with the SEC annual, quarterly, and current reports with respect to its business and financial condition. In addition, the Sarbanes-Oxley Act, as well as rules subsequently adopted by the SEC and Nasdaq to implement provisions of the Sarbanes-Oxley Act, impose significant requirements on Delaware general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Boundless Bio when it ceases to be an emerging growth company. Stockholder activism, the current political environment and the current high level of government intervention and regulatory reform may lead to substantial new regulations and disclosure obligations, and the application of existing laws, regulations, and standards may evolve over time as they are subject to varying interpretations and new guidance is provided by regulatory and governing bodies. This may lead to additional compliance costs and impact the manner in which Boundless Bio operates its business in ways it cannot currently anticipate. </w:t>
      </w:r>
    </w:p>
    <w:p>
      <w:pPr>
        <w:pStyle w:val="TextBody"/>
        <w:bidi w:val="0"/>
        <w:spacing w:before="240" w:after="0"/>
        <w:jc w:val="left"/>
        <w:rPr>
          <w:rFonts w:ascii="Times New Roman" w:hAnsi="Times New Roman"/>
          <w:sz w:val="20"/>
        </w:rPr>
      </w:pPr>
      <w:r>
        <w:rPr>
          <w:rFonts w:ascii="Times New Roman" w:hAnsi="Times New Roman"/>
          <w:sz w:val="20"/>
        </w:rPr>
        <w:t xml:space="preserve">The rules and regulations applicable to public companies substantially increase Boundless Bio’s legal and financial compliance costs and make some activities more time consuming and costly. The increased costs decrease Boundless Bio’s net income or increase its net loss, and may require Boundless Bio to reduce expenditures in other areas of its business. For example, these rules and regulations make it more difficult and more expensive for Boundless Bio to obtain director and officer liability insurance, and Boundless Bio incurs substantial costs to maintain the same or similar coverage. The impact of these requirements could also make it more difficult for Boundless Bio to attract and retain qualified persons to serve on the Boundless Bio Board of Directors, its board committees, or as executive officers. If these requirements divert the attention of Boundless Bio’s management and personnel from other business concerns, they could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is subject to U.S. and certain foreign export and import controls, sanctions, embargoes, anti-corruption laws, and anti-money laundering laws and regulations. Boundless Bio could face criminal liability and other serious consequences for violations, which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Boundless Bio conducts or may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Boundless Bio may engage third parties for clinical trials outside of the United States, to sell its products abroad if and when Boundless Bio enters a commercialization phase, and/or to obtain necessary permits, licenses, patent registrations, and other regulatory approvals. Boundless Bio has direct or indirect interactions with officials and employees of government agencies or government-affiliated hospitals, universities, and other organizations. Boundless Bio can be held liable for the corrupt or other illegal activities of its employees, agents, CROs, contractors, and other collaborators and partners, even if Boundless Bio does not explicitly authorize or have actual knowledge of such activities, and any training or compliance programs or other initiatives Boundless Bio undertakes to prevent such activities may not be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Boundless Bio’s ability to continue activities at future clinical trial sites within regions covered by such sanctions. If Boundless Bio fails to comply with export and import regulations and such economic sanctions, penalties could be imposed, including fines and/or denial of certain export privileges. These export and import controls and economic sanctions could also adversely affect Boundless Bio’s supply chain.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any of its third-party manufacturers or suppliers may use potent chemical agents and hazardous materials, and any claims relating to improper handling, storage, or disposal of these materials could be time-consuming or costly.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any of its third-party manufacturers or suppliers and current or potential future collaborators may use biological materials, potent chemical agents, and hazardous materials, including chemicals and biological agents and compounds that could be dangerous to human health and safety of the environment. Boundless Bio’s operations and the operations of its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Boundless Bio’s product development efforts. In addition, neither Boundless Bio nor its third-party manufacturers and suppliers can eliminate the risk of accidental injury or contamination from these materials or wastes. Boundless Bio does not carry specific biological or hazardous waste insurance coverage, and its property, casualty and general liability insurance policies specifically exclude coverage for damages and fines arising from biological or hazardous waste exposure or contamination. In the event of contamination or injury at Boundless Bio’s or its manufacturers’ or suppliers’ sites, Boundless Bio could be held liable for damages or be penalized with fines in an amount exceeding its resources, and its clinical trials or regulatory approvals could be suspended. Although Boundless Bio maintains workers’ compensation insurance for certain costs and expenses, Boundless Bio may incur due to injuries to its employees resulting from work-related injuries, this insurance may not provide adequate coverage against potential liabilities. Boundless Bio does not maintain insurance for toxic tort claims that may be asserted against Boundless Bio in connection with the storage or disposal of biologic, hazardous, or radioactive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Boundless Bio may incur substantial costs in order to comply with current or future environmental, health, and safety laws and regulations, which have tended to become more stringent over time. These current or future laws and regulations may impair Boundless Bio’s research, development, or production efforts. Failure to comply with these laws and regulations also may result in substantial fines, penalties or other sanctions or liabilities, which could materially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Boundless Bio’s future revenue and financial condition and increase its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operations and the operations of its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Boundless Bio is predominantly self-insured. If Boundless Bio continues to develop any ecDTx, Boundless Bio expects to rely on third-party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manufacturers or suppliers to produce its ecDTx and its components and on CROs and clinical sites to conduct its clinical trials, and does not have a redundant source of supply for all components of its ecDTx. Boundless Bio’s ability to obtain clinical or, if approved, commercial, supplies of its ecDTx could be disrupted if the operations of these suppliers were affected by a man-made or natural disaster or other business interruption, and its ability to commence, conduct or complete its clinical trials in a timely manner could be similarly adversely affected by any of the foregoing. In addition, Boundless Bio’s corporate headquarters is located in La Jolla, California near major earthquake faults and fire zones, and the ultimate impact on Boundless Bio of being located near major earthquake faults and fire zones and being consolidated in a certain geographical area is unknown. The occurrence of any of these business disruptions could seriously harm Boundless Bio’s operations and financial condition and increase its costs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and adverse developments with respect to financial institutions and associated liquidity risk may have serious adverse consequences on Boundless Bio’s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including changes related to the U.S. and foreign governments in tariffs and trade policies affecting trade between the United States and other countries. The financial markets and the global economy may also be adversely affected by the current or anticipated impact of military conflict, including geopolitical conflict in and around Ukraine and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Boundless Bio’s general business strategy may be adversely affected by any such economic downturn, liquidity shortages, volatile business environment, changes in tariffs and trade policies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Boundless Bio’s growth strategy, financial performance and stock price and could require Boundless Bio to delay or abandon clinical development plans. In addition, there is a risk that one or more of Boundless Bio’s current service providers, financial institutions, manufacturers, and other partners may be adversely affected by the foregoing risks, which could directly affect Boundless Bio’s ability to attain its operating goals on schedule and on budget.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trade policies, including tariffs, sanctions, and trade barriers may adversely affect Boundless Bio’s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operates in a global economy, which includes utilizing third-party suppliers in countries outside the United States. There is inherent risk, based on the complex relationships among the U.S. and the countries in which Boundless Bio conducts its business, that political, diplomatic, and national security factors can lead to global trade restrictions and changes in trade policies and export regulations that may adversely affect Boundless Bio’s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Boundless Bio’s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does not own or operate manufacturing facilities and has no plans to develop its own clinical or commercial-scale manufacturing capabilities. If the Merger is not completed and Boundless Bio continues to develop any ecDTx, Boundless Bio expects to continue to rely on third parties for the manufacture of its ecDTx and related raw materials and to package, label, ship, store, and distribute its ecDTx for clinical and preclinical development, and Boundless Bio intends to rely on third parties for such services for its commercial products if its ecDTx receives regulatory approval. Boundless Bio expects to work with some suppliers located outside of the United States if Boundless Bio continues to develop any ecDTx. Boundless Bio also may rely on specialized laboratory equipment, supplies and materials, all or part of which Boundless Bio believes may be ultimately sourced from multiple countries outside the United States, to advance its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Current or future tariffs could result in increased research and development expenses, including with respect to increased costs associated with active pharmaceutical ingredients, raw materials, laboratory equipment, and other research materials and components. In addition, such tariffs could increase Boundless Bio’s supply chain complexity and could also potentially disrupt its existing supply chain. Trade restrictions affecting the import of materials necessary for clinical trials could result in delays to Boundless Bio’s development timelines. Increased development costs and extended development timelines could place Boundless Bio at a competitive disadvantage compared to companies operating entirely domestically or in regions with more favorable trade relationships and could reduce investor confidence, negatively impacting its ability to secure additional financing on favorable terms or at all. In addition, if Boundless Bio advances toward commercialization in the future, tariffs and trade restrictions could hinder its ability to establish cost-effective production capabilities, negatively impacting its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complexity of announced or future tariffs may also increase the risk that Boundless Bio or its suppliers or future customers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Boundless Bio’s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Boundless Bio from doing business directly or indirectly in or with certain countries or parties and may impose additional costs and complexity to Boundless Bio’s business. </w:t>
      </w:r>
    </w:p>
    <w:p>
      <w:pPr>
        <w:pStyle w:val="TextBody"/>
        <w:bidi w:val="0"/>
        <w:spacing w:before="240" w:after="0"/>
        <w:jc w:val="left"/>
        <w:rPr>
          <w:rFonts w:ascii="Times New Roman" w:hAnsi="Times New Roman"/>
          <w:sz w:val="20"/>
        </w:rPr>
      </w:pPr>
      <w:r>
        <w:rPr>
          <w:rFonts w:ascii="Times New Roman" w:hAnsi="Times New Roman"/>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Boundless Bio’s business, financial condition, results of operations and prospects. While Boundless Bio actively monitors these risks, any prolonged economic downturn, escalation in trade tensions, or deterioration in international perception of U.S.-based companies could materially and adversely affect Boundless Bio’s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Changes in tax law may materially adversely affect Boundless Bio’s financial condition, results of operations and cash flows, or adversely impact the value of an investment in Boundless 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or interpreted, changed, modified, or applied adversely to Boundless Bio, any of which could adversely affect its business operations and financial performance. For example, in July 2025, the U.S. government enacted the OBBBA, which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IRS and other tax authorities with respect to any legislation may affect Boundless Bio, and certain aspects of such legislation could be repealed or modified in future legislation. In addition, it is uncertain if and to what extent various states will conform to federal tax legislation. Changes in corporate tax rates, the realization of net deferred tax assets relating to Boundless Bio’s operations, and the deductibility of expenses, or future reform legislation could have a material impact on the value of Boundless Bio’s deferred tax assets, could result in significant one-time charges, and could increase Boundless Bio’s future U.S.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or publish unfavorable research or reports about Boundless Bio’s business,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Boundless Bio Common Stock depends in part on the research and reports that securities or industry analysts publish about Boundless Bio, its business, its market, or its competitors. If one or more of the analysts who covers Boundless Bio downgrades its stock, or if Boundless Bio fails to meet the expectations of one or more of these analysts, its stock price would likely decline. If one or more of these analysts ceases to cover Boundless Bio or fails to regularly publish reports on Boundless Bio, interest in its stock could decrease, which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fails to maintain proper and effective internal control over financial reporting, its ability to produce accurate and timely financial statements could be impaired, investors may lose confidence in Boundless Bio’s financial reporting, and the trading price of Boundless Bio Common Stock may decline.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404 of the Sarbanes-Oxley Act, Boundless Bio’s management is required to report upon the effectiveness of its internal control over financial reporting, and when Boundless Bio loses its status as an “emerging growth company” and does not qualify as a non-accelerated filer, its independent registered public accounting firm will be required to attest to the effectiveness of its internal control over financial reporting. The rules governing the standards that must be met for Boundless Bio’s management to assess its internal control over financial reporting are complex and require significant documentation, testing, and possible remediation. If Boundless Bio or, if required, its auditors are unable to conclude that its internal control over financial reporting is effective, investors may lose confidence in Boundless Bio’s financial reporting and the trading price of Boundless Bio Common Stock may decline.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cannot assure you that there will not be material weaknesses or significant deficiencies in its internal control over financial reporting in the future. Any failure to maintain internal control over financial reporting could severely inhibit Boundless Bio’s ability to accurately report its financial condition, results of operations or cash flows. If Boundless Bio is unable to conclude that its internal control over financial reporting is effective, or if its independent registered public accounting firm determines Boundless Bio has a material weakness or significant deficiency in its internal control over financial reporting once that firm begins its Section 404 reviews, investors may lose confidence in the accuracy and completeness of Boundless Bio’s financial reports, the market price of Boundless Bio Common Stock could decline, and Boundless Bio could be subject to legal proceedings or sanctions or investigations by Nasdaq, the SEC, or other regulatory authorities. Failure to remedy any material weakness in Boundless Bio’s internal control over financial reporting, or to implement or maintain other effective control systems required of public companies, could also restrict its future access to the capital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Boundless Bio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Boundless Bio because biotechnology and biopharmaceutical companies have experienced significant stock price volatility in recent years. If Boundless Bio faces such litigation, even if ultimately decided in its favor, it could result in substantial costs and a diversion of its management’s attention and resources, which could harm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Serapha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Serapha’s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 is a clinical-stage genetic medicines company with a limited operating history on which to assess its business; Serapha has not completed any clinical trials, and it has no products approved for commercial sale, which may make it difficult to evaluate its current business and likelihood of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Serapha is a clinical-stage genetic medicines company with limited operating history. Since its inception, Serapha has incurred operating losses with no corresponding revenue and has utilized substantially all of its resources to identify, license and develop its lead product candidate, organize and staff its company and provide other general and administrative support for its operations. Serapha has no significant experience as a company in initiating, conducting or completing preclinical studies or clinical trials. In part because of this lack of experience, Serapha cannot be certain that its clinical trials and any future preclinical studies will begin or be completed on time, if at all. In addition, Serapha has not yet demonstrated an ability to obtain regulatory approvals, manufacture a commercial-scale product or arrange for a third party to do so on its behalf, or conduct sales, marketing and distribution activities necessary for successful product commercialization. Consequently, any predictions about Serapha’s future success or viability may not be as accurate as they could be if Serapha had a longer operating history.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Serapha’s business grows, Serapha may encounter unforeseen expenses, restrictions, difficulties, complications, delays and other known and unknown factors. Serapha will need to transition at some point from a company with an early-stage clinical development focus to a company capable of supporting larger scale clinical trials and eventually commercial activities. Serapha may not be successful in such a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Merger and the Serapha Pre-Closing Financing are successful, Serapha will require substantial additional capital to finance its operations in the future. If Serapha is unable to raise such capital when needed, or on acceptable terms, Serapha may be forced to delay, reduce and/or discontinue development of SERP-01 or its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Developing biotechnology products is a long, time-consuming, expensive and uncertain process that takes years to complete. Serapha expects its expenses to increase in connection with its ongoing activities, particularly as Serapha conducts clinical trials of, and seeks regulatory approval for, SERP-01, conducts any future preclinical studies, advances discovery efforts with respect to future product candidates, and advances any future programs and product candidates that Serapha may license. Even if one or more of the product candidates that Serapha develops is approved for commercial sale, Serapha anticipates incurring significant costs associated with sales, marketing, manufacturing and distribution activities to launch any such product. Serapha’s expenses could increase beyond expectations if Serapha is required by the FDA or other regulatory agencies to perform preclinical studies or clinical trials in addition to or more expansive than those that Serapha currently anticipates. Because the design and outcome of Serapha’s planned and anticipated clinical trials are highly uncertain, Serapha cannot reasonably estimate the actual amount of funding that will be necessary to successfully complete the development and commercialization of any product candidate Serapha develops. Serapha’s future capital requirements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design, progress, results and costs of clinical development for SERP-01 and any discovery or preclinical and clinical development of future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clinical and commercial-scale manufacturing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defending and enforcing Serapha’s intellectual property and proprietary rights, and defending intellectual property-related claims, including claims of infringement, misappropriation or other violations of third-party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the regulatory review of Serapha’s product candidates and obtaining the requisite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Serapha’s future commercialization activities, either on its own or in collaboration with others, including product sales, marketing, manufacturing, and distribution for any product candidate for which Serapha receives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product candidates for which Serapha receives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Serapha’s current or future collaborations, including its collaboration with YolTech Therapeutics Co., Ltd. (“YolTech”) pursuant to the Exclusive License Agreement (the “YolTech License Agreement”) with YolTech and other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ability to establish and maintain additional collaborations on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Serapha acquires or in-licenses products,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operational, financial and management information systems and associated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Serapha will require substantial additional funding to continue its operations. As of June 30, 2026, Serapha had cash of $138.0 million ($53.0 million after giving effect to the payment to YolTech for the upfront YolTech License Agreement fee of $85.0 million). Serapha’s existing cash balance, excluding the Serapha Pre-Closing Financing, will not be sufficient to sustain planned operations through at least twelve months from the issuance date of this proxy statement/prospectus. However, Serapha estimates that the net proceeds from the Serapha Pre-Closing Financing, together with its existing cash as of the date of this proxy statement/prospectus, will be sufficient to enable Serapha to fund its operating expenses and capital expenditure requirements into      . Even if the Merger and the Serapha Pre-Closing Financing are successful, Serapha will still need to raise additional capital to continue to fund its operations in the future. If Serapha is unable to raise additional capital when needed, that could raise substantial doubt about Serapha’s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Serapha may be required to seek additional funds sooner than planned through public or private equity offerings, debt financings, collaborations and licensing arrangements or other sources, and adequate additional financing may not be available to Serapha on acceptable terms, or at all. Such financing may dilute Serapha’s stockholders, or the failure to obtain such financing may restrict Serapha’s operating activities. Any additional fundraising efforts may divert Serapha’s management from their day-to-day activities, which may adversely affect Serapha’s business. To the extent that Serapha raises additional capital through the sale of equity or convertible debt securities, the ownership interest of Serapha’s stockholders will be diluted, and the terms may include liquidation or other preferences and anti-dilution protections that adversely affect the rights of Serapha’s stockholders. Debt financing may result in the imposition of debt covenants, increased fixed payment obligations or other restrictions that may affect Serapha’s business. If Serapha raises additional funds through upfront payments or milestone payments pursuant to current or future collaborations with third parties, Serapha may have to relinquish valuable rights to Serapha’s product candidates, or grant licenses on terms that are not favorable to Serapha. Serapha’s ability to raise additional capital may be adversely impacted by global macroeconomic conditions, including geopolitical instability and changes in trade policy and tariffs, and volatility in the credit and financial markets in the United States and worldwide. Serapha’s failure to raise capital as and when needed or on acceptable terms would have a negative impact on Serapha’s financial condition and Serapha’s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pursue its business strategy, and Serapha may have to delay, reduce the scope of, suspend or eliminate one or more of its product candidates, clinical trials or future commercialization efforts or cease Serapha’s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expects to continue to incur losses for the foreseeable future and may not be able to achieve or sustain profitability in the future. Serapha has no products approved for sale, has not generated any revenue from its product candidates and may never generate revenue or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Serapha has no products approved for commercial sale, has not generated any revenue from product sales to date, and continues to incur significant research and development and other expenses related to Serapha’s ongoing operations. Serapha does not expect to generate product revenue unless or until Serapha successfully completes preclinical and clinical development and obtains regulatory approval of, and then successfully commercializes, at least one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 may never succeed in these activities and, even if it does, may never generate revenues that are significant or large enough to achieve profitability. If Serapha is unable to raise sufficient additional capital to advance a product candidate to commercialization or generate sufficient revenue through the sale of any approved products, Serapha may be unable to continue operations without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Serapha has incurred significant net losses in each period since it commenced operations in April 2026. Serapha generated net losses of $170.1 million for the period from April 2, 2026 (inception) to June 30, 2026. As of June 30, 2026, Serapha had an accumulated deficit of $170.1 million. Serapha expects to continue to incur losses for the foreseeable future. Serapha’s operating expenses and net losses may fluctuate significantly from quarter to quarter and year to year. Serapha anticipates that its expenses will increase substantially if and as Serapha: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advances its existing and any future product candidates through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Serapha’s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Serapha’s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establish and maintain additional collaborations and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payments to YolTech under the YolTech License Agreement, and under any additional future collaboration or license agreements that Serapha enters into;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drug products for which Serapha may obtain regulatory approval, either on its own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Serapha receives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personnel, including research and development, clinical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Serapha’s product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clinical and commercial-scale current good manufacturing practice (“cGMP”) capabilities through a third-party or Serapha’s own manufacturing facility;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operates as a public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Serapha’s expenses will increase if, among other things, it is required by the FDA or other regulatory authorities to perform clinical trials or studies in addition to, or different than, those that Serapha currently anticipates, there are any delays in completing Serapha’s clinical trials or the development of any of its product candidates, or there are any third-party challenges to Serapha’s intellectual property or Serapha needs to defend against any intellectual property-related claim. </w:t>
      </w:r>
    </w:p>
    <w:p>
      <w:pPr>
        <w:pStyle w:val="TextBody"/>
        <w:bidi w:val="0"/>
        <w:spacing w:before="240" w:after="0"/>
        <w:jc w:val="left"/>
        <w:rPr>
          <w:rFonts w:ascii="Times New Roman" w:hAnsi="Times New Roman"/>
          <w:sz w:val="20"/>
        </w:rPr>
      </w:pPr>
      <w:r>
        <w:rPr>
          <w:rFonts w:ascii="Times New Roman" w:hAnsi="Times New Roman"/>
          <w:sz w:val="20"/>
        </w:rPr>
        <w:t xml:space="preserve">Even if Serapha obtains regulatory approval for, and is successful in commercializing, one or more of Serapha’s product candidates, Serapha expects to incur substantial additional research and development and other expenditures to develop and market additional product candidates and/or to expand the approved indications of any marketed product. Serapha may encounter unforeseen expenses, difficulties, complications, delays and other unknown factors that may adversely affect its business. The size of Serapha’s future net losses will depend, in part, on the rate of future growth of Serapha’s expenses and its ability to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Serapha’s failure to become profitable would decrease its value and could impair its ability to raise capital, maintain its research and development efforts, expand its business and/or continue its operations. A decline in the value of the Combined Company’s stock could also cause stockholders to lose all or part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Serapha’s Discovery, Development and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 faces competition from entities that have developed or may develop product candidates for the diseases addressed by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drugs is highly competitive, particularly in the field of genetic medicines and in the treatment of alpha-1 antitrypsin deficiency (“AATD”). SERP-01, if approved, will face significant competition and Serapha’s failure to effectively compete may prevent Serapha from achieving significant market penetration. Serapha competes with a variety of multinational biopharmaceutical companies, specialized biotechnology companies and emerging biotechnology companies, including companies that market approved augmentation therapies for AATD, such as Grifols, S.A., Takeda Pharmaceutical Company Limited and CSL Behring, companies developing genetic medicines for AATD, such as Beam Therapeutics Inc., CRISPR Therapeutics AG and Tessera Therapeutics, Inc. (in collaboration with Regeneron Pharmaceuticals, Inc.), companies pursuing RNA-based approaches, such as Wave Life Sciences Ltd. and Arrowhead Pharmaceuticals, Inc. (in collaboration with Takeda Pharmaceutical Company Limited), as well as academic institutions, governmental agencies, and public and private research institutions, among others. Many of the companies with which Serapha is currently competing or will compete against in the future have significantly greater financial resources and expertise in research and development, manufacturing, preclinical testing, conducting clinical trials, obtaining regulatory approvals, and regulatory-approved products than Serapha does, and are further along in the clinical development and/or commercialization process. Mergers and acquisitions in the pharmaceutical and biotechnology industry may result in even more resources being concentrated among a smaller number of Serapha’s competitors. Smaller or early-stage companies may also prove to be significant competitors, particularly through collaborative arrangements with large and established companies. For example, several of Serapha’s competitors are collaborations between larger pharmaceutical companies and genetic-medicines companies, including the collaborations between Regeneron Pharmaceuticals, Inc. and Tessera Therapeutics, Inc., and between Takeda Pharmaceutical Company Limited and Arrowhead Pharmaceuticals, Inc. These competitors also compete with Serapha in recruiting and retaining qualified scientific and management personnel, establishing clinical trial sites, raising capital, patient registration for clinical trials, establishing and defending rights to intellectual property, as well as in acquiring technologies complementary to, or necessary for, Serapha’s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Serapha’s competitors have developed or are developing, and may in the future develop, product candidates or products competitive with Serapha’s product candidates. Competitive therapeutic treatments include those that have already been approved and accepted by the medical community and any potential new treatments, including those currently under clinical development. Serapha’s success will depend partially on its ability to develop and commercialize products that have a competitive safety, efficacy, dosing and/or presentation profile. Serapha’s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 opportunity and success will be reduced or eliminated if competing products are safer, more effective, have a more attractive dosing profile or presentation or are less expensive than the products Serapha develops, or if Serapha’s competitors develop competing products or biosimilars that enter the market more quickly than Serapha does and are able to gain market acceptance. Conversely, the lack of commercial success of other competing therapies may raise concerns about the financial viability of Serapha’s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the competitive landscape for genetic diseases, including AATD, Serapha may also face competition for establishing trial sites and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Serapha’s product candidates. An increase in the number of approved products for the indications Serapha is targeting with its product candidates will likely further exacerbate this competition. Serapha’s inability to enroll a sufficient number of patients could, among other impacts, delay Serapha’s development timeline, which may further harm Serapha’s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SERP-01 is in the clinical stages of development and SERP-01 and Serapha’s future product candidates may fail in development or suffer delays that materially and adversely affect Serapha’s viability. If Serapha or its current or future collaborators are unable to complete development of or commercialize Serapha’s product candidates, or experience significant delays in doing so, Serapha’s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Serapha has no commercially approved products. SERP-01 is in the clinical stages of development, and Serapha has not completed any clinical trials. As a result, Serapha expects it will be many years before Serapha commercializes any product candidate, if ever. Serapha’s ability to achieve and sustain profitability depends on obtaining regulatory approvals for, and successfully commercializing, Serapha’s product candidates, either alone or with third parties, and Serapha cannot guarantee you that it will ever obtain regulatory approval for any of its product candidates. Serapha has not yet demonstrated its ability to complete any clinical trials, obtain regulatory approvals, manufacture a commercial-scale product or arrange for a third party to do so on Serapha’s behalf, or conduct sales and marketing activities necessary for successful product commercialization. Before obtaining regulatory approval for the commercial distribution of any product candidate, Serapha or an existing or future collaborator must conduct extensive preclinical tests and clinical trials to demonstrate the safety and efficacy in humans of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Serapha or its collaborators may experience delays in initiating or completing preclinical studies or clinical trials. Serapha or its collaborators also may experience numerous unforeseen events during, or as a result of, any future preclinical studies or clinical trials that Serapha could conduct that could delay or prevent Serapha’s ability to receive regulatory approval or commercialize its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such as the FDA, institutional review boards (“IRBs”) or comparable foreign regulatory authorities, may not authorize Serapha or its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may deviate from the trial protocol, fail to conduct trials in a compliant manner or drop out of a trial, which may require that Serapha add new clinical trial sites or investigators or otherwise negatively impact the timing or integrity of Serapha’s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 may fail to show safety or efficacy, or may produce negative or inconclusive results and Serapha may decide, or regulators may require Serapha, to conduct additional preclinical studies or clinical trials or Serapha may decide to abandon a product candidate;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required for clinical trials of any product candidates may be larger than Serapha anticipates, enrollment in these clinical trials may be slower than Serapha anticipates or subjects may drop out of these clinical trials or fail to return for post-treatment follow-up at a higher rate than Serapha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third-party contractors may fail to comply with regulatory requirements or meet their contractual obligations to Serapha in a timely manner, or at all, or may deviate from the clinical trial protocol or suffer other quality or performance issues that negatively impact the timing or integrity of Serapha’s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may elect to, or regulators, IRBs or ethics committees may require, that Serapha or its investigators, suspend or terminate clinical research or trials for various reasons, including noncompliance with regulatory requirements or a finding that the participants in Serapha’s clinical trials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any of Serapha’s product candidates may be greater than Serapha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of Serapha’s product candidates or other materials necessary to conduct clinical trials of Serapha’s product candidates may be inadequate to initiate or successfully complete a given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may be unable to manufacture sufficient quantities of its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from clinical testing of other therapies may raise safety or efficacy concerns about Serapha’s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may fail to establish an appropriate safety profile for a product candidate based on clinical or preclinical data for such product candidates as well as data emerging from other therapies in the same class as Serapha’s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Serapha to submit additional data, such as long-term toxicology studies, or impose other requirements before permitting Serapha to initiate a clinical trial.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Commencing clinical trials in the United States is subject to acceptance by the FDA of an investigational new drug application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Serapha to complete additional preclinical studies or Serapha is required to satisfy other FDA or foreign regulatory authority requests prior to commencing clinical trials, the start of Serapha’s first clinical trial for a product candidate may be delayed. Although the FDA has cleared the IND permitting the initiation of the U.S. Phase 2/3 clinical trial of SERP-01, the FDA may impose a clinical hold or require additional information, studies or protocol modifications before or after the trial commences. Even after Serapha receives and incorporates guidance from these regulatory authorities, the FDA or other regulatory authorities could disagree as to whether Serapha has satisfied their requirements to commence any clinical trial or change their position on the acceptability of Serapha’s trial design or the clinical endpoints selected, which may require Serapha to complete additional preclinical studies or clinical trials, delay the enrollment of Serapha’s clinical trials or impose stricter approval conditions than Serapha currently expects. There are analogous processes and risks applicable to clinical trial applications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Serapha may not have the financial resources to continue development of its product candidates if Serapha experiences any issues that delay or prevent regulatory approval of, or Serapha’s ability to commercialize, its product candidates. Serapha or its current or future collaborators’ inability to complete development of, or commercialize, Serapha’s product candidates, or significant delays in doing so, could have a material and adverse effect on Serapha’s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 is substantially dependent on the success of SERP-01, and Serapha’s anticipated future clinical trials of such product candidate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Serapha’s future success is substantially dependent on its ability to timely obtain regulatory approval for, and then successfully commercialize, SERP-01. Serapha is initially investing a majority of its efforts and financial resources into the research and development of this product candidate. Serapha intends to initiate a U.S. Phase 2/3 clinical trial of SERP-01 in patients with AATD, building on the ongoing investigator-initiated trial of SERP-01 being conducted at Renji Hospital in Shanghai, China, in collaboration with Hannover Medical School in Hanover, Germany. In March 2026, the FDA cleared the IND for SERP-01 submitted by YolTech, permitting the U.S. Phase 2/3 clinical trial of SERP-01. Pursuant to the YolTech License Agreement, YolTech transferred sponsorship of the IND to Serapha, and Serapha currently expects to initiate that trial in late 2026 or early 2027. Clearance of an IND does not mean that the FDA has agreed with Serapha’s proposed trial design, dose selection or endpoints, that the trial will be initiated or completed on Serapha’s anticipated timeline, or that any resulting data will be adequate to support registration. The success of SERP-01 is dependent on SERP-01 achieving a precise, durable correction of the SERPINA1 E342K (Z) mutation in hepatocytes that restores production of functional M-AAT and reduces misfolded Z-AAT, with an acceptable safety and tolerability profile. To the extent Serapha does not observe adequate and durable restoration of functional serum AAT, or does not observe an acceptable safety, tolerability, pharmacokinetic and pharmacodynamic profile, in Serapha’s planned clinical trials of SERP-01 or in additional clinical trials, it would significantly and adversely affect the clinical and commercial potential of SERP-01. </w:t>
      </w:r>
    </w:p>
    <w:p>
      <w:pPr>
        <w:pStyle w:val="TextBody"/>
        <w:bidi w:val="0"/>
        <w:spacing w:before="240" w:after="0"/>
        <w:jc w:val="left"/>
        <w:rPr>
          <w:rFonts w:ascii="Times New Roman" w:hAnsi="Times New Roman"/>
          <w:sz w:val="20"/>
        </w:rPr>
      </w:pPr>
      <w:r>
        <w:rPr>
          <w:rFonts w:ascii="Times New Roman" w:hAnsi="Times New Roman"/>
          <w:sz w:val="20"/>
        </w:rPr>
        <w:t xml:space="preserve">Serapha’s product candidates will require additional clinical development, evaluation of clinical, preclinical and manufacturing activities, regulatory approval in multiple jurisdictions, substantial investment and significant marketing efforts before Serapha generates any revenues from product sales. Serapha is not permitted to market or promote these product candidates, or any other product candidates, before Serapha receives regulatory approval from the FDA and comparable foreign regulatory authorities, and Serapha may never receive such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Serapha’s product candidates will depend on a variety of factors. Serapha does not have complete control over many of these factors, including certain aspects of clinical development and the regulatory submission process, potential threats to Serapha’s intellectual property rights, potential threats from the intellectual property rights of third parties and the manufacturing, marketing, distribution and sales efforts of any current or future collaborator. Accordingly, Serapha cannot assure you that it will ever be able to generate revenue through the sale of these product candidates, even if approved. If Serapha is not successful in obtaining regulatory approval and commercializing SERP-01 or future product candidates, or is significantly delayed in doing so, Serapha’s business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SERP-01 is based on a novel base-editing technology, and few genome-editing products have been approved, which makes the likelihood, timing and cost of successful development, regulatory approval and commercialization uncertain. </w:t>
      </w:r>
    </w:p>
    <w:p>
      <w:pPr>
        <w:pStyle w:val="TextBody"/>
        <w:bidi w:val="0"/>
        <w:spacing w:before="120" w:after="0"/>
        <w:jc w:val="left"/>
        <w:rPr>
          <w:rFonts w:ascii="Times New Roman" w:hAnsi="Times New Roman"/>
          <w:sz w:val="20"/>
        </w:rPr>
      </w:pPr>
      <w:r>
        <w:rPr>
          <w:rFonts w:ascii="Times New Roman" w:hAnsi="Times New Roman"/>
          <w:sz w:val="20"/>
        </w:rPr>
        <w:t xml:space="preserve">SERP-01 uses </w:t>
      </w:r>
      <w:r>
        <w:rPr>
          <w:rFonts w:ascii="Times New Roman" w:hAnsi="Times New Roman"/>
          <w:i/>
          <w:sz w:val="20"/>
        </w:rPr>
        <w:t>in vivo</w:t>
      </w:r>
      <w:r>
        <w:rPr>
          <w:rFonts w:ascii="Times New Roman" w:hAnsi="Times New Roman"/>
          <w:sz w:val="20"/>
        </w:rPr>
        <w:t xml:space="preserve"> adenine base editing, a novel form of genome editing, to make a permanent change to a patient’s DNA. Genome editing is a relatively new technology, and only a limited number of genome-editing or gene therapy products have been approved by the FDA or comparable foreign regulatory authorities to date. As a result, there is limited long-term clinical experience with, and an evolving regulatory framework for, products of this kind, and the FDA and comparable foreign regulatory authorities may apply new or additional requirements, or lengthy and unpredictable review processes, to SERP-01. Adverse developments, clinical setbacks, safety concerns or negative regulatory determinations involving other companies’ genome-editing or gene therapy product candidates, even if unrelated to SERP-01, could adversely affect the perception and regulatory treatment of SERP-01, increase regulatory scrutiny of Serapha’s programs, and harm Serapha’s ability to develop and commercialize SERP-01.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SERP-01 is designed to make a permanent, one-time edit to a patient’s genome that cannot be reversed, and any adverse effects may be irreversible and could persist for the life of the patient. </w:t>
      </w:r>
    </w:p>
    <w:p>
      <w:pPr>
        <w:pStyle w:val="TextBody"/>
        <w:bidi w:val="0"/>
        <w:spacing w:before="120" w:after="0"/>
        <w:jc w:val="left"/>
        <w:rPr>
          <w:rFonts w:ascii="Times New Roman" w:hAnsi="Times New Roman"/>
          <w:sz w:val="20"/>
        </w:rPr>
      </w:pPr>
      <w:r>
        <w:rPr>
          <w:rFonts w:ascii="Times New Roman" w:hAnsi="Times New Roman"/>
          <w:sz w:val="20"/>
        </w:rPr>
        <w:t xml:space="preserve">SERP-01 is administered as a single, one-time intravenous course of treatment and is designed to make a permanent change to the SERPINA1 gene in a patient’s hepatocytes. Unlike therapies that are administered on a chronic basis and can be discontinued if a patient experiences adverse effects, the genomic changes made by SERP-01 cannot be removed, corrected or reversed once they have occurred. If unexpected, serious or long-term adverse effects emerge, whether from the intended edit, from unintended edits, from the base-editing machinery or from the delivery system, Serapha may be unable to reverse or mitigate those effects, and affected patients could suffer serious harm that persists for the remainder of their lives. The irreversible nature of SERP-01 may also make patients, clinicians, institutional review boards and regulators more cautious about initiating clinical trials or adopting the product, if approved, and could increase Serapha’s exposure to product liability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Serapha does not achieve its projected development objectives in the time frames Serapha announces and expects, the commercialization of its product candidates may be delayed, which may harm Serapha’s reputation and prospects, increase its expenses and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Serapha estimates the timing of the anticipated accomplishment of various scientific, clinical, regulatory and other product development goals, which Serapha sometimes refers to as milestones. These milestones may include the commencement or completion of scientific studies and clinical trials, such as the expected timing for the initiation of Serapha’s U.S. Phase 2/3 clinical trial of SERP-01 in patients with AATD, which Serapha currently expects to initiate in late 2026 or early 2027, the timing for receipt of clinical data from Serapha’s clinical trials of SERP-01 and the timing for the submission of regulatory filings. From time to time, Serapha may publicly announce the expected timing of some of these milestones. All of these milestones are and will be based on numerous assumptions. The actual timing of these milestones can vary dramatically compared to Serapha’s estimates, in many cases for reasons beyond Serapha’s control. If Serapha does not meet these milestones as publicly announced, or at all, Serapha’s prospects and reputation may be adversely affected and the Combined Company’s stock price may decline. Additionally, delays relative to Serapha’s projected timelines are likely to cause overall expenses to increase, which may require Serapha to raise additional capital sooner than expected and prior to achieving targeted development milestones.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projections regarding the market opportunities for its product candidates may not be accurate, and the actual market for Serapha’s products may be smaller than Serapha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precise incidence and prevalence for all the conditions Serapha aims to address with its product candidates are unknown. Serapha’s projections of both the number of people who have these diseases, as well as the subset of people with these diseases who have the potential to benefit from treatment with Serapha’s product candidates, are based on Serapha’s beliefs and estimates. These estimates have been derived from a variety of sources, including sales of Serapha’s competitors, scientific literature, surveys of clinics, patient foundations or market research, and may prove to be incorrect in general, or as to their applicability to Serapha. Further, new trials may change the estimated incidence or prevalence of these diseases. The total addressable market across all of Serapha’s product candidates will ultimately depend upon, among other things, the diagnosis criteria included in the final labeling for each of Serapha’s product candidates approved for sale for these indications, the ability of Serapha’s product candidates to improve on the safety, convenience, cost and efficacy of competing therapies or therapies in development, acceptance by the medical community and patients, drug pricing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Serapha intends to initially seek regulatory approval of SERP-01 as a treatment for patients with the severe, PiZZ form of AATD. The number of patients in the United States and other major markets may turn out to be lower than expected, patients may not be otherwise amenable to treatment with Serapha’s product candidates or new patients may become increasingly difficult to identify or gain access to, all of which would adversely affect Serapha’s business, financial condition, results of operations and prospects. Serapha may be unable to penetrate the existing AATD market and successfully commercialize its product candidates, if approved. Further, even if Serapha obtains significant market share for Serapha’s product candidates, because some of its potential target populations are very small, Serapha may never achieve profitability despite obtaining such significant market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market for AATD therapies may fail to continue its growth, or may shrink, which could affect the commercial viability of Serapha’s product candidates and could negatively impact revenues from any approved products. For example, the market for existing augmentation therapies may contract, and this could cause Serapha’s business to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involves a lengthy and expensive process that is subject to delays and with uncertain outcomes, and results of earlier studies and trials may not be predictive of future clinical trial results. If Serapha’s clinical trials and any future preclinical studies are not sufficient to support regulatory approval of any of its product candidates, Serapha may incur additional costs or experience delays in completing, or ultimately be unable to complete, the development of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 from regulatory authorities for the sale of any product candidate, Serapha must conduct extensive clinical trials to demonstrate the safety and efficacy of Serapha’s product candidate in humans. Serapha’s clinical trials may not be conducted as planned or completed on schedule, if at all, and failure can occur at any time during the preclinical study or clinical trial process.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 cannot be sure that the FDA or comparable foreign regulatory authorities will agree with Serapha’s clinical development plans. If the FDA or comparable foreign regulatory authorities require Serapha to conduct additional trials or enroll additional patients, Serapha’s development timelines may be delayed. Although the FDA cleared the IND for SERP-01 permitting initiation of a U.S. Phase 2/3 clinical trial, Serapha cannot be sure that other submissions of an IND, or clearance of an IND, or similar foreign applications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hAnsi="Times New Roman"/>
          <w:i/>
          <w:sz w:val="20"/>
        </w:rPr>
        <w:t xml:space="preserve">in vivo </w:t>
      </w:r>
      <w:r>
        <w:rPr>
          <w:rFonts w:ascii="Times New Roman" w:hAnsi="Times New Roman"/>
          <w:sz w:val="20"/>
        </w:rPr>
        <w:t xml:space="preserve">or </w:t>
      </w:r>
      <w:r>
        <w:rPr>
          <w:rFonts w:ascii="Times New Roman" w:hAnsi="Times New Roman"/>
          <w:i/>
          <w:sz w:val="20"/>
        </w:rPr>
        <w:t xml:space="preserve">in vitro </w:t>
      </w:r>
      <w:r>
        <w:rPr>
          <w:rFonts w:ascii="Times New Roman" w:hAnsi="Times New Roman"/>
          <w:sz w:val="20"/>
        </w:rPr>
        <w:t xml:space="preserve">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Serapha’s product candidates for use in clinical trials or the inability to do any of the foregoing; failure by Serapha’s CROs, other third parties or Serapha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Serapha’s contract development manufacturing organizations (“CDMOs”) or Serapha to make any necessary changes to such manufacturing process; and third parties being unwilling or unable to satisfy their contractual obligations to Serapha. </w:t>
      </w:r>
    </w:p>
    <w:p>
      <w:pPr>
        <w:pStyle w:val="TextBody"/>
        <w:bidi w:val="0"/>
        <w:spacing w:before="240" w:after="0"/>
        <w:jc w:val="left"/>
        <w:rPr>
          <w:rFonts w:ascii="Times New Roman" w:hAnsi="Times New Roman"/>
          <w:sz w:val="20"/>
        </w:rPr>
      </w:pPr>
      <w:r>
        <w:rPr>
          <w:rFonts w:ascii="Times New Roman" w:hAnsi="Times New Roman"/>
          <w:sz w:val="20"/>
        </w:rPr>
        <w:t xml:space="preserve">Serapha could also encounter delays if a clinical trial is suspended or terminated by Serapha,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Serapha’s clinical trial protocols, inspection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Serapha is required to conduct additional clinical trials or other testing of its product candidates beyond those that Serapha currently contemplates, if Serapha is unable to successfully complete clinical trials of its product candidates, if the results of these trials are not positive or are only moderately positive or if there are safety concerns, Serapha’s business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find it difficult to enroll and maintain patients in its clinical trials, in part due to the limited number of patients and significant competition for patients who have the diseases for which SERP-01 is being developed. If Serapha encounters difficulties enrolling patients in its expected clinical trial of SERP-01 or other future clinical trials, Serapha’s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Serapha may experience difficulties in patient enrollment in its future clinical trials for a variety of reasons. The timely completion of clinical trials in accordance with their protocols depends, among other things, on Serapha’s ability to enroll a sufficient number of patients who remain in the trial until its conclusion. In particular, because Serapha is initially focused on developing product candidates for indications for which there is significant competition for recruiting patients, Serapha may encounter challenges for patient enrollment when Serapha commences clinical trials for its product candidates. Further, plasma-derived augmentation therapy is the current approved treatment option directed at the underlying AAT deficiency, other genetic-medicine and RNA-based product candidates for AATD are in clinical development, and patients may decide, or physicians may recommend, to use approved treatments or to enroll in competitors’ clinical trials instead of enrolling in Serapha’s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enrollment of patients in future trials for any of Serapha’s product candidates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efficacy of approved drugs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eligibility and exclusion criteria for the trial in question;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and clinicians’ 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patients choose to enroll in clinical trials, rather than using approved products, or if Serapha’s competitors have ongoing clinical trials for product candidates that are under development for the same indications as Serapha’s product candidates, and patients instead enroll in such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of prospective patients by clinical trial sites.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number of patients required for clinical trials of Serapha’s product candidates may be larger than Serapha anticipates. Even if Serapha is able to enroll a sufficient number of patients for its future clinical trials, Serapha may have difficulty maintaining patients in its clinical trials. Serapha’s inability to enroll or maintain a sufficient number of patients would result in significant delays in completing clinical trials or receipt of regulatory approvals and increased development costs or may require Serapha to abandon one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altogether, which could cause Serapha’s value to decline, limit its ability to obtain additional financing and otherwise harm Serapha’s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“topline” or interim data from Serapha’s clinical trials that Serapha announces or publishes from time to time may change as more patient data become available and are subject to audit and verification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Serapha may publicly disclose preliminary or topline data from its future preclinical studies and clinical trials, which are based on a preliminary analysis of then-available data. The results and related findings and conclusions are subject to change following a more comprehensive review of the data. Serapha also makes assumptions, estimations, calculations and conclusions as part of its analyses of these data without the opportunity to fully and carefully evaluate complete data. As a result, the preliminary or topline results that Serapha reports may differ from future results of the same studies, or different conclusions or considerations may qualify such results, once additional data have been received and fully evaluated or subsequently made subject to audit and verification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Any preliminary or topline data should be viewed with caution until the final data are available. From time to time, Serapha may also disclose interim data from its future preclinical studies and clinical trials. Interim data are subject to the risk that one or more of the clinical outcomes may materially change as patient enrollment continues and more patient data become available or as patients from Serapha’s clinical trials continue other treatments. Further, others, including regulatory authorities, may not accept or agree with Serapha’s assumptions, estimates, calculations, conclusions or analyses or may interpret or weigh the importance of data differently, which could impact the value of the particular product candidate, the approvability or commercialization of the particular product candidate and of Serapha as a company. In addition, the information Serapha chooses to publicly disclose regarding a particular preclinical study or clinical trial is based on what is typically extensive information, and you or others may not agree with what Serapha determines is material or otherwise appropriate information to include in Serapha’s disclosure. As a result, you or others may have reached different conclusions based on such extensive information in comparison to Serapha’s publicly disclosed conclusion regarding a particular preclinical study or clinical trial. If the preliminary, topline or interim data that Serapha reports differ from actual results, or if others, including regulatory authorities, disagree with the conclusions reached, Serapha’s ability to obtain approval for, and commercialize, Serapha’s product candidates may be harmed, which could harm Serapha’s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future clinical trials or those of its current or future collaborators may reveal significant adverse events or undesirable side effects not observed in previously conducted preclinical studies or clinical trials and may result in a safety profile that could halt clinical development, inhibit regulatory approval or limit commercial potential or market acceptance of any of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of Serapha’s clinical trials could reveal a high or unacceptable severity and prevalence of side effects, adverse events or unexpected characteristics. Serapha has not yet completed any clinical trials in humans. If significant adverse events or other side effects are observed in any of Serapha’s future clinical trials, Serapha may have difficulty recruiting patients to such trials, patients may drop out of Serapha’s trials, or Serapha may be required to abandon the trials or Serapha’s development efforts of one or more product candidates altogether. For example, clinical trials of LNP-delivered base-editing product candidates have reported adverse events following dosing, including transient elevations in liver enzymes, some of which have been severe, and it is possible that patients in Serapha’s future clinical trials could exhibit hepatic or other adverse events, including adverse events attributable to the base-editing mechanism, the lipid nanoparticle delivery system or unintended off-target or bystander edits, that were not observed in the small number of patients dosed to date. Serapha,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SERP-01’s tolerability versus other therapies. Treatment-emergent adverse events could also affect patient recruitment or the ability of enrolled subjects to complete Serapha’s clinical trials or could result in potential product liability claims. Potential side effects associated with Serapha’s product candidates may not be appropriately recognized or managed by the treating medical staff, as toxicities resulting from Serapha’s product candidates may not be normally encountered in the general patient population and by medical personnel. Any of these occurrences could harm Serapha’s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Serapha successfully advances its product candidates or any future product candidate through clinical trials, such trials will only include a limited number of patients and limited duration of exposure to Serapha’s product candidates. As a result, Serapha cannot be assured that adverse effects of Serapha’s product candidates will not be uncovered when a significantly larger number of patients are exposed to the product candidate after approval. Further, any clinical trials may not be sufficient to determine the effect and safety consequences of using Serapha’s product candidates over a multi-year period. </w:t>
      </w:r>
    </w:p>
    <w:p>
      <w:pPr>
        <w:pStyle w:val="TextBody"/>
        <w:bidi w:val="0"/>
        <w:spacing w:before="240" w:after="0"/>
        <w:jc w:val="left"/>
        <w:rPr>
          <w:rFonts w:ascii="Times New Roman" w:hAnsi="Times New Roman"/>
          <w:sz w:val="20"/>
        </w:rPr>
      </w:pPr>
      <w:r>
        <w:rPr>
          <w:rFonts w:ascii="Times New Roman" w:hAnsi="Times New Roman"/>
          <w:sz w:val="20"/>
        </w:rPr>
        <w:t xml:space="preserve">If any of the foregoing events occur or if one or more of Serapha’s product candidates prove to be unsafe, Serapha’s entire pipeline could be affected, any of which would have a material adverse effect on Serapha’s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expend its limited resources to pursue a particular product candidate and fail to capitalize on product candidates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Serapha has limited financial and managerial resources, Serapha is focusing its research and development efforts on its lead product candidate, SERP-01. As a result, Serapha may forgo or delay pursuit of opportunities with other product candidates that later prove to have greater commercial potential. Serapha’s resource allocation decisions may cause Serapha to fail to capitalize on viable commercial products or profitable market opportunities. Serapha’s spending on current and future research and development product candidates for specific indications may not yield any commercially viable product candidates. If Serapha does not accurately evaluate the commercial potential or target market for a particular product candidate, Serapha may relinquish valuable rights to that product candidate through collaboration, licensing or other royalty arrangements in cases in which it would have been more advantageous for Serapha to retain sole development and commercialization rights to such product candidate. In addition, Serapha may select product candidates amongst a variety of potential product candidates, and the product candidates Serapha selects may fail to be viable commercial products or the product candidates Serapha does not select may have a greater likelihood of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SERP-01 or any future product candidates are approved, such products may not achieve adequate market acceptance among clinicians, patients, healthcare third-party payors and others in the medical community necessary for commercial success and Serapha may not generate any future revenue from the sale or licensing of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if regulatory approval is obtained for SERP-01 or one of Serapha’s future product candidates, Serapha may not gain market acceptance among physicians, healthcare professionals, patients, healthcare payors or the medical community. Serapha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Serapha’s control. The only approved therapies directed at the underlying AAT deficiency are plasma-derived augmentation therapies, and a number of companies are developing genetic medicines and RNA-based product candidates for AATD, several of which are more advanced in clinical development than SERP-01. SERP-01 is a novel, one-time, </w:t>
      </w:r>
      <w:r>
        <w:rPr>
          <w:rFonts w:ascii="Times New Roman" w:hAnsi="Times New Roman"/>
          <w:i/>
          <w:sz w:val="20"/>
        </w:rPr>
        <w:t>in vivo</w:t>
      </w:r>
      <w:r>
        <w:rPr>
          <w:rFonts w:ascii="Times New Roman" w:hAnsi="Times New Roman"/>
          <w:sz w:val="20"/>
        </w:rPr>
        <w:t xml:space="preserve"> genome-editing therapy that makes a permanent change to a patient’s DNA, and market participants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influence over acceptance of new treatments, such as clinicians and third-party payors, may be hesitant to adopt a permanent, irreversible genome-editing therapy, or may prefer chronic therapies that can be discontinued, for Serapha’s targeted indication, and Serapha may not be able to convince the medical community and third-party payors to accept and use, or to provide favorable reimbursement for, any product candidates developed by Serapha or its existing or future collaborators. Market acceptance of Serapha’s product candidates may be negatively impacted by potential poor performance of Serapha’s competitors, including the occurrence of serious adverse events in such competitors’ clinical trials or failure by such competitors to obtain and maintain regulatory approval for their product candidates. Additionally, Serapha’s predictions regarding market acceptance or competitive profile with respect to SERP-01 may not be accurate and other competitive products may instead gain and hold the applicable market. Sales of medical products also depend on the willingness of clinicians to prescribe the treatment. Serapha cannot predict whether clinicians, clinicians’ organizations, hospitals, other healthcare providers, government agencies or private insurers will determine that Serapha’s product is safe, therapeutically effective, cost-effective or less burdensome as compared with competing treatments. If any current or future product candidate is approved but does not achieve an adequate level of acceptance by such parties, Serapha may not generate or derive sufficient revenue from that product candidate and may not become or remain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plan to conduct clinical trials for product candidates at sites outside the United States, and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YolTech is conducting the ongoing investigator-initiated trial at Renji Hospital in Shanghai, China, in collaboration with Hannover Medical School in Hanover, Germany, evaluating the safety, tolerability and pharmacodynamic activity of SERP-01 in patients with PiZZ AATD, and Serapha may choose to conduct one or more of its future clinical trials outside the United States in whole or in part.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Serapha’s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Serapha’s development of the applicable product candidates or delay or prevent regulatory approval for commercialization in the applicable jurisdiction. Even if the FDA or any comparable foreign regulatory authority accepted such data, it could require Serapha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Serapha’s clinical trials. These risks include the failure of enrolled patients in foreign countries to adhere to clinical protocol as a result of differences in healthcare services or cultural customs that could restrict or limit Serapha’s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Serapha’s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 relies on collaborations and licensing arrangements with third parties, including YolTech. If Serapha is unable to maintain these collaborations or licensing arrangements, or if these collaborations or licensing arrangements are not successful, Serapha’s business could be negatively impacted. </w:t>
      </w:r>
    </w:p>
    <w:p>
      <w:pPr>
        <w:pStyle w:val="TextBody"/>
        <w:bidi w:val="0"/>
        <w:spacing w:before="120" w:after="0"/>
        <w:jc w:val="left"/>
        <w:rPr>
          <w:rFonts w:ascii="Times New Roman" w:hAnsi="Times New Roman"/>
          <w:sz w:val="20"/>
        </w:rPr>
      </w:pPr>
      <w:r>
        <w:rPr>
          <w:rFonts w:ascii="Times New Roman" w:hAnsi="Times New Roman"/>
          <w:sz w:val="20"/>
        </w:rPr>
        <w:t xml:space="preserve">Serapha relies on its collaboration with a third party, YolTech, for the rights necessary to develop and commercialize SERP-01 outside of Greater China. In the future, Serapha could also rely on additional licensing arrangements with third parties. For example, Serapha has entered into the YolTech License Agreement. However, YolTech could terminate the YolTech License Agreement under certain circumstances, including Serapha’s failure to make any payments owed to YolTech under the agreement or any uncured material breach of the agreement by Serapha, as well as certain patent challenges by Serapha or its affiliates or sublicensees, or specified periods of inactivity, in which event Serapha may lose intellectual property rights and may not be able to develop or commercialize SERP-01.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or licensing arrangements that Serapha enters into may not be successful, and any success will depend heavily on the efforts and activities of such collaborators or licensors. If any of Serapha’s collaborators or licensors experiences delays in performance of, or fails to perform, their obligations under their agreement with Serapha, disagrees with Serapha’s interpretation of the terms of such agreement or terminates their agreement with Serapha, Serapha’s pipeline and product candidates and development timeline could be adversely affected. If Serapha fails to comply with any of the obligations under its collaborations or license agreements, including payment terms and diligence terms, Serapha’s collaborators or licensors may have the right to terminate such agreements, in which event Serapha may lose intellectual property rights and may not be able to develop, manufacture, market or sell the products covered by Serapha’s agreements or may face other penalties under Serapha’s agreements. Serapha’s collaborators and licensors may also fail to properly maintain or defend the intellectual property Serapha has licensed from them, if required by Serapha’s agreement with them, leading to the potential invalidation of Serapha’s intellectual property, or they may even infringe upon Serapha’s intellectual property rights, any of which could subject Serapha to litigation or arbitration, which would be time-consuming and expensive and could harm Serapha’s ability to commercialize its product candidates. In addition, collaborators could independently develop, or develop with third parties, products that compete directly or indirectly with Serapha’s product candidates and products if the collaborators believe that the competitive products are more likely to be successfully developed or can be commercialized under terms that are more economically attractive than Serapha’s. </w:t>
      </w:r>
    </w:p>
    <w:p>
      <w:pPr>
        <w:pStyle w:val="TextBody"/>
        <w:bidi w:val="0"/>
        <w:spacing w:before="240" w:after="0"/>
        <w:jc w:val="left"/>
        <w:rPr>
          <w:rFonts w:ascii="Times New Roman" w:hAnsi="Times New Roman"/>
          <w:sz w:val="20"/>
        </w:rPr>
      </w:pPr>
      <w:r>
        <w:rPr>
          <w:rFonts w:ascii="Times New Roman" w:hAnsi="Times New Roman"/>
          <w:sz w:val="20"/>
        </w:rPr>
        <w:t xml:space="preserve">As part of Serapha’s strategy, Serapha plans to evaluate additional opportunities to enhance its capabilities and expand its development pipeline or add development or commercialization capabilities. Serapha may not realize the benefits of such collaborations, alliances or licensing arrangements. Any of these relationships may require Serapha to incur non-recurring and other charges, increase Serapha’s near- and long-term expenditures, issue securities that dilute the Combined Company’s existing stockholders or disrupt Serapha’s management and business. </w:t>
      </w:r>
    </w:p>
    <w:p>
      <w:pPr>
        <w:pStyle w:val="TextBody"/>
        <w:bidi w:val="0"/>
        <w:spacing w:before="240" w:after="0"/>
        <w:jc w:val="left"/>
        <w:rPr>
          <w:rFonts w:ascii="Times New Roman" w:hAnsi="Times New Roman"/>
          <w:sz w:val="20"/>
        </w:rPr>
      </w:pPr>
      <w:r>
        <w:rPr>
          <w:rFonts w:ascii="Times New Roman" w:hAnsi="Times New Roman"/>
          <w:sz w:val="20"/>
        </w:rPr>
        <w:t xml:space="preserve">Serapha may face significant competition in attracting appropriate collaborators, and more established companies may also be pursuing strategies to license or acquire third-party intellectual property rights that Serapha considers attractive. These companies may have a competitive advantage over Serapha due to their size, financial resources and greater clinical development and commercialization capabilities. In addition, companies may be unwilling to assign or license rights to Serapha, whether they perceive Serapha to be a competitor or for other reasons. Whether Serapha reaches a definitive agreement for a collaboration will depend, among other things, upon Serapha’s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Serapha may not be able to negotiate additional collaborations on a timely basis, on acceptable terms or at all. If Serapha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fails to enter into collaborations and does not have sufficient funds or expertise to undertake the necessary development and commercialization activities, Serapha may not be able to further develop its product candidates or bring them to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associated with the in-licensing or acquisition of product candidates could cause substantial delays in the preclinical and clinical development of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Serapha has relied and continues to rely on YolTech, and expects to rely on Serapha’s future licensing partners, to (i) conduct research and development in accordance with the applicable protocol, legal, regulatory and scientific standards, (ii) accurately report the results of all preclinical and clinical trials conducted prior to Serapha’s licensing or acquisition of the relevant product candidates and (iii) correctly collect and interpret the data from these trials. If the research and development processes or the results of the product candidates’ development prior to Serapha’s licensing or acquisition of Serapha’s product candidates prove to be unreliable, this could result in increased costs and delays in the development of Serapha’s product candidates, which could adversely affect any future revenue from such product candidates, if approved. </w:t>
      </w:r>
    </w:p>
    <w:p>
      <w:pPr>
        <w:pStyle w:val="TextBody"/>
        <w:bidi w:val="0"/>
        <w:spacing w:before="240" w:after="0"/>
        <w:jc w:val="left"/>
        <w:rPr>
          <w:rFonts w:ascii="Times New Roman" w:hAnsi="Times New Roman"/>
          <w:sz w:val="20"/>
        </w:rPr>
      </w:pPr>
      <w:r>
        <w:rPr>
          <w:rFonts w:ascii="Times New Roman" w:hAnsi="Times New Roman"/>
          <w:sz w:val="20"/>
        </w:rPr>
        <w:t>Serapha may also acquire or in-license additional product candidates for preclinical or clinical development in the future as Serapha continues to build its pipeline. The risks associated with acquiring or in-licensing product candidates could result in delays in the commencement or completion of Serapha’s preclinical studies and clinical trials, if they are ever commenced or completed, and Serapha’s ability to generate revenues from its product candidates may be delayed. Please see the section titled “</w:t>
      </w:r>
      <w:r>
        <w:rPr>
          <w:rFonts w:ascii="Times New Roman" w:hAnsi="Times New Roman"/>
          <w:i/>
          <w:sz w:val="20"/>
        </w:rPr>
        <w:t>Risk Factors—Risks Related to Serapha’s Intellectual Property—If Serapha is unable to obtain or maintain necessary rights to SERP-01 or its future product candidates through acquisitions and in-licenses, Serapha’s business may be materially harmed</w:t>
      </w:r>
      <w:r>
        <w:rPr>
          <w:rFonts w:ascii="Times New Roman" w:hAnsi="Times New Roman"/>
          <w:sz w:val="20"/>
        </w:rPr>
        <w:t xml:space="preserve">” below for additional information regarding such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currently relies, and plans to rely in the future, on third parties to conduct and support its future preclinical studies and clinical trials. If these third parties do not properly and successfully carry out their contractual duties or meet expected deadlines, Serapha may not be able to obtain regulatory approval of or commercialize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Serapha plans to utilize and depend upon independent investigators and collaborators, such as medical institutions, CROs, contract testing labs and strategic partners, to conduct and support Serapha’s anticipated clinical trials and future preclinical studies. Serapha will rely heavily on these third parties over the course of its preclinical studies and clinical trials, and Serapha controls only certain aspects of their activities. As a result, Serapha will have less direct control over the conduct, timing and completion of these preclinical studies and clinical trials and the management of data developed through preclinical studies and clinical trials than would be the case if Serapha were relying entirely upon its own staff. Nevertheless, Serapha is responsible for ensuring that each of its studies and trials is conducted in accordance with the applicable protocol, legal, regulatory and scientific standards, and Serapha’s reliance on these third parties does not relieve Serapha of its regulatory responsibilities. Serapha and its third-party contractors and CROs are required to comply with GCP, which are regulations and guidelines enforced by the FDA and comparable foreign regulatory authorities for all of Serapha’s product candidates in clinical development. If Serapha or any of these third parties fail to comply with applicable GCP regulations, the clinical data generated in Serapha’s clinical trials may be deemed unreliable and the FDA or comparable foreign regulatory authorities may require Serapha to perform additional clinical trials before approving Serapha’s marketing applications. Serapha cannot assure you that, upon inspection by a given regulatory authority, such regulatory authority will determine that any of Serapha’s clinical trials comply with GCP. In addition, Serapha’s clinical trials must be conducted with products manufactured in accordance with cGMP. Serapha’s failure to comply with these requirements may require Serapha to repeat clinical trials, which would delay the regulatory approval process. Moreover, Serapha’s business may be implicated if any of these third parties violates federal or state fraud and abuse or false claims laws and regulations or healthcare privacy and security laws, and foreign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third parties conducting Serapha’s clinical trials will not be its employees and, except for remedies available to Serapha under its agreements with such third parties, Serapha cannot control whether they devote sufficient time and resources to Serapha’s product candidates. These third parties may encounter challenges hiring and retaining sufficient qualified personnel or they may be involved in mergers, acquisitions or similar transactions and may have relationships with other commercial entities, including Serapha’s competitors, for whom they may also be conducting clinical trials or other product development activities, which could negatively affect their performance on Serapha’s behalf and the timing thereof and could lead to products that compete directly or indirectly with Serapha’s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Serapha’s clinical protocols or regulatory requirements or for other reasons, Serapha’s clinical trials may be extended, delayed or terminated and Serapha may not be able to complete development of, obtain regulatory approval of or successfully commercialize its product candidates. In addition, Serapha relies on YolTech and may continue to rely on foreign CROs and CDMOs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in China is strictly regulated by the Chinese government. Changes to Chinese regulations or government policies affecting biopharmaceutical companies are unpredictable and may have a material adverse effect on Serapha’s collaborators in China, which could have an adverse effect on Serapha’s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uncertainty around China’s relationship with other governments, such as the United States and the United Kingdom, could also negatively impact Serapha’s ability to manufacture its product candidates for its planned clinical trials or have an adverse effect on its ability to secure government funding, which could adversely affect Serapha’s financial condition and cause Serapha to delay its clinical development of SERP-01 or its future product candidates. Furthermore, if one or more of Serapha’s collaborators or vendors in China is named a biotechnology company of concern under the BIOSECURE Act, which was enacted into law on December 18, 2025, Serapha’s operations and financial condition may be negatively impacted as a result of any delays or increased costs arising from the trade restrictions and other foreign regulatory requirements affecting such collaborators. In addition, while Serapha has established relationships with CROs and CDMOs outside of Greater China, moving to those suppliers in the event of geopolitical instability affecting Serapha’s collaborators in China could introduce delays into the development of SERP-01 or its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relies on the use of third-party CDMOs to manufacture Serapha’s product candidates, and Serapha expects to continue to rely on third-party CDMOs to produce Serapha’s products, if approved. Serapha’s business could be adversely affected if Serapha is unable to use third-party manufacturing sites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Serapha does not currently own any facility that may be used as Serapha’s clinical-scale manufacturing and processing facility and must rely on CDMOs to manufacture Serapha’s product candidates. Serapha has not yet caused its product candidates to be manufactured on a commercial scale and may not be able to do so for any of Serapha’s product candidates, if approved. If there should be any disruption in Serapha’s supply arrangements, including any adverse events affecting Serapha’s suppliers, or if Serapha experiences delays or difficulties in transferring, or is unable to successfully transfer, Serapha’s manufacturing processes, it could have a negative effect on the clinical development of Serapha’s product candidates and other operations while Serapha works to identify and qualify an alternate supply source. Serapha has limited control over the manufacturing process of, and may be dependent on, Serapha’s contract manufacturing partners for compliance with cGMP requirements and any other regulatory requirements of the FDA or comparable foreign regulatory authorities for the manufacture of Serapha’s product candidates. Beyond periodic audits, Serapha has limited control over the ability of its CDMOs to maintain adequate quality control, quality assurance and qualified personnel. If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another applicable regulatory authority does not approve these facilities for the manufacture of Serapha’s product candidates or withdraws any approval in the future, Serapha may need to find alternative manufacturing facilities, which would require the incurrence of significant additional costs and delays and materially adversely affect Serapha’s ability to develop, obtain regulatory approval for or market its product candidates, if approved. Serapha, or its future contract manufacturers, any current or future collaborators and their contract manufacturers could be subject to periodic unannounced inspections by the FDA, competent authorities of member states of the European Union (“EU Member States”) or other comparable foreign regulatory authorities, to monitor and ensure compliance with cGMP. Despite Serapha’s efforts to audit and verify regulatory compliance, one or more of Serapha’s third-party manufacturing vendors may be found on regulatory inspection by the FDA, competent authorities of EU Member States or other comparable foreign regulatory authorities to be noncompliant with cGMP regulations. Serapha’s failure, or the failure of Serapha’s CDMOs, to comply with applicable regulations could result in sanctions being imposed on Serapha,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Serapha’s product candidates or products, if approved, and harm Serapha’s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Serapha’s CDMOs may experience manufacturing difficulties due to resource constraints, supply chain issues, intellectual property disputes or as a result of labor disputes or unstable political environments. If any CDMOs on which Serapha will rely fail to manufacture quantities of Serapha’s product candidates at quality levels necessary to meet regulatory requirements and at a scale sufficient to meet anticipated demand at a commercially reasonable cost, Serapha’s business, financial condition and prospects could be materially and adversely affected. In addition, Serapha’s CDMOs are responsible for transporting temperature-controlled materials that can be inadvertently degraded during transport due to several factors, rendering certain batches unsuitable for trial use for failure to meet, among others, Serapha’s integrity and purity specifications. Serapha and any of its CDMOs may also face product seizure or detention or refusal to permit the import or export of products. Serapha’s business could be materially adversely affected by business disruptions to Serapha’s third-party providers that could materially adversely affect Serapha’s anticipated timelines, potential future revenue and financial condition and increase Serapha’s costs and expenses. Each of these risks could delay or prevent the completion of Serapha’s anticipated clinical trials and future preclinical studies or the approval of any of Serapha’s product candidates by the FDA or comparable foreign regulatory authorities, result in higher costs or adversely impact commercialization of Serapha’s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Serapha’s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 order to successfully implement its plans and strategies, Serapha will need to grow the size of its organization and Serapha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Serapha expects to experience significant growth in the number of its employees and the scope of Serapha’s operations, particularly in the areas of clinical drug development, technical operations, clinical operations and regulatory affairs. To manage its anticipated future growth, Serapha must continue to implement and improve its managerial, operational and financial personnel and systems, expand Serapha’s facilities and continue to recruit and train additional qualified personnel. Due to its limited financial resources and the limited experience of its management team working together in managing a company with such anticipated growth, Serapha may not be able to effectively manage the expansion of its operations or recruit and train additional qualified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highly dependent on its key personnel and anticipates hiring new key personnel. If Serapha is not successful in attracting and retaining highly qualified personnel, Serapha may not be able to successfully implement its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Serapha’s ability to compete in the highly competitive biotechnology and pharmaceutical industries depends upon its ability to attract and retain highly qualified managerial, scientific and medical personnel. Serapha is highly dependent on Serapha’s managerial, scientific and medical personnel, including Serapha’s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 and other key members of Serapha’s leadership team. Although Serapha has entered into employment agreements with Serapha’s executive officers, each of them may terminate their employment with Serapha at any time. Serapha does not maintain “key person” insurance for any of Serapha’s executives or other employees. The loss of the services of Serapha’s executive officers or other key employees could impede the achievement of Serapha’s research, development and commercialization objectives and seriously harm its ability to successfully implement its business strategy. Furthermore, replacing executive officers and key personnel may be difficult and may take an extended period of time. If Serapha does not succeed in attracting and retaining qualified personnel, it could materially adversely affect Serapha’s business, financial condition and results of operations. Serapha could in the future have difficulty attracting and retaining experienced personnel and may be required to expend significant financial resources in Serapha’s employee recruitment and retention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future growth may depend, in part, on its ability to operate in foreign markets, where Serapha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Serapha’s future growth may depend, in part, on its ability to develop and commercialize its product candidates, if approved, in foreign markets for which Serapha may rely on collaboration with third parties. Recent and ongoing changes in U.S. trade policy with foreign countries, including the continued uncertainty surrounding U.S. tariffs and potential retaliatory measures by foreign governments, may disrupt the global supply chain for biopharmaceutical products. For example, in September 2025, the United States announced the imposition of up to 100% tariffs on imported branded or patented pharmaceuticals, unless the importing company is building U.S. manufacturing capacity. In early April 2026, the current administration issued a proclamation under Section 232 of the Trade Expansion Act of 1962 determining that imports of certain pharmaceutical products, including patented pharmaceuticals, associated active pharmaceutical ingredients and related materials could threaten U.S. national security and authorized the imposition of tariffs of up to 100% on covered imports, effective July 31, 2026. Imports of certain listed products from specific partner countries, including South Korea and the European Union, may be subject to reduced tariff rates. Certain tariff exemptions or zero-rate treatment may be available for products where all approved indications are designated as orphan, subject to applicable determinations, conditions and implementation guidance. Certain major drug producers and manufacturers are in negotiations with the U.S. Presidential Administration to receive relief from such tariffs. As a result of these negotiations, certain manufacturers, such as Pfizer, have announced their participation in a new direct purchasing platform called “TrumpRx.gov,” which allows U.S. patients to purchase certain medicines at significant discounts to current retail prices. The discounts may adversely affect revenue generated from participating drugs. The potential impact of this platform on Serapha’s business is unclear at this time. It is not yet clear whether these tariffs would apply to the importation of active pharmaceutical ingredients and possibly bulk drug products that are intended for use in clinical trials and not for commercial sale, which could increase the costs of materials for Serapha’s clinical trials. Any direct tariffs, if imposed on pharmaceutical products, may result in increased costs for raw materials and contract manufacturing services, reduced ability to source critical CDMOs, and a delay in Serapha’s development timelines. </w:t>
      </w:r>
    </w:p>
    <w:p>
      <w:pPr>
        <w:pStyle w:val="TextBody"/>
        <w:bidi w:val="0"/>
        <w:spacing w:before="240" w:after="0"/>
        <w:jc w:val="left"/>
        <w:rPr>
          <w:rFonts w:ascii="Times New Roman" w:hAnsi="Times New Roman"/>
          <w:sz w:val="20"/>
        </w:rPr>
      </w:pPr>
      <w:r>
        <w:rPr>
          <w:rFonts w:ascii="Times New Roman" w:hAnsi="Times New Roman"/>
          <w:sz w:val="20"/>
        </w:rPr>
        <w:t xml:space="preserve">Serapha is not permitted to market or promote any of its product candidates before Serapha receives regulatory approval from the applicable foreign regulatory authority, and Serapha may never receive such regulatory approval for any of its product candidates. To obtain separate regulatory approval in many other countries, Serapha must comply with numerous and varying regulatory requirements of such countries regarding safety and efficacy and governing, among other things, clinical trials and commercial sales, pricing and distribution of Serapha’s product candidates, if approved, and Serapha cannot predict success in these jurisdictions. If Serapha fails to comply with the regulatory requirements in international markets and receive applicable regulatory approvals, Serapha’s target market will be reduced and Serapha’s ability to realize the full market potential of its product candidates will be harmed and its business will be adversely affected. Moreover, even if Serapha obtains approval of its product candidates and ultimately commercializes its product candidates in foreign markets, Serapha would be subject to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Serapha’s employees, independent contractors, consultants, commercial collaborators, principal investigators, CROs, CDMOs, suppliers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Serapha is exposed to the risk that its employees, independent contractors, consultants, commercial collaborators, principal investigators, CROs, CDMOs, suppliers and vendors acting for or on its behalf may engage in misconduct or other improper activities. Misconduct by these parties could include intentional, reckless or negligent conduct or disclosure of unauthorized activities to Serapha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Serapha’s reputation. Serapha has adopted a code of conduct, but it is not always possible to identify and deter misconduct by these parties and the precautions Serapha takes to detect and prevent this activity may not be effective in controlling unknown or unmanaged risks or losses or in protecting Serapha from governmental investigations or other actions or lawsuits stemming from a failure to comply with these laws or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internal information technology systems, or those of any of its CROs, manufacturers, other contractors or consultants, third-party service providers, or existing or future collaborators, may fail or suffer security or data privacy breaches or other unauthorized or improper access to, use of, or destruction of Serapha’s proprietary or confidential data, employee data or personal data, which could result in additional costs, loss of revenue, significant liabilities, harm to Serapha’s brand and material disruption of Serapha’s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Serapha and the third parties upon which Serapha relies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in an effort to protect systems that store Serapha’s information, given their size and complexity and the increasing amounts of information maintained on Serapha’s internal information technology systems and those of Serapha’s third-party CROs, other contractors (including sites performing Serapha’s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Serapha’s employees, contractors, consultants, business partners and/or other third parties, or from cyber-attacks by malicious third parties, which may compromise Serapha’s system infrastructure or lead to the loss, destruction, alteration or dissemination of, or damage to, Serapha’s data. </w:t>
      </w:r>
    </w:p>
    <w:p>
      <w:pPr>
        <w:pStyle w:val="TextBody"/>
        <w:bidi w:val="0"/>
        <w:spacing w:before="240" w:after="0"/>
        <w:jc w:val="left"/>
        <w:rPr>
          <w:rFonts w:ascii="Times New Roman" w:hAnsi="Times New Roman"/>
          <w:sz w:val="20"/>
        </w:rPr>
      </w:pPr>
      <w:r>
        <w:rPr>
          <w:rFonts w:ascii="Times New Roman" w:hAnsi="Times New Roman"/>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Serapha, and the third parties upon which Serapha relies, may be vulnerable to a heightened risk of these attacks, including retaliatory cyber-attacks, that could materially disrupt Serapha’s systems and operations. In particular, severe ransomware attacks are becoming increasingly prevalent and can lead to significant interruptions in Serapha’s operations, loss of sensitive data and income, reputational harm, and diversion of funds. Extortion payments may alleviate the negative impact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ransomware attack, but Serapha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disruption or security breach were to result in loss, destruction, unavailability, alteration or dissemination of, or damage to, Serapha’s data or applications, or for it to be believed or reported that any of these occurred, Serapha could incur liability and reputational damage and the development and commercialization of its product candidates could be delayed. Further, Serapha’s insurance policies may not be adequate to compensate Serapha for the potential losses arising from any such disruption in, or failure or security breach of, Serapha’s systems or third-party systems where information important to Serapha’s business operations or commercial development is stored. </w:t>
      </w:r>
    </w:p>
    <w:p>
      <w:pPr>
        <w:pStyle w:val="TextBody"/>
        <w:bidi w:val="0"/>
        <w:spacing w:before="240" w:after="0"/>
        <w:jc w:val="left"/>
        <w:rPr>
          <w:rFonts w:ascii="Times New Roman" w:hAnsi="Times New Roman"/>
          <w:sz w:val="20"/>
        </w:rPr>
      </w:pPr>
      <w:r>
        <w:rPr>
          <w:rFonts w:ascii="Times New Roman" w:hAnsi="Times New Roman"/>
          <w:sz w:val="20"/>
        </w:rPr>
        <w:t xml:space="preserve">Serapha’s hybrid workforce may create additional risks for its information technology systems and data because some employees of Serapha work remotely and utilize network connections, computers, and devices working at home, while in transit and in public locations. In addition, Serapha’s current office in New York may create risks for Serapha’s information technology systems and data. Additionally, business transactions (such as acquisitions or integrations) could expose Serapha to additional cybersecurity risks and vulnerabilities, as Serapha’s systems could be negatively affected by vulnerabilities present in acquired or integrated entities’ systems and technologies. </w:t>
      </w:r>
    </w:p>
    <w:p>
      <w:pPr>
        <w:pStyle w:val="TextBody"/>
        <w:bidi w:val="0"/>
        <w:spacing w:before="240" w:after="0"/>
        <w:jc w:val="left"/>
        <w:rPr>
          <w:rFonts w:ascii="Times New Roman" w:hAnsi="Times New Roman"/>
          <w:sz w:val="20"/>
        </w:rPr>
      </w:pPr>
      <w:r>
        <w:rPr>
          <w:rFonts w:ascii="Times New Roman" w:hAnsi="Times New Roman"/>
          <w:sz w:val="20"/>
        </w:rPr>
        <w:t xml:space="preserve">While Serapha has implemented security measures designed to protect against security incidents, there can be no assurance that these measures will be effective. Serapha may be unable in the future to detect vulnerabilities in its information technology systems because such threats and techniques change frequently, are often sophisticated in nature, and may not be detected until after a security incident has occurred. Further, Serapha may experience delays in developing and deploying remedial measures designed to address any such identified vulnerabilities. Applicable data privacy and security obligations may require Serapha to notify relevant stakeholders of security incidents. Such disclosures are costly, and the disclosure or the failure to comply with such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Serapha relies on third-party service providers and technologies to operate critical business systems to Process Sensitive Information in a variety of contexts. Serapha’s ability to monitor these third parties’ information security practices is limited, and these third parties may not have adequate information security measures in place. If its third-party service providers experience a security incident or other interruption, Serapha could experience adverse consequences. While Serapha may be entitled to damages if its third-party service providers fail to satisfy their privacy or security-related obligations to Serapha, any award may be insufficient to cover its damages, or Serapha may be unable to recover such award. In addition, supply-chain attacks have increased in frequency and severity, and Serapha cannot guarantee that third parties’ infrastructure in Serapha’s supply chain or Serapha’s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If Serapha (or a third party upon whom Serapha relies) experiences a security incident or is perceived to have experienced a security incident, Serapha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Serapha’s operations (including availability of data); financial loss; and other similar harms. Security incidents and attendant consequences may cause stakeholders (including investors and potential customers) to stop supporting Serapha’s platform, deter new customers from Serapha’s products, and negatively impact Serapha’s ability to grow and operate Serapha’s business. </w:t>
      </w:r>
    </w:p>
    <w:p>
      <w:pPr>
        <w:pStyle w:val="TextBody"/>
        <w:bidi w:val="0"/>
        <w:spacing w:before="240" w:after="0"/>
        <w:jc w:val="left"/>
        <w:rPr>
          <w:rFonts w:ascii="Times New Roman" w:hAnsi="Times New Roman"/>
          <w:sz w:val="20"/>
        </w:rPr>
      </w:pPr>
      <w:r>
        <w:rPr>
          <w:rFonts w:ascii="Times New Roman" w:hAnsi="Times New Roman"/>
          <w:sz w:val="20"/>
        </w:rPr>
        <w:t xml:space="preserve">Serapha’s contracts may not contain limitations of liability, and even where they do, there can be no assurance that limitations of liability in Serapha’s contracts are sufficient to protect Serapha from liabilities, damages, or claims related to its data privacy and security obligations. Serapha cannot be sure that its insurance coverage will be adequate or sufficient to protect Serapha from or to mitigate liabilities arising out of Serapha’s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privacy and security practices, that such coverage will continue to be available on commercially reasonable terms or at all, or that such coverage will pay future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Serapha’s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and third parties Serapha works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Serapha is and may become subject to the terms of contractual obligations related to privacy, data protection, and data security. Serapha’s obligations may also change or expand as its business grows. The actual or perceived failure by Serapha or third parties related to Serapha to comply with such laws, regulations and obligations could increase Serapha’s compliance and operational costs, expose Serapha to regulatory scrutiny, actions, fines and penalties, result in reputational harm, lead to a loss of customers, result in litigation and liability, and otherwise cause a material adverse effect on Serapha’s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Serapha fails to comply with environmental, health and safety laws and regulations, Serapha could become subject to fines or penalties or incur costs that could have a material adverse effect on the success of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is subject to numerous environmental, health and safety laws and regulations, including those governing laboratory procedures and the handling, use, storage, treatment and disposal of hazardous materials and wastes. Serapha’s operations may involve the use of hazardous and flammable materials, including chemicals and biological and radioactive materials. In addition, Serapha may incur substantial costs in order to comply with current or future environmental, health and safety laws and regulations. These current or future laws and regulations may impair Serapha’s research, development or commercialization efforts. Failure to comply with these laws and regulations also may result in substantial fines, penalties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the Combined Company’s stockholders or Serapha. Serapha assesses the impact of various tax reform proposals and modifications to existing tax treaties in all jurisdictions where Serapha has operations to determine the potential effect on its business and any assumptions Serapha has made about its future taxable income. Serapha cannot predict whether any specific proposals will be enacted, the terms of any such proposals or what effect, if any, such proposals would have on Serapha’s business if they were to be enacted.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Congress enacted the OBBBA, which includes a provision restoring the immediate deductibility of domestic research and development expenditures. The impact of this newly enacted law on Serapha’s tax position will depend on how the provision is implemented and interpreted by the IRS and other regulatory authorities. In addition, Serapha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assurance as to whether, when and how this provision may be subject to further amendment or repeal. Such changes, among others, may adversely affect Serapha’s effective tax rate,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acquire businesses, product candidates or products, or form strategic alliances, in the future, and may not realize the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Serapha may acquire additional businesses or products, form strategic alliances, or create joint ventures with third parties that Serapha believes will complement or augment its existing business. If Serapha acquires businesses with promising markets or technologies, Serapha may not be able to realize the benefit of acquiring such businesses if Serapha is unable to successfully integrate them with its existing operations and company culture. Serapha may encounter numerous difficulties in developing, manufacturing and marketing any new product candidates or products resulting from a strategic alliance or acquisition that delay or prevent Serapha from realizing their expected benefits or enhancing Serapha’s business. There is no assurance that, following any such acquisition, Serapha will achieve the synergies expected in order to justify the transaction, which could result in a material adverse effect on Serapha’s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maintains its cash at financial institutions, often in balances that exceed federally insured limits. The failure of financial institutions could adversely affect Serapha’s ability to pay its operational expenses or make other payments. </w:t>
      </w:r>
    </w:p>
    <w:p>
      <w:pPr>
        <w:pStyle w:val="TextBody"/>
        <w:bidi w:val="0"/>
        <w:spacing w:before="120" w:after="0"/>
        <w:jc w:val="left"/>
        <w:rPr>
          <w:rFonts w:ascii="Times New Roman" w:hAnsi="Times New Roman"/>
          <w:sz w:val="20"/>
        </w:rPr>
      </w:pPr>
      <w:r>
        <w:rPr>
          <w:rFonts w:ascii="Times New Roman" w:hAnsi="Times New Roman"/>
          <w:sz w:val="20"/>
        </w:rPr>
        <w:t xml:space="preserve">Serapha’s cash held in non-interest-bearing and interest-bearing accounts exceeds the FDIC insurance limits. If such banking institutions were to fail, Serapha could lose all or a portion of those amounts held in excess of such insurance limitations.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Serapha may experience in the future or inability for a material time period to access Serapha’s cash and cash equivalents could have an adverse effect on Serapha’s ability to pay its operational expenses or make other payments, which could adversely affect Serapha’s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Serapha’s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Serapha’s intellectual property portfolio is at an early stage. Serapha does not currently own any issued patents, and Serapha’s rights to SERP-01 are primarily in-licensed from YolTech. Therefore, Serapha’s ability to obtain and protect its patent rights, and protect other proprietary rights, is uncertain, exposing Serapha to the possible loss of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Serapha will rely upon a combination of patents, trademarks, trade secret protection, copyrights and confidentiality agreements and the YolTech License Agreement to protect the intellectual property related to SERP-01 and related technologies and to prevent third parties from competing unfairly with Serapha. Serapha’s success depends in large part on its ability to obtain and maintain patent protection for Serapha’s product candidates and their uses, as well as Serapha’s ability to operate without infringing on or violating the proprietary rights of others. If Serapha is unable to obtain patent protection with respect to SERP-01, or any future product candidates, Serapha’s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Serapha’s intellectual property portfolio relating to SERP-01 and the proprietary adenine base editor used in SERP-01 consists primarily of rights in-licensed from YolTech, together with any rights Serapha may develop or acquire in the future. Serapha does not currently own any issued patents or pending patent applications. Serapha cannot provide assurances that any owned or in-licensed pending patent application will issue, the breadth of any resulting issued patent(s), or whether any issued patent(s) will be found to be invalid, unenforceable, or will be challenged by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Serapha in-licenses rights to five patent families from YolTech under the YolTech License Agreement. For more information, please see the section of this proxy statement/prospectus titled “</w:t>
      </w:r>
      <w:r>
        <w:rPr>
          <w:rFonts w:ascii="Times New Roman" w:hAnsi="Times New Roman"/>
          <w:i/>
          <w:sz w:val="20"/>
        </w:rPr>
        <w:t>Serapha’s Business—Intellectual Property.</w:t>
      </w:r>
      <w:r>
        <w:rPr>
          <w:rFonts w:ascii="Times New Roman" w:hAnsi="Times New Roman"/>
          <w:sz w:val="20"/>
        </w:rPr>
        <w:t xml:space="preserve">” The license does not grant Serapha rights to YolTech’s broader base-editing, editor-discovery or lipid nanoparticle delivery platforms, and, because the base-editing and genome-editing field is subject to substantial third-party patent activity, the development or commercialization of SERP-01 may require Serapha or YolTech to obtain additional licenses to third-party intellectual property, which may not be available on commercially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Serapha’s current patent portfolio consists of in-licensed patent applications, together with a single issued patent in China. Serapha’s owned or currently licensed, or future optioned, in-licensed or owned patent applications may not result in patents being issued. Any issued patents may not afford sufficient protection of Serapha’s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Serapha may license or own covering Serapha’s product candidates could be narrowed or found invalid or unenforceable if challenged in court or before administrative bodies in the United States or abroad, including the United States Patent and Trademark Office (the “USPTO”). If Serapha does not obtain patent coverage for the work Serapha is conducting, or if Serapha obtains such rights but they are invalidated or rendered unenforceable, Serapha may be unable to exclude competitors from pursuing and marketing the same or similar product candidates. Other risks Serapha faces if it is not able to obtain and maintain patent coverage for Serapha’s product candidates are the reduction in valuation of its product candidates, and ultimately of Serapha as a company, by potential investors, and Serapha’s inability to assert claims for infringement against third parties or counterclaim against such third parties or negotiate more advantageous settlement parameters. Further, if Serapha encounters delays in its clinical trials or delays in obtaining regulatory approval, the period of time during which Serapha could market its product candidates under patent protection would be reduced. Thus, the patents that Serapha may own or license may not afford Serapha any meaningful exclusivity period or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Serapha may not be able to obtain or protect Serapha’s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Serapha’s intellectual property rights in some foreign jurisdictions can be less extensive than those in the United States; the reverse may also occur. For example, Serapha in-licenses from YolTech patent applications in the following foreign jurisdictions: Europe, Japan and South Korea. Government actions in certain jurisdictions, including those in which Serapha has licensed patent rights, may allow exploitation of intellectual property without the patent owner’s consent. For example, government decrees may allow third parties to exploit patented inventions without authorization, effectively eliminating patent protection in those territories. These actions could result in abandonment or lapse of future patents in the affected jurisdictions. Geopolitical actions in the United States and in foreign countries could increase the uncertainties and costs surrounding the prosecution or maintenance of future patent applications and the maintenance, enforcement, or defense of any future issued patents. As such, Serapha may not have patents in all countries or all major markets and may not be able to obtain patents in all jurisdictions even if Serapha or its licensor files patent applications to obtain such rights. Serapha’s competitors may operate in countries where Serapha does not have patent protection and may be able to freely use its technologies and discoveries in such countries, at least to the extent not forbidden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patents for some of its technology and product candidates, Serapha may also rely on trade secrets, including unpatented know-how, technology and other proprietary information, to maintain Serapha’s competitive position. Any disclosure, either intentional or unintentional, by Serapha’s employees, the employees of third parties with whom Serapha shares its facilities or third-party consultants and vendors that Serapha engages to perform research, clinical trials or manufacturing activities, or misappropriation by third parties (such as through a cybersecurity breach) of Serapha’s trade secrets or proprietary information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enable competitors to duplicate or surpass Serapha’s technological achievements, thus eroding Serapha’s competitive position in its market. In order to protect its proprietary technology and processes, Serapha relies in part on confidentiality agreements with its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Serapha may need to share its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Serapha undertakes reasonable efforts to protect its trade secrets and other confidential information from disclosure, others may independently discover trade secrets and proprietary information, and in such cases, Serapha may not be able to assert any trade secret rights against such party. Costly and time-consuming litigation could be necessary to enforce and determine the scope of Serapha’s proprietary rights and failure to obtain or maintain trade secret protection could adversely affect Serapha’s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Lastly, if Serapha’s trademarks and trade names are not registered or adequately protected, then Serapha may not be able to build name recognition in its markets of interest and Serapha’s business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dependent on intellectual property in-licensed from YolTech, and its failure to comply with its obligations under the license could result in loss of rights that are critical to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has in-licensed from YolTech intellectual property that is material to Serapha’s product candidates, including SERP-01. Serapha’s rights under the license are subject to its compliance with ongoing obligations, including payment, diligence and other obligations. If Serapha fails to comply with any such obligations, YolTech may have the right to terminate the license. Loss of Serapha’s rights to the in-licensed intellectual property could materially impair Serapha’s ability to develop and commercialize its product candidates, including SERP-01, and could allow competitors to access the same technology, which could have a material adverse effect on Serapha’s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Serapha is unable to obtain or maintain necessary rights to SERP-01 or its future product candidates through acquisitions and in-licenses, Serapha’s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Because SERP-01 currently does and Serapha’s product candidates may in the future require the use of proprietary rights held by third parties, the growth of Serapha’s business will depend in part on its ability to acquire, in-license, or use these third-party proprietary rights. Serapha may be unable to acquire or in-license any compositions, methods of use, processes or other third-party intellectual property rights from third parties that Serapha identifies as necessary for its product candidates. The licensing and acquisition of third-party intellectual property rights is a competitive area, and a number of more established companies may pursue strategies to license or acquire third-party intellectual property rights that Serapha may consider attractive or necessary. These established companies may have a competitive advantage over Serapha due to their size, capital resources and greater clinical development and commercialization capabilities. In addition, companies that perceive Serapha to be a competitor may be unwilling to assign or license rights to Serapha. Serapha also may be unable to license or acquire third-party intellectual property rights on terms that would allow Serapha to make an appropriate return on Serapha’s investment or at all. If Serapha is unable to successfully obtain rights to required third-party intellectual property rights or maintain intellectual property rights Serapha obtains in the future, Serapha may have to abandon development of its product candidates, which could have a material adverse effect on Serapha’s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While Serapha has the first right to control prosecution, maintenance, defense, and enforcement of certain product-specific patents and patent applications in-licensed under the YolTech License Agreement outside of Greater China (with YolTech having a step-in right with respect to prosecution, maintenance and defense),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times when rights for patents and patent applications relating to Serapha’s product candidates are controlled by Serapha’s future licensors or collaboration partners. If Serapha, YolTech or any of Serapha’s future licensors or collaboration partners fail to prosecute, defend, maintain and enforce such patents and patent applications in a manner consistent with Serapha’s best interests, including by payment of all applicable fees for patents covering its product candidates, Serapha could lose its rights to the intellectual property or its right to prosecute such patents and patent applications, Serapha’s ability to develop and commercialize those product candidates may be adversely affected and Serapha may not be able to prevent competitors from making, using and selling competing products. In addition, even if Serapha has the right to control prosecution and maintenance of patents and patent applications Serapha has licensed to and from third parties, Serapha may still be adversely affected or prejudiced by actions or inactions of YolTech, additional licensees, or licensors and their counsel in connection with patent prosecution. Further, Serapha does not have the right to control prosecution, maintenance, defense, and enforcement of certain patents and patent applications in-licensed under the YolTech License Agreement that are not product-specific or are related to YolTech’s broader base-editing, editor-discovery or lipid nanoparticle delivery platforms. </w:t>
      </w:r>
    </w:p>
    <w:p>
      <w:pPr>
        <w:pStyle w:val="TextBody"/>
        <w:bidi w:val="0"/>
        <w:spacing w:before="240" w:after="0"/>
        <w:jc w:val="left"/>
        <w:rPr>
          <w:rFonts w:ascii="Times New Roman" w:hAnsi="Times New Roman"/>
          <w:sz w:val="20"/>
        </w:rPr>
      </w:pPr>
      <w:r>
        <w:rPr>
          <w:rFonts w:ascii="Times New Roman" w:hAnsi="Times New Roman"/>
          <w:sz w:val="20"/>
        </w:rPr>
        <w:t xml:space="preserve">Serapha’s future licensors may not be the sole and exclusive owners of all rights in the patents Serapha may in-license. If other third parties have rights to Serapha’s future in-licensed patents, they may be able to license such patents to Serapha’s competitors, and Serapha’s competitors could market competing products and technology. This could have a material adverse effect on Serapha’s competitive position,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Serapha may be unable to obtain licenses at a reasonable cost or on reasonable terms, if at all. Even if Serapha is able to obtain a license, it may be non-exclusive, thereby giving Serapha’s competitors access to the same technologies licensed to Serapha. In that event, Serapha may be required to expend significant time and resources to redesign Serapha’s product candidates, or the methods for manufacturing them or to develop or license replacement technology, all of which may not be feasible on a technical or commercial basis. If Serapha is unable to do so, Serapha may be unable to develop or commercialize the affected product candidates, which could harm Serapha’s business, financial condition, results of operations, and prospects significantly. Serapha cannot provide any assurances that third-party patents do not exist which might be enforced against Serapha’s product candidates, manufacturing methods or future products or methods resulting in either an injunction prohibiting Serapha’s manufacture or future sales, or, with respect to its future sales, an obligation on Serapha’s part to pay royalties and/or other forms of compensation to third parties, which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between Serapha and Serapha’s future licensors regarding intellectual property subject to a license agreement, including (but not limited to): the scope of rights granted under the license agreement and other interpretation-related issues; whether and the extent to which Serapha’s technology and processes infringe on intellectual property of the licensor that is not subject to the licensing agreement; Serapha’s right to sublicense patents and other rights to third parties; Serapha’s right to transfer or assign the license; the inventorship and ownership of inventions and know-how resulting from the joint creation or use of intellectual property by Serapha’s future licensors and Serapha and Serapha’s partners; and the priority of invention of patented technology. If Serapha or its future licensors breach the terms of Serapha’s license agreements, such breach may have a material adverse effect on Serapha’s business and the commercialization efforts for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be subject to intellectual property lawsuits or may need to file lawsuits to protect Serapha’s intellectual property, which could result in substantial costs and liability and prevent Serapha from commercializing Serapha’s potential products. </w:t>
      </w:r>
    </w:p>
    <w:p>
      <w:pPr>
        <w:pStyle w:val="TextBody"/>
        <w:bidi w:val="0"/>
        <w:spacing w:before="120" w:after="0"/>
        <w:jc w:val="left"/>
        <w:rPr>
          <w:rFonts w:ascii="Times New Roman" w:hAnsi="Times New Roman"/>
          <w:sz w:val="20"/>
        </w:rPr>
      </w:pPr>
      <w:r>
        <w:rPr>
          <w:rFonts w:ascii="Times New Roman" w:hAnsi="Times New Roman"/>
          <w:sz w:val="20"/>
        </w:rPr>
        <w:t xml:space="preserve">Because the intellectual property landscape in the biotechnology industry is rapidly evolving and interdisciplinary, it is difficult to conclusively assess Serapha’s freedom to operate and guarantee that Serapha can operate without infringing on or violating third-party rights. If certain of Serapha’s product candidates are ultimately granted regulatory approval, patent rights held by third parties could be alleged to render one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Serapha’s product candidates infringing. If a third party successfully brings a claim against Serapha, and the third party’s rights are not held invalid or unenforceable, Serapha may be required to pay substantial damages, be forced to abandon any affected product candidate and/or seek a license from the third party. In addition, any intellectual property claims (e.g., patent infringement or trade secret misappropriation) brought against Serapha, whether or not successful, may cause Serapha to incur significant legal expenses and divert the attention of Serapha’s management and key personnel from other business concerns. Serapha cannot be certain that future patents, if filed and issued, owned or licensed by Serapha will not be challenged by others, whether in the course of litigation or in agencies like the USPTO. Some of Serapha’s competitors may be able to sustain the costs of complex intellectual property litigation more effectively than Serapha can because they have substantially greater resources. In addition, any uncertainties resulting from the initiation and continuation of any litigation could have a material adverse effect on Serapha’s ability to raise funds.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or otherwise violate Serapha’s future patents, trademarks, copyrights or other intellectual property. To counter infringement or other violations, Serapha may be required to file claims, which can be expensive and time-consuming. Any such claims could provoke these parties to assert counterclaims against Serapha, including claims alleging that Serapha infringes their patents or other intellectual property rights. In addition, in a patent infringement proceeding, a court or administrative body may decide that one or more of Serapha’s future patents, if obtained and asserted, is invalid or unenforceable, in whole or in part, construe the patent’s claims narrowly or refuse to prevent the other party from using the technology at issue on the grounds that Serapha’s patents do not cover the technology. Similarly, if Serapha asserts trademark infringement claims, a court or administrative body may determine that the marks Serapha has asserted are invalid or unenforceable or that the party against whom Serapha has asserted trademark infringement has superior rights to the marks in question. In such a case, Serapha could ultimately be forced to cease use of such marks. In any intellectual property litigation, even if Serapha is successful, any award of monetary damages or other remedy Serapha receives may not be commercially valuable. </w:t>
      </w:r>
    </w:p>
    <w:p>
      <w:pPr>
        <w:pStyle w:val="TextBody"/>
        <w:bidi w:val="0"/>
        <w:spacing w:before="240" w:after="0"/>
        <w:jc w:val="left"/>
        <w:rPr>
          <w:rFonts w:ascii="Times New Roman" w:hAnsi="Times New Roman"/>
          <w:sz w:val="20"/>
        </w:rPr>
      </w:pPr>
      <w:r>
        <w:rPr>
          <w:rFonts w:ascii="Times New Roman" w:hAnsi="Times New Roman"/>
          <w:sz w:val="20"/>
        </w:rPr>
        <w:t xml:space="preserve">Further, Serapha may be required to protect its future patents, if filed and issued, through procedures created to attack the validity of a patent at the USPTO. An adverse determination in any such submission or proceeding could reduce the scope or enforceability of, or invalidate, Serapha’s patent rights, which could adversely affect Serapha’s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Serapha’s product candidates are found to infringe the intellectual property rights of third parties, these third parties may assert infringement claims against Serapha’s future licensees or customers and other parties with whom Serapha has business relationships and Serapha may be required to indemnify those parties for any damages they suffer as a result of these claims, which may require Serapha to initiate or defend protracted and costly litigation on behalf of licensees or other parties regardless of the merits of such claims. If any of these claims succeed, Serapha may be forced to pay damages on behalf of those parties or may be required to obtain licenses for the products Serapha uses.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or other legal proceedings relating to Serapha’s intellectual property rights, there is a risk that some of Serapha’s confidential information could be compromised by disclosure during this type of litigation or other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success will depend in part on Serapha’s and Serapha’s current and future licensors’ ability to obtain, maintain and enforce patent protection for Serapha’s owned and licensed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Serapha’s success will depend in part on Serapha’s and its current and future licensors’ (including YolTech’s) ability to obtain, maintain and enforce patent protection for Serapha’s owned and licensed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intellectual property. Serapha may not successfully prosecute Serapha’s current or future patent applications that cover Serapha’s product candidates. Even if patents are issued that are owned by Serapha, Serapha may fail to maintain these patents, or may determine not to pursue litigation against other companies that are infringing these patents. After entry into the YolTech License Agreement, Serapha controls the prosecution, maintenance, defense and enforcement of in-licensed product-specific patents and patent applications directed to SERP-01. Prior to entering into the YolTech License Agreement, YolTech held such rights. Serapha, YolTech and Serapha’s future licensors may not successfully prosecute the licensed patent applications that cover Serapha’s product candidates. Even if patents are issued in respect of these patent applications, Serapha and Serapha’s future licensors (including YolTech) may fail to maintain these patents, may determine not to pursue litigation against other companies that are infringing these patents, or may pursue such litigation less aggressively than Serapha would. Without protection for any owned or in-licensed intellectual property, other companies might be able to offer substantially identical products for sale, which could adversely affect Serapha’s competitive business position and harm Serapha’s business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be subject to claims that Serapha has wrongfully hired an employee from a competitor or that Serapha’s employees, consultants or independent contractors have wrongfully used or disclosed confidential information of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industry, in addition to Serapha’s employees, Serapha engages the services of consultants to assist Serapha in the development of Serapha’s product candidates. Many of these consultants, and many of Serapha’s employees, were previously employed at, or may have previously provided or may be currently providing consulting services to, other biotechnology or pharmaceutical companies, including Serapha’s competitors or potential competitors. Serapha could in the future be subject to claims that Serapha or Serapha’s employees have inadvertently or otherwise used or disclosed alleged trade secrets or other confidential information of former employers or competitors. Although Serapha tries to ensure that its employees and consultants do not use the intellectual property, proprietary information, know-how or trade secrets of others in their work for Serapha, Serapha may become subject to claims that it caused an employee to breach the terms of his or her non-competition or non-solicitation agreement, or that Serapha or these individuals have, inadvertently or otherwise, used or disclosed the alleged trade secrets or other proprietary information of a former employer or competitor. </w:t>
      </w:r>
    </w:p>
    <w:p>
      <w:pPr>
        <w:pStyle w:val="TextBody"/>
        <w:bidi w:val="0"/>
        <w:spacing w:before="240" w:after="0"/>
        <w:jc w:val="left"/>
        <w:rPr>
          <w:rFonts w:ascii="Times New Roman" w:hAnsi="Times New Roman"/>
          <w:sz w:val="20"/>
        </w:rPr>
      </w:pPr>
      <w:r>
        <w:rPr>
          <w:rFonts w:ascii="Times New Roman" w:hAnsi="Times New Roman"/>
          <w:sz w:val="20"/>
        </w:rPr>
        <w:t xml:space="preserve">While Serapha may litigate to defend against these claims, even if Serapha is successful, litigation could result in substantial costs and could be a distraction to management and other employees. If Serapha’s defenses to these claims fail, in addition to requiring Serapha to pay monetary damages, a court could prohibit Serapha from using technologies or features that are essential to Serapha’s product candidates, if such technologies or features are found to incorporate or be derived from the trade secrets or other proprietary information of the former employers. Moreover, any such litigation or the threat thereof may adversely affect Serapha’s reputation, its ability to form strategic alliances or sublicense Serapha’s rights to collaborators, engage with scientific advisors or hire employees or consultants, each of which would have an adverse effect on Serapha’s business, results of operations and financial condition. Even if Serapha is successful in defending against such claims, litigation could result in substantial costs and be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Serapha’s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Serapha’s owned and in-licensed patent applications and the maintenance, enforcement or defense of Serapha’s owned and in-licensed patent applications, if issued.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Serapha’s owned and licensed patent applications and the enforcement or defense of any resulting issued patents, all of which could have a material adverse effect on Serapha’s business, financial condition, results of operations and prospects. Additionally, there have been proposals for additional changes to the patent laws of the United States and other countries that, if adopted, could impact Serapha’s ability to enforce its proprietary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genetic medicines are particularly uncertain, and the law governing the scope and enforceability of patents in the genome-editing field is still developing. The U.S. Supreme Court and U.S. Court of Appeals for the Federal Circuit rulings have narrowed the scope of patent protection available in certain circumstances and weakened the rights of patent owners in certain situations. In addition, foundational patents relating to CRISPR and base-editing technologies are held or controlled by a number of academic institutions and companies, certain of which have exclusively licensed those rights to parties developing genetic medicines, including some of Serapha’s competitors, and the scope, validity and enforceability of those patents remain the subject of dispute and evolving case law.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Serapha’s patent rights and its ability to protect, defend and enforce its patent rights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Serapha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 </w:t>
      </w:r>
    </w:p>
    <w:p>
      <w:pPr>
        <w:pStyle w:val="TextBody"/>
        <w:bidi w:val="0"/>
        <w:spacing w:before="240" w:after="0"/>
        <w:jc w:val="left"/>
        <w:rPr>
          <w:rFonts w:ascii="Times New Roman" w:hAnsi="Times New Roman"/>
          <w:sz w:val="20"/>
        </w:rPr>
      </w:pPr>
      <w:r>
        <w:rPr>
          <w:rFonts w:ascii="Times New Roman" w:hAnsi="Times New Roman"/>
          <w:sz w:val="20"/>
        </w:rPr>
        <w:t xml:space="preserve">Serapha currently in-licenses certain European patent applications, and may obtain or license additional European patents and applications in the future. Such revocation and loss of patent protection could have a material adverse impact on Serapha’s business and its ability to commercialize or license its technology and products. Moreover, the controlling laws and regulations of the UPC will develop over time and may adversely affect Serapha’s ability to enforce or defend the validity of any European patents Serapha may obtain. Serapha, YolTech or any of Serapha’s future licensors or collaboration partners may decide to opt out from the UPC any future European patent applications that Serapha may file or in-license and any patents Serapha may obtain or in-license. If certain formalities and requirements are not met, however, such European patents and patent applications could be challenged for non-compliance and brought under the jurisdiction of the UPC. Serapha cannot be certain that future European patents and patent applications will avoid falling under the jurisdiction of the UPC, if Serapha, YolTech or any of Serapha’s future licensors or collaboration partners decides to opt out of the UPC.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submissions, fee payment and other requirements imposed by governmental patent agencies, and Serapha’s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annuity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Serapha, YolTech or any of Serapha’s future licensors or collaboration partners fails to maintain any future owned or licensed patents, if issued, or fails to maintain any current or future owned or licensed pending patent applications, covering Serapha’s product candidates, its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not identify relevant third-party patents or may incorrectly interpret the relevance, scope or expiration of a third-party patent, which might adversely affect Serapha’s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Serapha cannot guarantee that any of Serapha’s patent searches or analyses, including the identification of relevant patents, the scope of patent claims or the expiration of relevant patents, are complete or thorough, nor can Serapha be certain that it has identified each and every third-party patent and pending application in the United States and abroad that is relevant to or necessary for the commercialization of Serapha’s product candidates in any jurisdiction. The scope of a patent claim is determined by an interpretation of the law, the written disclosure in a patent, the patent’s prosecution history and in some cases certain extrinsic evidence of the meaning of terms in a claim. Serapha’s interpretation of the relevance or the scope of a patent or a pending application may be incorrect. For example, Serapha may incorrectly determine that its products are not covered by a third-party patent or may incorrectly predict whether a third party’s pending application will issue with claims of relevant scope. Serapha’s determination of the expiration date of any patent in the United States or abroad that Serapha considers relevant may be incorrect. Serapha’s failure to identify and correctly interpret relevant patents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Serapha cannot be certain that others have not filed patent applications for technology covered by Serapha’s current or future, owned or licensed patent applications or patents, if issued, or that Serapha is the first to invent the technology. Serapha’s competitors may have filed, and may in the future file, patent applications covering Serapha’s products or technology similar to Serapha’s. Any such patent application may have priority over Serapha’s current or future, owned or licensed patent applications or patents, if issued, which could require Serapha to obtain rights to issued patents covering such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become subject to claims challenging the inventorship or ownership of Serapha’s patents, if issued,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Serapha may be subject to claims that former employees, collaborators or other third parties have an interest in Serapha’s current pending patent application, or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views regarding the contributions of different individuals named as inventors, the effects of foreign laws where foreign nationals are involved in the development of the subject matter of the patent, conflicting obligations of third parties involved in developing Serapha’s product candidates or as a result of questions regarding co-ownership of potential joint inventions. Litigation may be necessary to resolve these and other claims challenging inventorship and/or ownership. Alternatively, or additionally, Serapha may enter into agreements to clarify the scope of Serapha’s rights in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If Serapha fails in defending any such claims, in addition to paying monetary damages, Serapha may lose valuable intellectual property rights, such as exclusive ownership of, or right to use, valuable intellectual property. Such an outcome could have a material adverse effect on Serapha’s business. Even if Serapha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Serapha’s current or future licensors may have relied on third-party consultants or collaborators or on funds from third parties, such as the U.S. government, such that Serapha’s licensors are not the sole and exclusive owners of the patents Serapha in-licensed. If other third parties have ownership rights or other rights to Serapha’s owned or in-licensed pending patent applications or future patents, if filed and issued, they may be able to license such patent applications or patents to Serapha’s competitors, and its competitors could market competing products and technology. This could have a material adverse effect on Serapha’s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Serapha’s competitive position of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the earliest U.S. non-provisional filing date. Various extensions may be available, but the life of a patent, and the protection it affords, is limited. Even if patents covering Serapha’s product candidates are obtained, once the patent life has expired, Serapha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Serapha’s owned and licensed patent portfolio may not provide Serapha with sufficient rights to exclude others from commercializing products similar or identical to Serapha’s.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technology licensed from various third parties may be subject to retained rights. </w:t>
      </w:r>
    </w:p>
    <w:p>
      <w:pPr>
        <w:pStyle w:val="TextBody"/>
        <w:bidi w:val="0"/>
        <w:spacing w:before="120" w:after="0"/>
        <w:jc w:val="left"/>
        <w:rPr>
          <w:rFonts w:ascii="Times New Roman" w:hAnsi="Times New Roman"/>
          <w:sz w:val="20"/>
        </w:rPr>
      </w:pPr>
      <w:r>
        <w:rPr>
          <w:rFonts w:ascii="Times New Roman" w:hAnsi="Times New Roman"/>
          <w:sz w:val="20"/>
        </w:rPr>
        <w:t>Serapha’s future licensors may retain certain rights under the relevant agreements with Serapha, including the right to use or license the licensed technology outside of the scope of Serapha’s license,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Serapha’s licensors limit their use of the technology to these uses, and Serapha could incur substantial expenses to enforce Serapha’s rights to its licensed technology in the event of misuse. In addition, while there are certain restrictions on YolTech’s ability to develop products that could be competitive with Serapha’s as more fully described in “</w:t>
      </w:r>
      <w:r>
        <w:rPr>
          <w:rFonts w:ascii="Times New Roman" w:hAnsi="Times New Roman"/>
          <w:i/>
          <w:sz w:val="20"/>
        </w:rPr>
        <w:t>Serapha’s Business—License and Collaboration Agreements—YolTech License Agreement</w:t>
      </w:r>
      <w:r>
        <w:rPr>
          <w:rFonts w:ascii="Times New Roman" w:hAnsi="Times New Roman"/>
          <w:sz w:val="20"/>
        </w:rPr>
        <w:t xml:space="preserve">” beginning on page 280 of this proxy statement/prospectus, these restrictions may not prevent the possible future license or development by YolTech of certain technology that could lead to product candidates competitive with Serapha’s. This could have a material adverse effect on Serapha’s competitive position,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other comparable foreign regulatory authorities are lengthy, time-consuming and inherently unpredictable. If Serapha is not able to obtain, or if there are delays in obtaining, required regulatory approvals for Serapha’s product candidates, Serapha will not be able to commercialize, or will be delayed in commercializing,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Serapha cannot commercialize product candidates in the United States without first obtaining regulatory approval from the FDA. Similarly, Serapha cannot commercialize product candidates outside of the United States without obtaining regulatory approval from comparable foreign regulatory authorities. Before obtaining regulatory approvals for the commercial sale of Serapha’s product candidates, including SERP-01, Serapha must demonstrate through lengthy, complex and expensive preclinical studies and clinical trials that its product candidates are both safe and effective for each targeted indication. Securing regulatory approval also requires the submission of information about the drug manufacturing process to, and inspection of manufacturing facilities by, the relevant regulatory authority. Further, Serapha’s product candidates may not be effective, may be only moderately effective, may prove to have undesirable or unintended side effects, toxicities or other characteristics, or may fail to improve on the applicable standard of care, any of which may preclude Serapha from obtaining regulatory approval. The FDA and comparable foreign regulatory authorities have discretion in the approval process and may refuse to accept any application or may decide that Serapha’s data are insufficient for approval and require additional preclinical, clinical or other data. Serapha’s product candidates could be delayed in receiving, or fail to receive, regulatory approval for many reasons, including: the FDA or comparable foreign regulatory authorities may disagree with the design or implementation of Serapha’s clinical trials; Serapha may be unable to demonstrate to the satisfaction of the FDA or comparable foreign regulatory authorities that a product candidate is safe and effective for Serapha’s proposed indication; the results of clinical trials may not meet the level of statistical significance required by the FDA or comparable foreign regulatory authorities for approval; serious and unexpected drug-related side effects may be experienced by participants in Serapha’s clinical trials or by individuals using drugs similar to its product candidates; Serapha may be unable to demonstrate that a product candidate’s clinical and other benefits outweigh Serapha’s safety risks; the FDA or comparable foreign regulatory authorities may disagree with Serapha’s interpretation of data from preclinical studies or clinical trials; the data collected from clinical trials of Serapha’s product candidates may not be acceptable or sufficient to support the submission of a biologics license application (“BLA”) or other submission or to obtain regulatory approval in the United States or elsewhere, and Serapha may be required to conduct additional clinical trials; the FDA or the applicable foreign regulatory authority may disagree regarding the formulation, labeling and/or the specifications of Serapha’s product candidates; the FDA or comparable foreign regulatory authorities may fail to approve the manufacturing processes or facilities of third-party manufacturers with which Serapha contracts for clinical and commercial supplies; and the approval policies or regulations of the FDA or comparable foreign regulatory authorities may significantly change in a manner rendering Serapha’s clinical data insufficient for approval. </w:t>
      </w:r>
    </w:p>
    <w:p>
      <w:pPr>
        <w:pStyle w:val="TextBody"/>
        <w:bidi w:val="0"/>
        <w:spacing w:before="240" w:after="0"/>
        <w:jc w:val="left"/>
        <w:rPr>
          <w:rFonts w:ascii="Times New Roman" w:hAnsi="Times New Roman"/>
          <w:sz w:val="20"/>
        </w:rPr>
      </w:pPr>
      <w:r>
        <w:rPr>
          <w:rFonts w:ascii="Times New Roman" w:hAnsi="Times New Roman"/>
          <w:sz w:val="20"/>
        </w:rPr>
        <w:t xml:space="preserve">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Serapha failing to obtain regulatory approval to market Serapha’s product candidates, which would significantly harm Serapha’s business,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Serapha were to obtain approval, regulatory authorities may approve any of Serapha’s product candidates for fewer or more limited indications than Serapha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successful commercialization of that product candidate. If Serapha is not able to obtain, or if there are delays in obtaining, required regulatory approvals for Serapha’s product candidates, Serapha will not be able to commercialize, or will be delayed in commercializing, its product candidates, which could have a material adverse effect on Serapha’s competitive position, business, financial condition, results of operations, and prospects. In addition, the FDA and foreign regulatory authorities may undergo leadership changes, change their policies, issue additional regulations or revise existing regulations, or take other actions, such as those implemented by the Department of Government Efficiency, which may impact Serapha’s clinical development plans or prevent or delay approval of Serapha’s product candidates under development on a timely basis. Such policy or regulatory changes could impose additional requirements upon Serapha that could delay Serapha’s ability to obtain approvals and increase the costs of compliance. Since the start of President Trump’s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Serapha’s business may be negatively impacted. Additionally, the federal government could adopt legislation, regulations or policies that adversely affect Serapha’s business or create a more challenging and costly environment to pursue the development, approval and commercialization of Serapha’s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not be able to meet requirements for the chemistry, manufacturing and control of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receive approval of Serapha’s products by the FDA and comparable foreign regulatory authorities, Serapha must show that it and Serapha’s contract manufacturing partners are able to characterize, control and manufacture Serapha’s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Serapha’s drug products meet stability requirements. Meeting these chemistry, manufacturing and control requirements is a complex task that requires specialized expertise. If Serapha is not able to meet the chemistry, manufacturing and control requirements, Serapha may not be successful in obtaining approval for its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product candidates for which Serapha intends to seek approval as biologics may face competition from biosimilars sooner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The Patient Protection and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0"/>
        <w:jc w:val="left"/>
        <w:rPr>
          <w:rFonts w:ascii="Times New Roman" w:hAnsi="Times New Roman"/>
          <w:sz w:val="20"/>
        </w:rPr>
      </w:pPr>
      <w:r>
        <w:rPr>
          <w:rFonts w:ascii="Times New Roman" w:hAnsi="Times New Roman"/>
          <w:sz w:val="20"/>
        </w:rPr>
        <w:t xml:space="preserve">Serapha believes that any of Serapha’s product candidates approved as biologics under a BLA should qualify for the 12-year period of exclusivity. However, there is a risk that this exclusivity could be shortened due to congressional action or otherwise, or that the FDA will not consider Serapha’s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is not yet clear, and will depend on a number of marketplace and regulatory factors that are still developing.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Serapha receives regulatory approval of Serapha’s product candidates, Serapha will be subject to extensive ongoing regulatory obligations and continued regulatory review, which may result in significant additional expense, and Serapha may be subject to penalties if it fails to comply with regulatory requirements or experiences unanticipated problems with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Serapha may receive for Serapha’s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Serapha’s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Serapha’s product candidates, Serapha’s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Serapha conducts following approval. In addition, manufacturers of drug products and their facilities are subject to continual review and periodic, unannounced inspections by the FDA and other regulatory authorities for compliance with cGMPs. If Serapha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Serapha, including requiring recall or withdrawal of the product from the market or suspension of manufacturing, delays or restrictions on Serapha’s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Serapha or by any of Serapha’s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Serapha’s ability to commercialize its product candidates and generate revenue and could require Serapha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expects to be required to conduct long-term follow-up of patients treated with SERP-01, potentially for up to 15 years, which will impose substantial additional costs and operational burdens. </w:t>
      </w:r>
    </w:p>
    <w:p>
      <w:pPr>
        <w:pStyle w:val="TextBody"/>
        <w:bidi w:val="0"/>
        <w:spacing w:before="120" w:after="0"/>
        <w:jc w:val="left"/>
        <w:rPr>
          <w:rFonts w:ascii="Times New Roman" w:hAnsi="Times New Roman"/>
          <w:sz w:val="20"/>
        </w:rPr>
      </w:pPr>
      <w:r>
        <w:rPr>
          <w:rFonts w:ascii="Times New Roman" w:hAnsi="Times New Roman"/>
          <w:sz w:val="20"/>
        </w:rPr>
        <w:t xml:space="preserve">For human gene therapy products, including genome-editing products, the FDA recommends, and clinical trial protocols typically provide for, long-term follow-up observation of treated subjects to monitor for delayed adverse events, and for products that involve genome editing the recommended duration of such follow-up may be up to 15 years. Comparable foreign regulatory authorities may impose similar requirements. These long-term follow-up obligations will require Serapha to maintain contact with, and collect data from, treated patients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extended period, and will impose substantial additional costs and operational and recordkeeping burdens. If patients are lost to follow-up, or if long-term follow-up reveals delayed or previously unrecognized adverse effects, Serapha’s ability to obtain or maintain regulatory approval for, and to commercialize, SERP-01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Serapha’s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regulatory filings and Serapha’s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Serapha’s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or comparable foreign regulatory authorities may also slow the time necessary for the review and approval of applications for clinical trial or marketing authorization, which would adversely affect Serapha’s business. For example, in recent years, including in 2018, 2019 and 2025,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Serapha’s ability to progress development of its product candidates or obtain regulatory approval for its product candidates. If a prolonged government shutdown occurs, it could significantly impact the ability of the FDA to timely review and process Serapha’s regulatory submissions, which could have a material adverse effect on its business. Further, future government shutdowns could impact Serapha’s ability to access the public markets and obtain necessary capital in order to properly capitalize and continue Serapha’s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Serapha’s regulatory submissions, which could have a material adverse effect on Serapha’s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face difficulties from healthcare and regulatory legislative reform measures. </w:t>
      </w:r>
    </w:p>
    <w:p>
      <w:pPr>
        <w:pStyle w:val="TextBody"/>
        <w:bidi w:val="0"/>
        <w:spacing w:before="120" w:after="0"/>
        <w:jc w:val="left"/>
        <w:rPr>
          <w:rFonts w:ascii="Times New Roman" w:hAnsi="Times New Roman"/>
          <w:sz w:val="20"/>
        </w:rPr>
      </w:pPr>
      <w:r>
        <w:rPr>
          <w:rFonts w:ascii="Times New Roman" w:hAnsi="Times New Roman"/>
          <w:sz w:val="20"/>
        </w:rPr>
        <w:t xml:space="preserve">Existing regulatory policies may change, and additional government regulations may be enacted that could prevent, limit or delay regulatory approval of Serapha’s product candidates. Serapha cannot predict the likelihood, nature or extent of government regulation that may arise from future legislation or administrative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Serapha is slow or unable to adapt to changes in existing requirements or the adoption of new requirements or policies, or if Serapha is not able to maintain regulatory compliance, Serapha may lose any regulatory approval that it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business operations and current and future arrangements with investigators, healthcare professionals, consultants, third-party payors, patient organizations and customers will be subject to applicable healthcare regulatory laws, which could expose Serapha to penalties. </w:t>
      </w:r>
    </w:p>
    <w:p>
      <w:pPr>
        <w:pStyle w:val="TextBody"/>
        <w:bidi w:val="0"/>
        <w:spacing w:before="120" w:after="0"/>
        <w:jc w:val="left"/>
        <w:rPr>
          <w:rFonts w:ascii="Times New Roman" w:hAnsi="Times New Roman"/>
          <w:sz w:val="20"/>
        </w:rPr>
      </w:pPr>
      <w:r>
        <w:rPr>
          <w:rFonts w:ascii="Times New Roman" w:hAnsi="Times New Roman"/>
          <w:sz w:val="20"/>
        </w:rPr>
        <w:t xml:space="preserve">Serapha’s business operations and current and future arrangements with investigators, healthcare professionals, consultants, third-party payors, patient organizations and customers may expose Serapha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broadly applicable fraud and abuse and other healthcare laws and regulations. These laws may constrain the business or financial arrangements and relationships through which Serapha conducts its operations, including how it researches, markets, sells and distributes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Ensuring that Serapha’s internal operations and future business arrangements with third parties comply with applicable healthcare laws and regulations will involve substantial costs. If Serapha’s operations are found to be in violation of any of these laws or any other governmental laws and regulations that may apply to Serapha, it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Serapha’s operations. Further, defending against any such actions can be costly and time-consuming and may require significant personnel resources. Therefore, even if Serapha is successful in defending against any such actions that may be brought against it, Serapha’s business may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Serapha is able to commercialize any product candidates, due to unfavorable pricing regulations and/or third-party coverage and reimbursement policies, Serapha may not be able to offer such product candidates at competitive prices, which would seriously harm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intends to seek approval to market Serapha’s product candidates in both the United States and in selected foreign jurisdictions. If Serapha obtains approval in one or more foreign jurisdictions for Serapha’s product candidates, Serapha will be subject to rules and regulations in those jurisdictions. Serapha’s ability to successfully commercialize any product candidates that Serapha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Serapha’s products in an attempt to reduce their costs, which may reduce Serapha’s commercial opportunity.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subject to U.S. and certain foreign export and import controls, sanctions, embargoes, anti-corruption laws, and anti-money laundering laws and regulations. Serapha can face criminal liability and other serious consequences for violations, which can harm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is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the USA PATRIOT Act, and other state and national anti-bribery and anti-money laundering laws in the countries in which Serapha conducts activities. Governmental regulation of the import or export of Serapha’s drug candidates, or Serapha’s failure to obtain any required import or export authorization for its candidates, when applicable, could harm Serapha’s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Serapha may engage third parties to sell Serapha’s products outside the United States, to conduct clinical trials, and/or to obtain necessary permits, licenses, patent registrations, and other regulatory approvals. Serapha has direct or indirect interactions with officials and employees of government agencies or government-affiliated hospitals, universities, and other organizations. Serapha can be held liable for the corrupt or other illegal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of Serapha’s employees, agents, contractors, and other collaborators, even if Serapha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the United States tend to impose strict price controls, which may adversely affect Serapha’s revenue, if any.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Serapha or future collaborators may be required to conduct a clinical trial or other studies that compare the cost-effectiveness of Serapha’s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Serapha’s business, financial condition, results of operations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While Serapha has received Regenerative Medicine Advanced Therapy and orphan drug designations for SERP-01, such designations may not lead to a faster development or regulatory review or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The FDA may grant Regenerative Medicine Advanced Therapy (“RMAT”) designation to a regenerative medicine therapy, including certain gene therapies, that is intended to treat a serious or life-threatening disease or condition and for which preliminary clinical evidence indicates the potential to address unmet medical needs for such a disease or condition. RMAT designation provides the benefits of the FDA’s Fast Track and Breakthrough Therapy designation programs, including greater interactions with the FDA and eligibility for rolling review of a marketing application, and may support eligibility for accelerated approval. Separately, the FDA may grant orphan drug designation to a product intended to treat a rare disease or condition affecting fewer than 200,000 individuals in the United States, which provides certain benefits, including tax credits, an exemption from BLA user fees and, upon the first approval of the product for the designated indication, potential eligibility for seven years of orphan drug marketing exclusivity. In May 2026, the FDA granted SERP-01 orphan drug designation for the treatment of PiZZ AATD and RMAT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designation of a product for RMAT or orphan drug status is within the discretion of the FDA. The receipt of such designations for a product candidate does not guarantee that there will be faster development or a faster or more streamlined regulatory review or approval process compared to products considered for approval under conventional FDA procedures. The receipt of these designations does not assure ultimate approval by the FDA. In addition, the FDA may later decide that the product candidate no longer meets the conditions to qualify for the RMAT designation, and Serapha may not receive the benefits of those programs for the relevant product candidate, or decide that the time period for FDA review or approval will not be shortened. Additionally, changes in the leadership of the FDA and other actions taken,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Serapha’s ability to take advantage of the benefits of the RMAT and orphan drug designations granted to SERP-01, and to progress the development of, or obtain regulatory approval for, Serapha’s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Serapha is unable to obtain accelerated approval, the amount, size and duration of Serapha’s clinical trials could be greater than planned, which could increase the expense, reduce the likelihood, and/or delay the timing of obtaining necessary regulatory approvals. Even if Serapha receives accelerated approval, if confirmatory trials do not verify clinical benefit, or if Serapha does not comply with rigorous post-approval requirements, such authorities may withdraw accelerated approval. </w:t>
      </w:r>
    </w:p>
    <w:p>
      <w:pPr>
        <w:pStyle w:val="TextBody"/>
        <w:bidi w:val="0"/>
        <w:spacing w:before="120" w:after="0"/>
        <w:jc w:val="left"/>
        <w:rPr>
          <w:rFonts w:ascii="Times New Roman" w:hAnsi="Times New Roman"/>
          <w:sz w:val="20"/>
        </w:rPr>
      </w:pPr>
      <w:r>
        <w:rPr>
          <w:rFonts w:ascii="Times New Roman" w:hAnsi="Times New Roman"/>
          <w:sz w:val="20"/>
        </w:rPr>
        <w:t xml:space="preserve">Serapha intends to seek accelerated approval for SERP-01 based on restoration of serum AAT as a surrogate endpoint reasonably likely to predict clinical benefit, and may seek other expedited development, review or approval status for its product candidates. Even if granted, there is no guarantee that receiving an expedited development, review or approval status from the FDA will lead to a faster development or regulatory review or approval process, and such status does not increase the likelihood that Serapha’s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Serapha chooses to pursue accelerated approval, there can be no assurance that the FDA will agree that Serapha’s proposed primary endpoint is an appropriate surrogate endpoint. Similarly, there can be no assurance that after subsequent FDA feedback, Serapha will continue to pursue accelerated approval or any other form of expedited development, review, or approval, even if Serapha initially decides to do so. Furthermore, if Serapha submits an application for accelerated approval, there can be no assurance that such application will be accepted or that approval will be granted on a timely basis, or at all. The FDA also could require Serapha to conduct further studies or trials prior to considering Serapha’s application or granting approval of any type. Serapha might not be able to fulfill the FDA’s requirements in a timely manner, which would cause delays, or approval might not be granted because Serapha’s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Serapha receives accelerated approval from the FDA, Serapha will be subject to rigorous post-approval requirements, including submission to the FDA of all promotional materials prior to their dissemination. The FDA could withdraw accelerated approval for multiple reasons, including Serapha’s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Serapha’s competitive position in the marketplace. Comparable considerations apply outside of the United States. </w:t>
      </w:r>
    </w:p>
    <w:p>
      <w:pPr>
        <w:pStyle w:val="TextBody"/>
        <w:bidi w:val="0"/>
        <w:spacing w:before="360" w:after="0"/>
        <w:jc w:val="left"/>
        <w:rPr>
          <w:rFonts w:ascii="Times New Roman" w:hAnsi="Times New Roman"/>
          <w:b/>
          <w:sz w:val="20"/>
        </w:rPr>
      </w:pPr>
      <w:bookmarkStart w:id="10" w:name="tx108148_708"/>
      <w:bookmarkEnd w:id="10"/>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Boundless Bio” or “Risks Related to Serapha”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Boundless Bio</w:t>
      </w:r>
      <w:r>
        <w:rPr>
          <w:rFonts w:ascii="Times New Roman" w:hAnsi="Times New Roman"/>
          <w:sz w:val="20"/>
        </w:rPr>
        <w:t>” and “</w:t>
      </w:r>
      <w:r>
        <w:rPr>
          <w:rFonts w:ascii="Times New Roman" w:hAnsi="Times New Roman"/>
          <w:i/>
          <w:sz w:val="20"/>
        </w:rPr>
        <w:t>Risks Related to Serapha.</w:t>
      </w:r>
      <w:r>
        <w:rPr>
          <w:rFonts w:ascii="Times New Roman" w:hAnsi="Times New Roman"/>
          <w:sz w:val="20"/>
        </w:rPr>
        <w:t xml:space="preserve">” To the extent 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 common stock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market price of the Combined Company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 common stock following the Merger could be subject to significant fluctuations. Some of the factors that may cause the market price of the Combined Company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 common stock. In addition, a recession, depression or other sustained adverse market event could materially and adversely affect the Combined Company’s business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its common stock. In the past, following periods of volatility in the market price of a company’s securities, stockholders have often instituted class action securities litigation against such companies. Furthermore, market volatility may lead to increased stockholder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it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are expected to result in substantially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negatively impact its ability to implement its business plan successfully.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conduct the costly and time-consuming clinical efficacy trials necessary to pursue regulatory approval of each potential product candidate and to continue the development of SERP-01 and Serapha’s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Additional capital may be costly or difficult to obtain. The sale of common stock or securities convertible or exchangeable into common stock could significantly dilute the Combined Company’s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Serapha did not incur as a private company, including costs associated with public company reporting obligations under the Exchange Act. The Combined Company’s management team will consist of the executive officers of Serapha prior to the Merger. These executive officers and other personnel will need to devote substantial time to adhere to public company reporting requirements and comply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of Nasdaq will prevent its stock from being listed on Nasdaq.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Boundless Bio, under the new name “Serapha Bio, Inc.,” will be required to meet the initial listing requirements to maintain the listing and continued trading of its shares on Nasdaq. These initial listing requirements are more difficult to achieve than the continued listing requirements. Pursuant to the Merger Agreement, Boundless Bio agreed to use its commercially reasonable efforts to cause the shares of Boundless Bio Common Stock being issued in the Merger to be approved for listing on Nasdaq at or prior to the Effective Time. Based on information currently available to Boundless Bio, Boundless Bio anticipates that its stock will be unable to meet the $4.00 minimum bid price initial listing requirement at the Closing unless it effects the Nasdaq Reverse Split. Based on the recent trading prices of Boundless Bio Common Stock, Boundless Bio and Serapha currently estimate that a reverse stock split ratio of at least 1-for- would be required to increase the per-share market price to $4.00, which is the minimum initial listing price requirement of Nasdaq. The final reverse stock split ratio will be determined mutually by the Boundless Bio Board of Directors and the Serapha Board of Directors prior to the Closing based primarily on the then-current trading price of Boundless Bio Common Stock and the objective of achieving a post-closing per-share price that (1) satisfies Nasdaq’s listing requirements and (2) provides an appropriate and sustainable post-closing per-share market price that the parties believe will better position the Combined Company for long-term trading stability, investor interest and market visibility, taking into account prevailing market conditions and other relevant factors. Accordingly, the ratio effected is likely to be greater than the minimum necessary to satisfy Nasdaq’s listing standards. In addition, a reverse stock split will often not result in a trading price for the affected common stock that is proportional to the ratio of the split. Following the Merger, if the Combined Company is unable to satisfy Nasdaq listing requirements, Nasdaq may notify the Combined Company that its shares of common stock will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Upon a potential delisting from Nasdaq, if the Combined Company common stock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coverage by securities analysts, market making activity and information available concerning trading prices and volume;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fewer broker-dealers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is expected to be eligible to report as a “smaller reporting company,” and as a result of the reduced reporting requirements applicable to such companies, the Combined Company’s securities may be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expected to be eligible to report as a “smaller reporting company,” as such term is defined in Rule 12b-2 under the Exchange Act. For as long as the Combined Company continues to be eligible to report as a “smaller reporting company,” it may take advantage of exemptions from various reporting requirements that are applicable to other public companies that are not “smaller reporting companies,” including reduced disclosure obligations regarding executive compensation in the Combined Company’s periodic reports, proxy statements and registration statements. The Combined Company may take advantage of these reporting exemptions until it is no longer a “smaller reporting company.” The Combined Company will remain a “smaller reporting company” until the last day of any fiscal year for so long as either (1) the market value of shares of Combined Company common stock held by non-affiliates does not equal or exceed $250.0 million as of the prior June 30th, or (2) the Combined Company’s annual revenues did not equal or exceed $100.0 million during such completed fiscal year and the market value of shares of Combined Company common stock held by non-affiliates did not equal or exceed $700.0 million as of the prior June 30th. In addition, if the Combined Company continues to be a “non-accelerated filer” as determined by Rule 12b-2 under the Exchange Act, or for so long as it continues to qualify as an “emerging growth company” as defined in the JOBS Act, it will continue to be exempt from the auditor attestation requirements in the assessment of the Combined Company’s internal controls over financial reporting, as required under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not be able to predict if investors will find the Combined Company common stock less attractive because it will rely on these exemptions. If some investors find the Combined Company’s securities less attractive because it relies on any of these exemptions, there may be a less active trading market for the Combined Company common stock and the price of the Combined Company common stock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described above, for at least the near term, the Combined Company expects to be able to take advantage of certain exemptions available to “smaller reporting companies.”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 common stock may be harmed. For example, if the Combined Company or its independent auditor identifies deficiencies in the Combined Company’s internal controls over financial reporting that are deemed to be material weaknesses, the Combined Company could face additional costs to remedy those deficiencies, the market price of the Combined Company common stock could decline or the Combined Company could be subject to sanctions or investigations by the SEC or other regulatory authorities, which would require additional financial and management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controls over financial reporting. The Combined Company must perform system and process evaluation and testing of its internal controls over financial reporting to allow management to report on the effectiveness of its internal controls over financial reporting in its Annual Report on Form 10-K filing for that year, as required by Section 404 of the Sarbanes-Oxley Act. However, for so long as the Combined Company qualifies as a “non-accelerated filer” under Rule 12b-2 of the Exchange Act or as an “emerging growth company” under the JOBS Act, the Combined Company will not be required to have its independent registered public accounting firm attest to the effectiveness of its internal control over financial reporting pursuant to the Sarbanes-Oxley Act. As a private company, Serapha has not been required to document and test its internal controls over financial reporting nor has its management been required to certify the effectiveness of its internal controls and its auditors have not been required to opine on the effectiveness of its internal controls over financial reporting. Following the Merger, the Combined Company will be required to incur substantial professional fees and internal costs to expand its accounting and finance functions and expend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financial and accounting controls and procedures that could result in a material misstatement of its financial statements. The Combined Company’s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Serapha expect the Combined Company to amend its bylaws to provide that, unless the Combined Company consents in writing to the selection of an alternative forum, certain designated courts will be the sole and exclusive forum for certain legal actions between the Combined Company and its stockholders, which could limit its stockholders’ ability to obtain a favorable judicial forum for disputes with the Combined Company or its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Serapha expect the Combined Company to amend its bylaws to provide that, unless the Combined Company consents in writing to the selection of an alternative forum, the Court of Chancery of the State of Delaware (or, if the Court of Chancery does not have jurisdiction, or declines to accept, the federal district court for the District of Delaware or other state courts of the State of Delaware) is the sole and exclusive forum for the following types of proceedings: (1) any derivative action or proceeding brought on the Combined Company’s behalf, (2) any action asserting a claim of or based on a breach of a fiduciary duty owed by any of the Combined Company’s current or former directors, officers, employees or stockholders to the Combined Company or its stockholders, (3) any action asserting a claim arising pursuant to any provision of the DGCL or as to which the DGCL confers jurisdiction on the Court of Chancery of the State of Delaware or (4) any action asserting a claim arising pursuant to any provision of the Combined Company’s certificate of incorporation or its bylaws (in each case, as they may be amended from time to time) or that is governed by the internal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doctrine, in each case subject to the Court of Chancery having personal jurisdiction over the indispensable parties named as defendants therein, which for purposes of this risk factor is referred to herein as the “Delaware Forum Provision.” The Delaware Forum Provision will not apply to any causes of action arising under the Securities Act and the Exchange Act. Boundless Bio and Serapha expect the Combined Company to also amend its bylaws to provide that, unless it consents in writing to an alternative forum, federal district courts of the United States will be the sole and exclusive forum for any complaint asserting a cause of action arising under the Securities Act, which for purposes of this risk factor is referred to herein as the “Federal Forum Provision.” There is uncertainty as to whether a court would enforce such a provision. The Federal Forum Provision will not apply to any causes of action arising under the Exchange Act. In addition, the bylaws of the Combined Company will provide that any person or entity purchasing or otherwise acquiring or holding any interest in shares of its capital stock is deemed to have notice of and consented to the foregoing Delaware Forum Provision and Federal Forum Provision; provided, however, that stockholders cannot and will not be deemed to have waived the Combined Company’s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impose additional costs on stockholders of the Combined Company in pursuing any such claims, particularly if the stockholders do not reside in or near the State of Delaware or were permitted to select another jurisdiction. Additionally, the forum selection clauses in the bylaws of the Combined Company may limit its stockholders’ ability to bring a claim in a judicial forum that they find favorable for disputes with the Combined Company or its directors, officers, employees or stockholders, which may discourage such lawsuits against the Combined Company and its directors, officers, employees and stockholders even though an action, if successful, might benefit its stockholders. Alternatively, if a court were to find the Delaware Forum Provision or the Federal Forum Provision contained in the Combined Company’s bylaws to be inapplicable or unenforceable in an action, the Combined Company may incur additional costs associated with resolving such action in other jurisdictions, which could materially and adversely affect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that will be in the Combined Company’s certificate of incorporation and bylaws and provisions under Delaware law could make an acquisition of the Combined Company more difficult and may prevent attempts by its stockholders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that will be included in the Combined Company’s certificate of incorporation and bylaws may discourage, delay or prevent a merger, acquisition or other change in control of the Combined Company that stockholders may consider favorable, including transactions in which its common stockholders might otherwise receive a premium price for their shares. These provisions could also limit the price that investors might be willing to pay in the future for shares of the Combined Company’s common stock, thereby depressing the market price of its common stock. In addition, because the Combined Company’s board of directors will be responsible for appointing the members of the Combined Company’s management team, these provisions may frustrate or prevent any attempts by the Combined Company’s stockholders to replace or remove its current management by making it more difficult for stockholders to replace members of the Combined Company board of directors. Among other things, these provisions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the use of a classified board of directors such that not all members of the Combined Company board of directors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Company’s directors to be changed only by resolution of its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the Combined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its stockholders by written consent;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Company’s board of directors to issue preferred stock without stockholder approval, which could be used to institute a “poison pill” that would work to dilute the stock ownership of a potential hostile acquirer, effectively preventing acquisitions that have not been approved by the Combined Company’s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66 2/3% of the votes that all Combined Company stockholders would be entitled to cast to amend or repeal certain provisions of the Combined Company’s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Boundless Bio and Serapha believe these provisions collectively will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then-current management by making it more difficult for stockholders to replace members of the board of directors,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Serapha do not anticipate that the Combined Company will pay any cash dividends in the foreseeable future other than the Boundless Bio Pre-Closing Dividend that Boundless Bio will declare and pay to the holders of record of outstanding shares of Boundless Bio Common Stock as of a record date prior to the Effective Time, to be set by the Boundless Bio Board of Directors as close as reasonably practicable to (but not later than) the anticipated Closing Date.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Boundless Bio Pre-Closing Dividend, the current expectation is that the Combined Company will retain its future earnings, if any, to fund the growth of the Combined Company’s business as opposed to paying dividends. As a result, capital appreciation, if any, of the Combined Company common stock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Serapha Capital Stock. An active trading market for the shares of the Combined Company common stock may never develop or be sustained. If an active market for the Combined Company common stock does not develop or is not sustained, it may be difficult for the Combined Company’s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Boundless Bio and Serapha sell, or indicate an intention to sell, substantial amounts of the Combined Company common stock in the public market after legal restrictions on resale discussed in this proxy statement/prospectus lapse, the trading price of the Combined Company common stock could decline. Based on shares outstanding as of    , 2026, after giving effect to the estimated Exchange Ratio and the shares of Serapha Common Stock to be issued in the Serapha Pre-Closing Financing and shares expected to be issued upon completion of the Merger and prior to giving effect to the anticipated Nasdaq Reverse Split, the Combined Company is expected to have outstanding a total of approximately    million shares of common stock immediately following the completion of the Merger (or approximately     billion shares of common stock after giving effect to the exercise of Serapha Pre-Funded Warrants to be issued in the Serapha Pre-Closing Financing). Approximately     million shares (or approximately     billion shares, if Serapha Pre-Funded Warrants are exercised) will be freely tradeable upon completion of the Merger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million shares (or approximately     million shares, if Serapha Pre-Funded Warrants are exercised) will become available for sale in the public market beginning 180 days after the Closing as a result of the expiration of lock-up agreements between Boundless Bio on the one hand and certain securityholders of Serapha on the other hand (and without giving effect to any restrictions on resale under securities laws). In addition, shares of common stock that are subject to outstanding options of Serapha will become eligible for sale in the public market to the extent permitted by the provisions of various vesting agreements and Rules 144 and 701 under the Securities Act. If these shares are sold, the trading price of the Combined Company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the Combined Company’s executive officers, directors and principal stockholders will have the ability to control or significantly influence all matters submitted to the Combined Company’s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and giving effect to the issuance of the shares of Serapha Common Stock and Serapha Pre-Funded Warrants prior to the Closing pursuant to the Serapha Pre-Closing Financing, it is anticipated that the Combined Company’s executive officers, directors and principal stockholders will, in the aggregate, beneficially own approximately    % of the outstanding shares of Combined Company common stock (on a fully-diluted basis), subject to beneficial ownership limitations and certain assumptions, including, but not limited to, the Boundless Bio Net Cash as of Closing being $0. Boundless Bio management currently anticipates the Boundless Bio Net Cash as of Closing will be approximately $0, after giving effect to the Boundless Bio Pre-Closing Dividend, which is expected to be approximately $44 million to $48 million in the aggregate, and the currently estimated ownership percentages reflect this projection. As a result, if these stockholders were to choose to act together, they would be able to control or significantly influence all matters submitted to the Combined Company’s stockholders for approval, as well as the Combined Company’s management and affairs. For example, these stockholders, if they choose to act together, would control or significantly influence the election of directors and approval of any merger, consolidation or sale of all or substantially all of the Combined Company’s assets. This concentration of voting power could delay or prevent an acquisition of the Combined Company on terms that other stockholders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 common stock will be influenced by the research and reports that equity research analysts publish about it and its business. Equity research analysts may elect not to provide research coverage of the Combined Company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Serapha Pre-Closing Financing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Serapha Pre-Closing Financing. You may not agree with the Combined Company’s decisions, and its use of the proceeds may not yield any return on your investment. The Combined Company’s failure to apply these resources effectively could compromise its ability to pursue its growth strategy and the Combined Company might not be able to yield a significant return, if any, on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of these net proceeds. You will not have the opportunity to influence its decisions on how to use the Combined Company’s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NOL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each of Boundless Bio and Serapha has incurred losses during its history, and the Combined Company does not expect to become profitable in the near future and may never achieve profitability. As of December 31, 2025, Boundless Bio had federal and state NOL carryforwards of approximately $161.4 million and $231.3 million, respectively, and federal and state research and development tax credit carryforwards of approximately $9.3 million and $5.9 million, respectively. As of June 30, 2026, Serapha had federal and state NOL carryforwards of approximately $1.9 million and $1.9 million. Under current law, U.S. federal NOLs incurred in tax years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Code, U.S. federal NOL carryforwards and other tax attributes may become subject to an annual limitation in the event of certain cumulative changes in ownership. Boundless Bio has not completed an ownership change analysis pursuant to Section 382 of the Code, and has not performed a formal study of its research and development tax credits; as a result, the amount of NOL and research tax credit carryforwards available to offset future taxable income may be significantly reduced, restricted or eliminated if ownership changes within the meaning of Section 382 of the Code are identified as having occurred, and the amount of research tax credits may be reduced upon completion of such a study.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The Combined Company’s ability to utilize its NOL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subject to federal, state and local income and other taxes in the United States and in foreign jurisdictions because of the scope of its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the Combined Company, possibly with retroactive effect. For example, the U.S. government enacted legislation commonly referred to as the OBBBA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IRS and other taxing authorities with respect to this and other legislation may affect the Combined Company, and certain aspects of such legislation could be repealed or modified in future legislation or sunset in future years. In addition, it is uncertain if and to what extent various states will conform to federal law. To the extent that any such changes in tax laws and regulations have a negative impact on the Combined Company, including as a result of related uncertainty, its business, financial condition, results of operations and cash flows may be materially and adversely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08148_8"/>
      <w:bookmarkEnd w:id="1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into this proxy statement/prospectus contain forward-looking statements relating to Boundless Bio, Serapha, the Merger and the other proposed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express or implied statements relating to Boundless Bio’s and Serapha’s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Boundless Bio, Serapha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involve a number of risks, uncertainties (some of which are beyond Boundless Bio’s or Serapha’s control) or other assumptions that may cause actual results or performance to be materially different from those expressed or implied by these forward-looking statements. These risks and uncertainties include, but are not limited to: the risk that the conditions to the Closing are not satisfied, including the failure to obtain stockholder approval for the Merger; the risk that the Serapha Pre-Closing Financing is not completed in a timely manner or at all; uncertainties as to the timing of the consummation of the transaction and the ability of each of Boundless Bio and Serapha to consummate the transaction, including the Serapha Pre-Closing Financing; risks related to Boundless Bio’s continued listing on Nasdaq until Closing; risks related to Boundless Bio’s and Serapha’s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statements regarding the Boundless Bio Pre-Closing Dividend that Boundless Bio may pay Boundless Bio’s stockholders in connection with the completion of the Merger; the effect of the announcement or pendency of the Merger on Boundless Bio’s or Serapha’s business relationships, operating results and business generally; costs related to the Merger; the outcome of any legal proceedings that may be instituted against Boundless Bio, Serapha or any of their respective directors or officers related to the Merger Agreement or the transactions contemplated thereby; the ability of Serapha to protect its intellectual property rights; competitive responses to the transaction; unexpected costs, charges or expenses resulting from the transaction; potential adverse reactions or changes to business relationships resulting from the announcement or completion of the transaction; adverse legislative, regulatory, political and economic developments; the risk of setbacks in Serapha’s plans to develop and commercialize product candidates for the treatment of AATD; Serapha’s ability to maintain the YolTech License Agreement and enter into new license and collaboration agreements; delays or challenges in Serapha’s ongoing and future preclinical studies and clinical trials and the reporting of data from those studies and trials; the risk that the efficacy and safety of Serapha’s product candidates will be disappointing compared with expectations; Serapha’s plans relating to the further development of its programs, including additional indications Serapha may pursue; the risk that the size of the market opportunity for Serapha’s programs, including Serapha’s estimates of the number of patients who suffer from the diseases it is targeting may be lower than expected; Serapha’s reliance on third parties to conduct additional preclinical studies and clinical trials of its programs and for the manufacture of Serapha’s programs for preclinical studies and clinical trials; the risk of negative developments in the cost, timing and results of Serapha’s preclinical and clinical development activities and planned clinical trials; Serapha’s plans regarding, and its ability to maintain, obtain, and negotiate favorable terms of, any collaboration, licensing or other arrangements that may be necessary or desirable to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manufacture or commercialize its programs; and the timing of and Serapha’s ability to obtain and maintain regulatory approvals for its product candidates, as well as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these risks or uncertainties materialize, or should any of Boundless Bio’s or Serapha’s assumptions prove incorrect, actual results may vary in material respects from those projected in these forward-looking statements. There may be additional risks that Boundless Bio considers immaterial or which are unknown. It is not possible to predict or identify all such risks. Boundless Bio’s and Serapha’s forward-looking statements only speak as of the date they are made, and Boundless Bio and Serapha do not undertake any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For a discussion of the factors that may cause Boundless Bio, Serapha or the Combined Company’s actual results, performance or achievements to differ materially from any future results, performance or achievements expressed or implied in such forward-looking statements, or for a discussion of risk associated with the ability of Boundless Bio and Serapha to complete the Merger and the effect of the Merger on the business of Boundless Bio, Serapha and the Combined Company, please see the section titled “</w:t>
      </w:r>
      <w:r>
        <w:rPr>
          <w:rFonts w:ascii="Times New Roman" w:hAnsi="Times New Roman"/>
          <w:i/>
          <w:sz w:val="20"/>
        </w:rPr>
        <w:t>Risk Factors</w:t>
      </w:r>
      <w:r>
        <w:rPr>
          <w:rFonts w:ascii="Times New Roman" w:hAnsi="Times New Roman"/>
          <w:sz w:val="20"/>
        </w:rPr>
        <w:t>” beginning on page 19 of this proxy statement/prospectus. Additional factors that could cause actual results to differ materially from those expressed in the forward-looking statements are discussed in reports filed with the SEC by Boundless Bio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392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Boundless Bio, Serapha or the Combined Company could differ materially from the forward-looking statements. All forward-looking statements in this proxy statement/prospectus are current only as of the date on which the statements were made. Boundless Bio and Serapha do not undertake any obligation to (and expressly disclaim any such obligation to) publicly update any forward-looking statement to reflect events or circumstances after the date on which any statement is made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08148_9"/>
      <w:bookmarkEnd w:id="12"/>
      <w:r>
        <w:rPr>
          <w:rFonts w:ascii="Times New Roman" w:hAnsi="Times New Roman"/>
          <w:b/>
          <w:sz w:val="20"/>
        </w:rPr>
        <w:t xml:space="preserve">THE SPECIAL MEETING OF BOUNDLESS BIO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Special Meeting will be held on    , 2026, commencing at    Pacific Time, unless postponed or adjourned to a later date. The Boundless Bio Special Meeting will be held entirely online via live audio webcast. Please visit </w:t>
      </w:r>
      <w:r>
        <w:rPr>
          <w:rFonts w:ascii="Times New Roman" w:hAnsi="Times New Roman"/>
          <w:i/>
          <w:sz w:val="20"/>
        </w:rPr>
        <w:t>www.proxydocs.com/BOLD</w:t>
      </w:r>
      <w:r>
        <w:rPr>
          <w:rFonts w:ascii="Times New Roman" w:hAnsi="Times New Roman"/>
          <w:sz w:val="20"/>
        </w:rPr>
        <w:t xml:space="preserve"> for more details. You may register to attend the meeting at </w:t>
      </w:r>
      <w:r>
        <w:rPr>
          <w:rFonts w:ascii="Times New Roman" w:hAnsi="Times New Roman"/>
          <w:i/>
          <w:sz w:val="20"/>
        </w:rPr>
        <w:t>www.proxydocs.com/BOLD</w:t>
      </w:r>
      <w:r>
        <w:rPr>
          <w:rFonts w:ascii="Times New Roman" w:hAnsi="Times New Roman"/>
          <w:sz w:val="20"/>
        </w:rPr>
        <w:t xml:space="preserve">. You will be able to vote online during the meeting. You will need the control number included on your proxy card or on the instructions that accompanied your proxy materials to attend the meeting. Boundless Bio is sending this proxy statement/prospectus to its stockholders in connection with the solicitation of proxies by the Boundless Bio Board of Directors for use at the Boundless Bio Special Meeting and any adjournments or postponements of the Boundless Bio Special Meeting. This proxy statement/prospectus is first being furnished to Boundless Bio stockholders on or about    , 2026. </w:t>
      </w:r>
    </w:p>
    <w:p>
      <w:pPr>
        <w:pStyle w:val="TextBody"/>
        <w:bidi w:val="0"/>
        <w:spacing w:before="240" w:after="0"/>
        <w:jc w:val="left"/>
        <w:rPr>
          <w:rFonts w:ascii="Times New Roman" w:hAnsi="Times New Roman"/>
          <w:sz w:val="20"/>
        </w:rPr>
      </w:pPr>
      <w:r>
        <w:rPr>
          <w:rFonts w:ascii="Times New Roman" w:hAnsi="Times New Roman"/>
          <w:sz w:val="20"/>
        </w:rPr>
        <w:t xml:space="preserve">You may submit a question in advance of the Boundless Bio Special Meeting as a part of the registration process. Questions pertinent to the Boundless Bio Special Meeting and that are submitted in accordance with Boundless Bio’s rules of conduct for the Boundless Bio Special Meeting will be answered during the Boundless Bio Special Meeting, subject to applicable time constraints. Questions and answers may be grouped by topic and substantially similar questions may be grouped and answered once. In order to promote fairness, efficient use of time, and in order to ensure all stockholders are responded to, Boundless Bio will respond to up to two questions from a single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Boundless Bio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Boundless Bio Special Meeting are: </w:t>
      </w:r>
    </w:p>
    <w:p>
      <w:pPr>
        <w:pStyle w:val="TextBody"/>
        <w:bidi w:val="0"/>
        <w:spacing w:before="120" w:after="0"/>
        <w:jc w:val="left"/>
        <w:rPr>
          <w:rFonts w:ascii="Times New Roman" w:hAnsi="Times New Roman"/>
          <w:sz w:val="20"/>
        </w:rPr>
      </w:pPr>
      <w:r>
        <w:rPr>
          <w:rFonts w:ascii="Times New Roman" w:hAnsi="Times New Roman"/>
          <w:sz w:val="20"/>
        </w:rPr>
        <w:t xml:space="preserve">(1) To approve the issuance of shares of common stock of Boundless Bio, par value $0.0001 per share (the “Boundless Bio Common Stock”), (including the shares of Boundless Bio Common Stock issuable upon exercise of Assumed Warrants and the Boundless Bio Pre-Funded Warrants) to stockholders of Serapha Bio, Inc. (“Serapha”) pursuant to the terms of the Agreement and Plan of Merger and Reorganization, dated as of June 22, 2026, as amended by Amendment No. 1 to Agreement and Plan of Merger and Reorganization, dated as of August 28, 2026 (as amended, the “Merger Agreement”), by and among Boundless Bio, Serapha and Boulder Merger Sub Corp. (“Merger Sub”), a copy of which is attached as </w:t>
      </w:r>
      <w:r>
        <w:rPr>
          <w:rFonts w:ascii="Times New Roman" w:hAnsi="Times New Roman"/>
          <w:i/>
          <w:sz w:val="20"/>
        </w:rPr>
        <w:t>Annex A</w:t>
      </w:r>
      <w:r>
        <w:rPr>
          <w:rFonts w:ascii="Times New Roman" w:hAnsi="Times New Roman"/>
          <w:sz w:val="20"/>
        </w:rPr>
        <w:t xml:space="preserve">, pursuant to which, among other matters, Merger Sub will merge with and into Serapha, with Serapha surviving as a wholly owned subsidiary of Boundless Bio and the surviving corporation of the merger (the “Merger”), which will (i) represent more than 20% of the shares of Boundless Bio Common Stock outstanding immediately prior to the Merger under Nasdaq Listing Rule 5635(a), and (ii) result in a change of control under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(2) To approve an amendment to the amended and restated certificate of incorporation of Boundless Bio (the “Boundless Bio Charter”) to effect a reverse stock split of Boundless Bio’s issued and outstanding common stock at a ratio determined by the Boundless Bio Board of Directors and agreed to by Serapha, of one new share of Boundless Bio Common Stock for every    to    shares (or any number in between) of outstanding Boundless Bio Common Stock, in the form attached as </w:t>
      </w:r>
      <w:r>
        <w:rPr>
          <w:rFonts w:ascii="Times New Roman" w:hAnsi="Times New Roman"/>
          <w:i/>
          <w:sz w:val="20"/>
        </w:rPr>
        <w:t>Annex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To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To approve the Serapha Bio, Inc. 2026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(5) To approve the Serapha Bio, Inc. 2026 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 To approve an adjournment of the Boundless Bio Special Meeting, if necessary, to solicit additional proxies if there are not sufficient votes in favor of Proposal Nos. 1, 2 and 3; and </w:t>
      </w:r>
    </w:p>
    <w:p>
      <w:pPr>
        <w:pStyle w:val="TextBody"/>
        <w:bidi w:val="0"/>
        <w:spacing w:before="240" w:after="0"/>
        <w:jc w:val="left"/>
        <w:rPr>
          <w:rFonts w:ascii="Times New Roman" w:hAnsi="Times New Roman"/>
          <w:sz w:val="20"/>
        </w:rPr>
      </w:pPr>
      <w:r>
        <w:rPr>
          <w:rFonts w:ascii="Times New Roman" w:hAnsi="Times New Roman"/>
          <w:sz w:val="20"/>
        </w:rPr>
        <w:t xml:space="preserve">(7) To transact such other business as may properly come before the stockholders at the Boundless Bio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Each of Proposal Nos. 1, 2 and 3 is a condition to completion of the Merger. The issuance of Boundless Bio Common Stock, including shares of Boundless Bio Common Stock issuable upon exercise of Assumed Warrants issued in exchange for Serapha Pre-Funded Warrants sold in the Serapha Pre-Closing Financing and the Boundless Bio Pre-Funded Warrants, and the change of control of Boundless Bio resulting from the Merger will not take place unless Proposal Nos. 1, 2 and 3 are approved by Boundless Bio stockholders and the Merger is consummated. The amendment to the Boundless Bio Charter to increase the number of authorized shares of Boundless Bio Common Stock also will not take place unless Proposal Nos. 1, 2, and 3 are approved by Boundless Bio stockholders and the Merger is consummated. However, the Boundless Bio Board of Directors may determine to effect the Nasdaq Reverse Split if approved by Boundless Bio stockholders following the special meeting, even if either Proposal No. 1 or Proposal No. 3 is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The approvals of Proposal Nos. 4, 5 and 6 are not conditions to the completion of the Merger. The implementation of Proposal Nos. 4 and 5 are each conditioned on the consummation of the Merger. Boundless Bio does not expect that any matter other than the Proposals will be brought before the Boundless Bio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Boundless Bio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the issuance of shares of Boundless Bio Common Stock, including shares of Boundless Bio Common Stock issuable upon the exercise of Assumed Warrants and Boundless Bio Pre-Funded Warrants, pursuant to the Merger Agreement is fair to, in the best interests of, and advisable to, Boundless Bio and its stockholders and has approved such issuance. The Boundless Bio Board of Directors unanimously recommends that Boundless Bio stockholders vote “FOR” the Nasdaq Stock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amendment to Boundless Bio’s charter to effect the Nasdaq Reverse Split, as described in this proxy statement/prospectus. The Boundless Bio Board of Directors unanimously recommends that Boundless Bio stockholders vote “FOR” the Nasdaq Reverse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amendment to Boundless Bio’s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as described in this proxy statement/prospectus. The Boundless Bio Board of Directors unanimously recommends that Boundless Bio stockholders vote “FOR” the Authorized Share Increase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Serapha Bio, Inc. 2026 Stock Incentive Plan, as described in this proxy statement/prospectus. The Boundless Bio Board of Directors unanimously recommends that Boundless Bio stockholders vote “FOR” the Stock Plan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Serapha Bio, Inc. 2026 Employee Stock Purchase Plan, as described in this proxy statement/prospectus. The Boundless Bio Board of Directors unanimously recommends that Boundless Bio stockholders vote “FOR” the ESPP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adjourning the Boundless Bio special meeting, if necessary, to solicit additional proxies if there are not sufficient votes in favor of the Nasdaq Stock Issuance Proposal, the Nasdaq Reverse Split Proposal and/or the Authorized Share Increase Proposal is fair to, in the best interests of, and advisable to, Boundless Bio and its stockholders and has approved and adopted the proposal. The Boundless Bio Board of Directors unanimously recommends that Boundless Bio stockholders vote “FOR” the Adjournment Proposal, if necessary.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Boundless Bio Common Stock at the close of business on the Record Date of    , 2026, are entitled to notice of, and to vote at, the Boundless Bio Special Meeting. At the close of business on    , 2026, there were registered holders of record of Boundless Bio Common Stock and there were shares of Boundless Bio Common Stock issued and outstanding. Each share of Boundless Bio Common Stock entitles the holder thereof to one vote on each matter submitted for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Boundless Bio Board of Directors for use at the Boundless Bio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Boundless Bio Common Stock, Computershare Trust Company, N.A., then you are a stockholder of record. As a stockholder of record, you may vote online during the Boundless Bio Special Meeting or vote by proxy. Whether or not you plan to attend the Boundless Bio Special Meeting, Boundless Bio urges you to vote by proxy over the telephone or on the internet as instructed below or return the proxy card Boundless Bio may mail to you to ensure your vote is counted, the form of which is attached hereto as </w:t>
      </w:r>
      <w:r>
        <w:rPr>
          <w:rFonts w:ascii="Times New Roman" w:hAnsi="Times New Roman"/>
          <w:i/>
          <w:sz w:val="20"/>
        </w:rPr>
        <w:t>Annex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attend the Boundless Bio Special Meeting online and vote online during the meeting. Alternatively, you may vote by proxy by using the accompanying proxy card, over the internet or by telephone. Whether or not you plan to attend the Boundless Bio Special Meeting, Boundless Bio encourages you to vote by proxy to ensure your vote is counted. Even if you have submitted a proxy before the Boundless Bio Special Meeting, you may still attend the Boundless Bio Special Meeting and vote.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online during the meeting, you must register to attend the meeting at </w:t>
            </w:r>
            <w:r>
              <w:rPr>
                <w:rFonts w:ascii="Times New Roman" w:hAnsi="Times New Roman"/>
                <w:i/>
                <w:sz w:val="20"/>
              </w:rPr>
              <w:t>www.proxydocs.com/BOLD</w:t>
            </w:r>
            <w:r>
              <w:rPr>
                <w:rFonts w:ascii="Times New Roman" w:hAnsi="Times New Roman"/>
                <w:sz w:val="20"/>
              </w:rPr>
              <w:t xml:space="preserve"> and provide your control number by 2:00 p.m. Pacific Time on    , 2026. After completion of your registration, further instructions, including a unique link to access the Boundless Bio Special Meeting, will be emailed to you. If you attend the Boundless Bio Special Meeting and vote online during the meeting, your vote will revoke any proxy that you have previously submitted. Simply attending the Boundless Bio Special Meeting will not, by itself, revoke your proxy. Please be aware that you must bear any costs associated with your internet access, such as usage charges from internet access providers and telephone or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Boundless Bio may elect to deliver at a later time and return it promptly in the envelope provided. If you return your signed proxy card to Boundless Bio before the special meeting, Boundless Bio will vote your shares as you direct in accordance with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telephone by calling the toll-free number found on the proxy card. Your telephone vote must be received by 8:59 p.m. Pacific Time on    , 2026 to be counted.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You will be asked to provide the company number and control number on the enclosed proxy card. Your internet vote must be received by 8:59 p.m. Pacific Time on    , 2026 to be counted.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Boundless Bio. Simply complete and mail the voting instruction card to ensure that your vote is counted. To vote at the Boundless Bio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Boundless Bio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Whether a proposal is considered routine or non-routine is subject to stock exchange rules and final determination by the stock exchange. Even with respect to routine matters, some brokers choose not to exercise their discretionary voting authority. As a result, Boundless Bio urges you to direct your broker, bank or other agent how to vote your shares on all proposals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Boundless Bio Special Meeting. Broker non-votes, if any, will not be counted as “votes properly cast” and will therefore have no effect on Proposal Nos. 1, 2, 3, 4, 5 and 6.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Boundless Bio Special Meeting and at any adjournments or postponements of the Boundless Bio Special Meeting in accordance with the instructions contained in the proxy. </w:t>
      </w:r>
      <w:r>
        <w:rPr>
          <w:rFonts w:ascii="Times New Roman" w:hAnsi="Times New Roman"/>
          <w:b/>
          <w:sz w:val="20"/>
        </w:rPr>
        <w:t>If a stockholder of record of Boundless Bio Common Stock executes and returns a proxy and does not specify otherwise, the shares represented by that proxy will be voted “FOR” all of the proposals in accordance with the recommendation of the Boundless Bio Board of Directors.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Boundless Bio Special Meeting is necessary to constitute a quorum at the meeting for the purpose of approving the proposals. Abstentions and broker non-votes, if any, will be counted towards the presence of a quorum. The affirmative vote of a majority of the votes properly cast for and against by the holders of Boundless Bio Common Stock at the Boundless Bio Special Meeting, assuming a quorum is present, is required for approval of Proposal Nos. 1, 2, 3, 4, 5, and 6. </w:t>
      </w:r>
    </w:p>
    <w:p>
      <w:pPr>
        <w:pStyle w:val="TextBody"/>
        <w:bidi w:val="0"/>
        <w:spacing w:before="240" w:after="0"/>
        <w:jc w:val="left"/>
        <w:rPr>
          <w:rFonts w:ascii="Times New Roman" w:hAnsi="Times New Roman"/>
          <w:sz w:val="20"/>
        </w:rPr>
      </w:pPr>
      <w:r>
        <w:rPr>
          <w:rFonts w:ascii="Times New Roman" w:hAnsi="Times New Roman"/>
          <w:sz w:val="20"/>
        </w:rPr>
        <w:t xml:space="preserve">Each of Proposal No. 1, Proposal No. 2 and Proposal No. 3 is a condition to completion of the Merger. The closing of the Serapha Pre-Closing Financing is conditioned upon the satisfaction or waiver of each of the conditions to the closing of the Merger as well as certain other conditions. Therefore, the Merger and the Serapha Pre-Closing Financing cannot be consummated without the approval of Proposal Nos. 1, 2 and 3. The issuance of Boundless Bio Common Stock in connection with the Merger and the change of control of Boundless Bio resulting from the Merger will not take place unless Proposal Nos. 1, 2 and 3 are approved by Boundless Bio stockholders and the Nasdaq Reverse Split and increase in authorized shares is effected and the Merger is consummated. The amendment to the Boundless Bio Charter to effect the Nasdaq Reverse Split will not take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place unless Proposal No. 2 is approved by the requisite Boundless Bio stockholders. Boundless Bio may still elect to proceed with the Nasdaq Reverse Split if Proposal No. 2 is approved by Boundless Bio’s stockholders even if Proposal No. 1 and/or Proposal No. 3 is not approved, or even if approved, the Merger is not consummated. The amendment to the Boundless Bio Charter to increase the number of authorized shares of Boundless Bio Common Stock will not take place unless Proposal Nos. 1, 2, and 3 are approved by Boundless Bio stockholders and the Merger is consummated. Additionally, the implementation of Proposal Nos. 4 and 5 are each conditioned on the consummation of the Merger. Therefore, if Proposal No. 1, Proposal No. 2 and Proposal No. 3 are not approved and the Merger is not consummated, Proposal Nos. 4 and 5 will each have no effect, even if approved by Boundless Bio stockholders.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if any. Abstentions and broker non-votes, if any, will be treated as shares present for the purpose of determining the presence of a quorum for the transaction of business at the Boundless Bio Special Meeting, but will not be counted as votes cast and will have no effect on the outcome of the vote for each proposal.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Boundless Bio stockholders who in the aggregate beneficially owned approximately 1.7% of the outstanding shares of Boundless Bio Common Stock as of June 22, 2026, and Decheng Capital Global Life Sciences Fund V-A, L.P., Decheng Capital Global Life Sciences Fund V-B, L.P., Decheng Capital Global Life Sciences Fund V, L.P., RA Capital Healthcare Fund, L.P., RA Capital Nexus Fund IV, L.P. and RTW Holdings X, LLC (solely in their respective capacities as Serapha stockholders), who in the aggregate owned approximately 65.0% of the outstanding shares of Serapha Capital Stock as of June 22, 2026, are parties to stockholder support agreements with Boundless Bio and Serapha whereby such stockholders have agreed to vote in favor of the approval of the transactions contemplated therein, including, with respect to such Serapha stockholders, adoption of the Merger Agreement and approval of the Merger and, with respect to such Boundless Bio stockholders, Proposal Nos. 1, 2 and 3, subject to the terms of the support agreements. Following the effectiveness of the registration statement on Form S-4 of which the accompanying proxy statement/prospectus is a part and pursuant to the Merger Agreement, Serapha stockholders holding a sufficient number of shares of Serapha Capital Stock to adopt the Merger Agreement and approve the Merger and related transactions will be asked to execute written consents providing for such adoption and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Boundless Bio may solicit proxies from Boundless Bio stockholders by personal interview, telephone, email, fax or otherwise. Boundless Bio and Serapha will share equally the costs of printing and filing this proxy statement/prospectus and proxy card. Arrangements will also be made with brokerage firms and other custodians, nominees and fiduciaries who are record holders of Boundless Bio Common Stock for the forwarding of solicitation materials to the beneficial owners of Boundless Bio Common Stock. Boundless Bio will reimburse these brokers, custodians, nominees and fiduciaries for the reasonable out of pocket expenses they incur in connection with the forwarding of solicitation materials. Boundless Bio has retained MacKenzie Partners, Inc. as its proxy solicitor. </w:t>
      </w:r>
    </w:p>
    <w:p>
      <w:pPr>
        <w:pStyle w:val="TextBody"/>
        <w:bidi w:val="0"/>
        <w:spacing w:before="240" w:after="0"/>
        <w:jc w:val="left"/>
        <w:rPr>
          <w:rFonts w:ascii="Times New Roman" w:hAnsi="Times New Roman"/>
          <w:sz w:val="20"/>
        </w:rPr>
      </w:pPr>
      <w:r>
        <w:rPr>
          <w:rFonts w:ascii="Times New Roman" w:hAnsi="Times New Roman"/>
          <w:sz w:val="20"/>
        </w:rPr>
        <w:t xml:space="preserve">Boundless Bio will pay the fees of the Proxy Solicitor, which Boundless Bio expects to be approximately $17,500, plus reimbursement for certain out-of-pocket expenses. Boundless Bio has agreed to indemnify the Proxy Solicitor and related parties against certain liabilities and expenses arising out of its services in connection with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Boundless Bio Board of Directors does not know of any business to be presented at the Boundless Bio Special Meeting other than as set forth in the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accompanying this proxy statement/prospectus. If any other matters should properly come before the Boundless Bio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08148_10"/>
      <w:bookmarkEnd w:id="13"/>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191 of this proxy statement/prospectus describe the material aspects of the Merger and the Merger Agreement. While Boundless Bio and Serapha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beginning on page 392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Transaction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The following chronology does not purport to catalogue every conversation among the Boundless Bio Board of Directors or committees thereof or the representatives of Boundless Bio, Serapha or other parties. In addition to formal meetings of the Boundless Bio Board of Directors, Boundless Bio management had informal discussions with the Boundless Bio Board of Directors throughout the process. The terms of the Merger Agreement are the result of extensive arm’s-length negotiations among Serapha management and Boundless Bio management and members of the Boundless Bio Board of Directors and the Serapha Board of Directors, along with Boundless Bio’s financial advisor and Boundless Bio’s and Serapha’s respective legal counsel.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commencement of its strategic alternatives process (discussed below), Boundless Bio was focused on researching and developing extrachromosomal DNA-directed therapeutic candidates (“ecDTx”) for the treatment of oncogene amplified cancers. Boundless Bio’s lead ecDTx, BBI-940, was a novel, oral, selective kinesin degrader in early clinical development. Boundless Bio had also been investigating BBI-355 and BBI-825 in clinical trials. As described below, Boundless Bio made decisions to cease enrollment of its clinical trials based on clinical data, market conditions and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In an effort to enhance stockholder value, the Boundless Bio Board of Directors and Boundless Bio management regularly reviewed and discussed Boundless Bio’s business, performance, financial condition, near- and long-term operations and strategic priorities. These reviews and discussions included, among other things, the risks and benefits associated with Boundless Bio’s product candidates, current and anticipated business and industry trends, the competitive landscape, regulatory conditions, the financial markets and the macroeconomic environment.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these ongoing evaluations, the Boundless Bio Board of Directors and Boundless Bio management also considered various strategic business initiatives intended to strengthen Boundless Bio’s business and enhance stockholder value. These initiatives included opportunities for strategic relationships, collaborations and other potential long-term strategic options to develop and commercialize Boundless Bio’s product candidates, broaden Boundless Bio’s pipeline, improve opportunities to license or acquire rights to product candidates, and/or otherwise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With a concerted focus on in-licensing over the course of approximately two years preceding the execution of the Merger Agreement, Boundless Bio had conducted extensive efforts to identify and in-license new clinical-stage assets, identifying over 200 opportunities globally, evaluating over 100, conducting varying levels of diligence on over 50, and performing extensive work on three. Boundless Bio determined that pursuing such identified in-licensing opportunities involved substantial deal and timing risk and, if pursued, would have required highly dilutive financing, if such financing were available at all, and, taking into account all other factors considered, would not be in the best interests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20, 2026, Boundless Bio announced its intention to cease enrollment in the Phase 1/2 POTENTIATE clinical trial evaluating the combination of BBI-355 and BBI-825 based on market conditions, available data, and the prioritization of its BBI-940 program.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Zachary Hornby, Boundless Bio’s Chief Executive Officer, and representatives of Lucid met and discussed opportunities for possible strategic options for Boundless Bio.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the Boundless Bio Board of Directors held a meeting at which it continued to discuss, among other things, in-licensing opportunities, strategic opportunities and contingency planning with respect to its BBI-940 development efforts, and efforts to minimize Boundless Bio’s long-term lease liability to improve value for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a member of the Boundless Bio Board of Directors introduced Boundless Bio management to a privately-held biotechnology company (“Party A”) potentially interested in a strategic transaction with Boundless Bio, and on March 25, 2026, Party A signed a non-disclosure agreement with Boundless Bio in connection with the evaluation of strategic alternatives. The non-disclosure agreement did not contain an exclusivity or standstill provision. Thereafter, Party A engaged with Boundless Bio management in discussions on various combination structures in connection with raising additional financing and Party A ceased such discussions on or prior to May 20, 2026. </w:t>
      </w:r>
    </w:p>
    <w:p>
      <w:pPr>
        <w:pStyle w:val="TextBody"/>
        <w:bidi w:val="0"/>
        <w:spacing w:before="240" w:after="0"/>
        <w:jc w:val="left"/>
        <w:rPr>
          <w:rFonts w:ascii="Times New Roman" w:hAnsi="Times New Roman"/>
          <w:sz w:val="20"/>
        </w:rPr>
      </w:pPr>
      <w:r>
        <w:rPr>
          <w:rFonts w:ascii="Times New Roman" w:hAnsi="Times New Roman"/>
          <w:sz w:val="20"/>
        </w:rPr>
        <w:t xml:space="preserve">On April 13, 2026, Boundless Bio entered into an agreement with the landlord for its headquarters facility to terminate its long-term lease for approximately 50,000 square feet that was not set to expire until 2034 and entered into a new, shorter-term lease for approximately 10,000 square feet commencing on June 1, 2026, reducing its long-term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In May 2026, Boundless Bio management directed Lucid to evaluate strategic alternatives, including outreach to potential reverse merger transaction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Throughout May 2026, Lucid reached out to select counterparties to identify potential strategic transaction opportunities for Boundless Bio. At the direction of Boundless Bio management, Lucid’s outreach was focused on identifying potential counterparty companies that had or would be able to raise significant capital to fund their respective pipelines, thereby best allowing Boundless Bio stockholders to participate in new opportunities with mitigated financing risk while also allowing for a return of capital to Boundless Bio stockholders. In total, Lucid conducted outreach to approximately 14 potential counterparties. Five potential counterparties entered into non-disclosure agreements as further described below, none of which contained an exclusivity or standstill provision.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Boundless Bio entered into a non-disclosure agreement with a life sciences investment firm (“Party B”) in connection with potential reverse merger opportunities. On or about May 20, 2026, Party B informed Lucid that it was no longer interested in a transaction with Boundless Bio.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Boundless Bio entered into a non-disclosure agreement with RTW Investments, LP, a life sciences investment firm, with respect to Serapha, a company co-founded by RTW and RA Capital Management, LP. </w:t>
      </w:r>
    </w:p>
    <w:p>
      <w:pPr>
        <w:pStyle w:val="TextBody"/>
        <w:bidi w:val="0"/>
        <w:spacing w:before="240" w:after="0"/>
        <w:jc w:val="left"/>
        <w:rPr>
          <w:rFonts w:ascii="Times New Roman" w:hAnsi="Times New Roman"/>
          <w:sz w:val="20"/>
        </w:rPr>
      </w:pPr>
      <w:r>
        <w:rPr>
          <w:rFonts w:ascii="Times New Roman" w:hAnsi="Times New Roman"/>
          <w:sz w:val="20"/>
        </w:rPr>
        <w:t xml:space="preserve">On May 16, 2026, Boundless Bio entered into a non-disclosure agreement with a privately-held biotechnology company (“Party C”) in connection with a potential reverse merger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Boundless Bio executed a non-disclosure agreement with an additional privately-held biotechnology company (“Party D”), regarding a potential reverse merger transaction with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19, 2026, RA Capital also signed a non-disclosure agreement with Boundless Bio in connection with its consideration of a potential transaction involving Serapha.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Lucid received an initial term sheet from Wedbush Securities Inc. (“Wedbush”), financial advisor to Serapha, setting forth proposed terms for a potential reverse merger transaction of Boundless Bio and Serapha. The initial term sheet contemplated, among other things, the Boundless Bio Pre-Closing Dividend and a Boundless Bio valuation of $10 million (assuming $0 of Boundless Bio net cash at closing, after giving effect to the Boundless Bio Pre-Closing Dividend), a Serapha valuation of $150.0 million, and a concurrent private placement equity financing of $200.0 million. The term sheet included a proposed mutual exclusivity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Boundless Bio held a call with representatives of Serapha and Wedbush to learn about the product candidate Serapha was in-licensing, development plans and proposed transaction structure. Following that call, Lucid sent a revised term sheet to Wedbush on Boundless Bio’s behalf, reflecting, among other things, an increase in the Boundless Bio valuation to $15.0 million (assuming $0 of Boundless Bio net cash at closing, after giving effect to the Boundless Bio Pre-Closing Dividend) and a mutual 45-day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2026, Boundless Bio conducted a separate call with representatives of Party D to evaluate that opportunity; following the call, Party D provided Boundless Bio with a non-binding proposal letter outlining proposed terms for a potential reverse merger transaction with Boundless Bio, including the Boundless Bio Pre-Closing Dividend, a proposed Party D valuation range of $135.0 million to $150.0 million, a proposed Boundless Bio valuation of $11.5 million (assuming $0 of Boundless Bio net cash at closing, after giving effect to the Boundless Bio Pre-Closing Dividend), and a proposed concurrent private placement of $125.0 million. </w:t>
      </w:r>
    </w:p>
    <w:p>
      <w:pPr>
        <w:pStyle w:val="TextBody"/>
        <w:bidi w:val="0"/>
        <w:spacing w:before="240" w:after="0"/>
        <w:jc w:val="left"/>
        <w:rPr>
          <w:rFonts w:ascii="Times New Roman" w:hAnsi="Times New Roman"/>
          <w:sz w:val="20"/>
        </w:rPr>
      </w:pPr>
      <w:r>
        <w:rPr>
          <w:rFonts w:ascii="Times New Roman" w:hAnsi="Times New Roman"/>
          <w:sz w:val="20"/>
        </w:rPr>
        <w:t xml:space="preserve">Between May 27 and May 29, 2026, Lucid and Wedbush continued to exchange revised Serapha term sheets on behalf of Boundless Bio and Serapha, respectively. The negotiations during this period focused on, among other things, the valuation to be ascribed to Boundless Bio and the duration of the mutual exclusivity period, and on May 29, 2026, Wedbush confirmed that Serapha was in a position to execute a letter of intent on the terms discussed.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course of discussions with the various parties, Mr. Hornby met with each member of the Boundless Bio Board of Directors to discuss updates, including the potential business combination with Serapha and others.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Lucid, on behalf of Boundless Bio, delivered a term sheet to Party D in response to Party D’s proposal letter, which proposed, among other things, the Boundless Bio Pre-Closing Dividend, a Party D valuation of $142.5 million, an increase in the Boundless Bio valuation to $15.0 million (assuming $0 of Boundless Bio net cash at closing, after giving effect to the Boundless Bio Pre-Closing Dividend), a concurrent private placement of $125.0 million, and a mutual 45-day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On or about May 28, 2026, discussions between Boundless Bio and Party C ceased as Party C had not sufficiently progressed in forming a committed financing syndicate to offer a concurrent private placement that would be competitive with the other opportunities under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Lucid received a markup from Party D of the Party D term sheet, which counter-proposed certain terms including, among other things, a Boundless Bio valuation of $13.0 million (assuming $0 of Boundless Bio net cash at closing, after giving effect to the Boundless Bio Pre-Closing Dividend) and the elimination of the previously proposed mutual 45-day exclusivity period in favor of a proposal that the parties negotiate and execute a long-form non-binding letter of intent within seven days following execution of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On May 30, 2026, the Boundless Bio Board of Directors held a meeting at which members of Boundless Bio management and representatives of Lucid and Latham &amp; Watkins LLP (“Latham”), Boundless Bio’s outside legal counsel, were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management reviewed with the Boundless Bio Board of Directors preliminary data from the KOMODO-1 clinical trial. In considering potential next steps of the BBI-940 program, the Boundless Bio Board of Directors and management considered a broad number of factors, including, among other things, development opportunities, clinical execution and trial risk, and the capital requirements to obtain initial safety and efficacy data and further develop BBI-940.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management then provided an update on Boundless Bio’s in-licensing search and evaluation efforts, reviewed key activities over the past two years, and the Boundless Bio Board of Directors discussed various considerations including the likely dilutive financing requirements to support a new in-licensed program as well as timing requirements and related risks in continued search and selection efforts. </w:t>
      </w:r>
    </w:p>
    <w:p>
      <w:pPr>
        <w:pStyle w:val="TextBody"/>
        <w:bidi w:val="0"/>
        <w:spacing w:before="240" w:after="0"/>
        <w:jc w:val="left"/>
        <w:rPr>
          <w:rFonts w:ascii="Times New Roman" w:hAnsi="Times New Roman"/>
          <w:sz w:val="20"/>
        </w:rPr>
      </w:pPr>
      <w:r>
        <w:rPr>
          <w:rFonts w:ascii="Times New Roman" w:hAnsi="Times New Roman"/>
          <w:sz w:val="20"/>
        </w:rPr>
        <w:t xml:space="preserve">Lucid then presented an overview of its outreach to identify potential counterparties, discussions to date, and reviewed with the Boundless Bio Board of Directors the transaction terms then under negotiation for each of the Serapha and Party D opportunities, including the respective proposed valuations, financing structures and expected post-closing ownership for Boundless Bio stockholders. With respect to the two proposals, Lucid noted that the Serapha opportunity involved a Phase 2-ready, in-licensed asset targeting a rare genetic disorder, with anticipated financing led by RTW and RA Capital of approximately $200.0 million, a proposed Serapha valuation of $150.0 million, a proposed Boundless Bio valuation then under negotiation between $12.5 million and $15.0 million (assuming $0 of Boundless Bio net cash at closing, after giving effect to the Boundless Bio Pre-Closing Dividend), and a term sheet that included binding mutual exclusivity provisions for a period of 30 days effective immediately upon execution. By contrast, the Party D opportunity involved a Phase 3 asset, with anticipated financing led by other institutional investors of approximately $125.0 million, a proposed Party D valuation of $142.5 million, a proposed Boundless Bio valuation of $13.0 million (assuming $0 of Boundless Bio net cash at closing, after giving effect to the Boundless Bio Pre-Closing Dividend), and a proposal to defer exclusivity provisions to a subsequent long-form letter of intent to be negotiated within seven days of signing rather than committing to exclusivity at signing the non-binding term sheet. Boundless Bio management and the Boundless Bio Board of Directors considered among other things the relative development stage, financing profile, proposed economics and relative certainty of each opportunity.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Latham discussed with the Boundless Bio Board of Directors its fiduciary duties under Delaware law in connection with the evaluation of strategic alternatives, including, but not limited to, its fiduciary duties in connection with a reverse merger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Following discussion and comparison of the two proposals and taking into account all factors considered, the Boundless Bio Board of Directors approved entering into a term sheet on the terms presented by Serapha, and, until such time as a satisfactory term sheet was executed, authorized Boundless Bio management to concurrently seek to improve the term sheets for each counterparty. The Boundless Bio Board of Directors also approved the formal engagement of Lucid and, following the meeting, on May 30, 2026, Boundless Bio executed Lucid’s engagement letter, pursuant to which Boundless Bio retained Lucid as its exclusive financial advisor in connection with the evaluation and negotiation of a potential sale or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May 30, 2026 and the execution of the Merger Agreement, Boundless Bio continued to evaluate data from the KOMODO-1 clinical trial and, based on additional preliminary pharmacokinetic exposure data from the KOMODO-1 clinical trial indicating that the human oral bioavailability of BBI-940 was lower than had been predicted based on preclinical studies, Boundless Bio determined that the data did not support continued clinical development of BBI-940.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Boundless Bio executed a Letter of Intent with Serapha (the “LOI”) setting forth the principal terms of the proposed reverse merger transaction, including a mutual exclusivity provision restricting Boundless Bio and Serapha from soliciting or engaging in discussions regarding alternative acquisition proposals during a period commencing upon execution of the LOI and terminating no earlier than the 30th day thereafter. The LOI contemplated, among other things, a Boundless Bio valuation of $12.5 million (assuming $0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net cash at closing, after giving effect to the Boundless Bio Pre-Closing Dividend), a Serapha valuation of $150.0 million and a total financing size of $200.0 million. The contemplated transaction involved a reverse merger of Serapha into a subsidiary of Boundless Bio, with Boundless Bio stockholders receiving the Boundless Bio Pre-Closing Dividend and maintaining a minority equity ownership position in the combined company. Following execution of the LOI, Boundless Bio and Serapha, along with their respective financial and legal advisors, convened a call and discussed aspects of the transaction, including next steps and certain due diligence matters. </w:t>
      </w:r>
    </w:p>
    <w:p>
      <w:pPr>
        <w:pStyle w:val="TextBody"/>
        <w:bidi w:val="0"/>
        <w:spacing w:before="240" w:after="0"/>
        <w:jc w:val="left"/>
        <w:rPr>
          <w:rFonts w:ascii="Times New Roman" w:hAnsi="Times New Roman"/>
          <w:sz w:val="20"/>
        </w:rPr>
      </w:pPr>
      <w:r>
        <w:rPr>
          <w:rFonts w:ascii="Times New Roman" w:hAnsi="Times New Roman"/>
          <w:sz w:val="20"/>
        </w:rPr>
        <w:t xml:space="preserve">On June 7, 2026, Latham sent the initial draft of the Merger Agreement to Gibson, Dunn &amp; Crutcher LLP (“Gibson Dunn”), outside legal counsel to Serapha. </w:t>
      </w:r>
    </w:p>
    <w:p>
      <w:pPr>
        <w:pStyle w:val="TextBody"/>
        <w:bidi w:val="0"/>
        <w:spacing w:before="240" w:after="0"/>
        <w:jc w:val="left"/>
        <w:rPr>
          <w:rFonts w:ascii="Times New Roman" w:hAnsi="Times New Roman"/>
          <w:sz w:val="20"/>
        </w:rPr>
      </w:pPr>
      <w:r>
        <w:rPr>
          <w:rFonts w:ascii="Times New Roman" w:hAnsi="Times New Roman"/>
          <w:sz w:val="20"/>
        </w:rPr>
        <w:t xml:space="preserve">Beginning on June 9, 2026 and continuing regularly through the execution of the Merger Agreement, representatives of Boundless Bio, Lucid, Latham, Serapha, Wedbush and Gibson Dunn held calls to discuss the status of the transaction, open issues in the Merger Agreement and ancillary documents, and related timing matters.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9, 2026, Boundless Bio management held a call with representatives of Serapha to discuss the terms of the proposed license agreement between Serapha and YolTech Therapeutics Co., Ltd. (“YolTech” and such license agreement, the “YolTech License Agreement”), which included providing YolTech with certain anti-dilution protection, and its impact on the transaction economics. Boundless Bio management proposed that the valuation ascribed to Boundless Bio be increased from $12.5 million to $15.0 million (in each case, assuming $0 of Boundless Bio net cash at closing, after giving effect to the Boundless Bio Pre-Closing Dividend) on account of the anti-dilution terms proposed in the YolTech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the parties agreed to lower Serapha’s valuation from $150.0 million to $73.7 million to offset anti-dilution provisions associated with the YolTech License Agreement, while increasing the total expected financing size from $200.0 million to $230.0 million (consisting of approximately $138.0 million in the Series A Financing and approximately $92.0 million in the concurrent Serapha Pre-Closing Financing), while maintaining the valuation ascribed to Boundless Bio as $12.5 million (assuming $0 of Boundless Bio net cash at closing, after giving effect to the Boundless Bio Pre-Closing Dividend). As a result of the revised terms, Boundless Bio stockholders’ expected post-closing ownership on a fully diluted basis (after taking into account the 2026 Stock Plan and 2026 ESPP) increased from approximately 3.45% to approximately 3.7% (after giving effect to a post-closing adjustment anti-dilution mechanism pursuant to which YolTech will receive additional shares of Serapha capital stock to preserve its fully diluted ownership percentage in Serapha as of immediately prior to the Merger (the “YolTech True-Up”)). </w:t>
      </w:r>
    </w:p>
    <w:p>
      <w:pPr>
        <w:pStyle w:val="TextBody"/>
        <w:bidi w:val="0"/>
        <w:spacing w:before="240" w:after="0"/>
        <w:jc w:val="left"/>
        <w:rPr>
          <w:rFonts w:ascii="Times New Roman" w:hAnsi="Times New Roman"/>
          <w:sz w:val="20"/>
        </w:rPr>
      </w:pPr>
      <w:r>
        <w:rPr>
          <w:rFonts w:ascii="Times New Roman" w:hAnsi="Times New Roman"/>
          <w:sz w:val="20"/>
        </w:rPr>
        <w:t xml:space="preserve">Following such discussions, on June 12, 2026, Gibson Dunn sent a revised draft of the Merger Agreement to Latham. Gibson Dunn’s revised draft included changes relating to, among other things: the definition of “Parent Net Cash”; the definition of “Company Outstanding Shares”; a reduction in the “Company Equity Value” from $150.0 million (as set forth in the LOI and the initial draft of the Merger Agreement) to $73.7 million (reflecting the revised terms agreed among the parties); modifications to the representations and warranties of each party; modifications to the interim operating covenants of each party; removal of certain protective provisions in favor of Boundless Bio relating to regulatory approvals; and modifications to the termination and reverse termination fee concepts, including removal of language providing that specific performance would be available to each party. </w:t>
      </w:r>
    </w:p>
    <w:p>
      <w:pPr>
        <w:pStyle w:val="TextBody"/>
        <w:bidi w:val="0"/>
        <w:spacing w:before="240" w:after="0"/>
        <w:jc w:val="left"/>
        <w:rPr>
          <w:rFonts w:ascii="Times New Roman" w:hAnsi="Times New Roman"/>
          <w:sz w:val="20"/>
        </w:rPr>
      </w:pPr>
      <w:r>
        <w:rPr>
          <w:rFonts w:ascii="Times New Roman" w:hAnsi="Times New Roman"/>
          <w:sz w:val="20"/>
        </w:rPr>
        <w:t>On June 12, 2026, Serapha and YolTech entered into the YolTech License Agreement, pursuant to which Serapha acquired certain intellectual property rights related to SERP-01, developed as YOLT-202 in Greater China, to develop, manufacture, commercialize and otherwise exploit SERP-01 and related licensed products worldwide other than in Greater China (defined to include mainland China, Hong Kong, Macau and Taiwan), in exchange for, among other things, an $85.0 million upfront payment and the issuance of a warrant to acquire equity securities of Serapha (as more fully described in the section “</w:t>
      </w:r>
      <w:r>
        <w:rPr>
          <w:rFonts w:ascii="Times New Roman" w:hAnsi="Times New Roman"/>
          <w:i/>
          <w:sz w:val="20"/>
        </w:rPr>
        <w:t>Agreements Related to the Merger — YolTech License Agreement</w:t>
      </w:r>
      <w:r>
        <w:rPr>
          <w:rFonts w:ascii="Times New Roman" w:hAnsi="Times New Roman"/>
          <w:sz w:val="20"/>
        </w:rPr>
        <w:t xml:space="preserve">”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June 12, 2026 until the execution of the Merger Agreement, Boundless Bio and Serapha continued to negotiate the terms of the Merger Agreement, and Latham and Gibson Dunn continued to exchange markups of the Merger Agreement, ancillary agreements and disclosure letters. The key issues negotiated during this period included, among other things: the definitions of “Parent Net Cash” and “Company Outstanding Shares”; the scope of the representations and warranties; the interim operating covenants applicable to each party; protective provisions and consent rights in favor of Boundless Bio with respect to regulatory approvals, the Serapha Pre-Closing Financing and the YolTech License Agreement; the expense reimbursement mechanic in favor of Boundless Bio in the event the transaction does not close by March 23, 2027 (the “End Date”); and the termination and reverse termination fee concepts. </w:t>
      </w:r>
    </w:p>
    <w:p>
      <w:pPr>
        <w:pStyle w:val="TextBody"/>
        <w:bidi w:val="0"/>
        <w:spacing w:before="240" w:after="0"/>
        <w:jc w:val="left"/>
        <w:rPr>
          <w:rFonts w:ascii="Times New Roman" w:hAnsi="Times New Roman"/>
          <w:sz w:val="20"/>
        </w:rPr>
      </w:pPr>
      <w:r>
        <w:rPr>
          <w:rFonts w:ascii="Times New Roman" w:hAnsi="Times New Roman"/>
          <w:sz w:val="20"/>
        </w:rPr>
        <w:t xml:space="preserve">On June 15, 2026, representatives of Latham and Gibson Dunn held a call to discuss, among other things, the definition of “Parent Net Cash,” the expense reimbursement concept in favor of Boundless Bio in the event the transaction does not close by the End Date, lock-up agreements, customary exceptions to the interim operating covenants of each party and certain limited consent rights in favor of Boundless Bio relating to material changes in the Serapha Pre-Closing Financing documents or the YolTech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Also on June 15, 2026, the Boundless Bio Board of Directors held a meeting at which members of Boundless Bio management and representatives of Lucid and Latham were present. At the meeting, Boundless Bio management provided an update on the status of its negotiations with Serapha. Representatives of Lucid presented materials updating the Boundless Bio Board of Directors on the most up-to-date transaction terms, including the revised Serapha valuation and increased financing size, and discussed the potential timing for execution of the Merger Agreement and announcement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16, 2026, Latham sent a revised draft of the Merger Agreement to Gibson Dunn that, among other things, added protective provisions in favor of Boundless Bio with respect to regulatory approvals and the Serapha Pre-Closing Financing, removed the lock-up closing condition applicable to Boundless Bio, and added an expense reimbursement mechanic in favor of Boundless Bio.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following a call between representatives of Gibson Dunn and Latham to discuss the remaining open issues, Gibson Dunn sent Latham a further revised draft of the Merger Agreement reflecting changes to, among other things, the definition of “Company Outstanding Shares”; the definition of “Parent Net Cash”; changes to the interim operating covenants of both Boundless Bio and Serapha; and a cap on the expense reimbursement in favor of Boundless Bio. Also on June 18, 2026, Gibson Dunn sent the initial draft of Serapha’s disclosure letter to Latham and a revised draft of certain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representatives of Latham and Gibson Dunn held a call to discuss, among other things, the definitions of “Company Outstanding Shares” and “Parent Net Cash” in the Merger Agreement. Between June 19 and June 20, 2026, the parties continued to exchange revised drafts of the Merger Agreement, disclosure letters, support agreements and lock-up agreements, and on June 20, 2026, Gibson Dunn sent Latham a revised draft of the Merger Agreement that constituted the final form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21, 2026, Gibson Dunn sent Latham revised drafts of both the Boundless Bio disclosure letter and Serapha’s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Also on June 21, 2026, the Boundless Bio Board of Directors held a meeting at which members of Boundless Bio management and representatives of each of Latham and Lucid were present. Boundless Bio management reviewed the status of its negotiations with Serapha to date. Boundless Bio management also reviewed the strategic alternatives available to Boundless Bio, noting that the transaction with Serapha would provide near-term value to Boundless Bio stockholders through the Boundless Bio Pre-Closing Dividend of Boundless Bio’s legacy net cash, while also providing Boundless Bio stockholders with an opportunity to participate in the potential growth of the combined company. Representatives of Latham then reviewed with the Boundless Bio Board of Directors its fiduciary duties under Delaware law in connection with the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Representatives of Latham also detailed the specific terms of the Merger Agreement and the related transaction documents, including, among other things, the structure and economic terms of the proposed Merger, the conditions to closing, termination rights and fees, representations and warranties, interim operating covenants, the Boundless Bio Pre-Closing Dividend, the non-solicitation covenant and Boundless Bio’s fiduciary out, the Lock-Up Agreements, the Support Agreements, the employee transition and wind-down plan, and severance and retention matters. The participants at the Boundless Bio Board of Directors meeting then reviewed key terms of Serapha’s in-license of SERP-01, developed as YOLT-202. They also reviewed Serapha’s expected financing commitments. Boundless Bio management informed the Boundless Bio Board of Directors that the Serapha Pre-Closing Financing was expected to be secured from a syndicate of investors co-led by RTW and RA Capital, with a total of approximately $230.0 million committed (consisting of approximately $138.0 million in the Series A Financing and approximately $92.0 million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Following this discussion, at the invitation of Boundless Bio management, representatives of Lucid reviewed with the Boundless Bio Board of Directors Lucid’s financial analysis of the proposed transaction, including the Exchange Ratio calculations and pro forma ownership split as well as precedent reverse merger transactions, the expected cash to be distributed via the Boundless Bio Pre-Closing Dividend, and valuations of select publicly traded companies with a similar clinical stage focus to Serapha. Thereafter, at the request of the Boundless Bio Board of Directors, Lucid rendered to the Boundless Bio Board of Directors the oral opinion of Lucid, which was subsequently confirmed by delivery of a written opinion from Lucid dated June 21, 2026, that, as of such date and based upon and subject to the various assumptions made, procedures followed, matters considered, and qualifications and limitations set forth in its written opinion, the Exchange Ratio to be paid pursuant to the terms of the Merger Agreement was fair, from a financial point of view, to the holders of Boundless Bio Common Stock. For a detailed discussion of Lucid’s opinion, please see the section titled “</w:t>
      </w:r>
      <w:r>
        <w:rPr>
          <w:rFonts w:ascii="Times New Roman" w:hAnsi="Times New Roman"/>
          <w:i/>
          <w:sz w:val="20"/>
        </w:rPr>
        <w:t>The Merger — Opinion of Boundless Bio’s Financial Advisor</w:t>
      </w:r>
      <w:r>
        <w:rPr>
          <w:rFonts w:ascii="Times New Roman" w:hAnsi="Times New Roman"/>
          <w:sz w:val="20"/>
        </w:rPr>
        <w:t xml:space="preserve">” beginning on page 160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After discussion, based on the factors cited in “</w:t>
      </w:r>
      <w:r>
        <w:rPr>
          <w:rFonts w:ascii="Times New Roman" w:hAnsi="Times New Roman"/>
          <w:i/>
          <w:sz w:val="20"/>
        </w:rPr>
        <w:t>The Merger — Boundless Bio’s Reasons for the Merger</w:t>
      </w:r>
      <w:r>
        <w:rPr>
          <w:rFonts w:ascii="Times New Roman" w:hAnsi="Times New Roman"/>
          <w:sz w:val="20"/>
        </w:rPr>
        <w:t xml:space="preserve">” beginning on page 153 of this proxy statement/prospectus, the Boundless Bio Board of Directors unanimously: (a) determined that the Merger Agreement and the transactions contemplated thereby, including the Merger, the issuance of shares of Boundless Bio Common Stock to Serapha stockholders and to Boundless Bio stockholders in connection with the Merger, and the Boundless Bio Pre-Closing Dividend, are fair to, advisable and in the best interests of Boundless Bio and its stockholders; (b) approved and declared advisable the Merger Agreement and the transactions contemplated thereby; and (c) determined to recommend that the stockholders of Boundless Bio approve the Boundless Bio Stockholder Matters, including the issuance of shares of Boundless Bio Common Stock pursuant to the Merger Agreement and all transactions contemplated by and in connection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22, 2026, the respective parties executed the Merger Agreement and the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prior to the opening of trading on Nasdaq, Boundless Bio and Serapha issued a joint press release announcing their entry into the Merger Agreement, and Boundless Bio filed a current report on Form 8-K with the Securities and Exchange Commission announcing, among other things, the execution of the Merger Agreement and the contemplated transactions. </w:t>
      </w:r>
    </w:p>
    <w:p>
      <w:pPr>
        <w:pStyle w:val="TextBody"/>
        <w:bidi w:val="0"/>
        <w:spacing w:before="360" w:after="0"/>
        <w:jc w:val="left"/>
        <w:rPr>
          <w:rFonts w:ascii="Times New Roman" w:hAnsi="Times New Roman"/>
          <w:b/>
          <w:sz w:val="20"/>
        </w:rPr>
      </w:pPr>
      <w:bookmarkStart w:id="14" w:name="tx108148_601"/>
      <w:bookmarkEnd w:id="14"/>
      <w:r>
        <w:rPr>
          <w:rFonts w:ascii="Times New Roman" w:hAnsi="Times New Roman"/>
          <w:b/>
          <w:sz w:val="20"/>
        </w:rPr>
        <w:t xml:space="preserve">Boundless Bio’s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strategic review and its evaluation of the Merger Agreement and the transactions contemplated by the Merger Agreement, the Boundless Bio Board of Directors held numerous meetings, consulted with Boundless Bio’s management, Boundless Bio’s outside legal counsel and financial advisor, and reviewed, discussed, and assessed Boundless Bio’s opportunities and strategic alternatives.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reaching its unanimous decision on June 21, 2026, to approve the Merger Agreement and the transactions contemplated by the Merger Agreement, the Boundless Bio Board of Directors considered a number of factors that it viewed as supporting its decision,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analyses and advice of Boundless Bio’s management team with respect to the potential strategic, financial and operational benefits of the Merger were reasonable and informed by the information available to management and the Boundless Bio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Boundless Bio and the risks associated with continuing to operate Boundless Bio on a stand-alone basis, particularly in light of the significant decline in the trading price of Boundless Bio Common Stock over the preceding two years and the risks and costs associated with maintaining Boundless Bio’s Nasdaq listing;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Boundless Bio would have difficulty raising a sufficient amount of additional capital to fund development of its product candidate as a standalone company in light of, among other things, emerging clinical data for BBI-940 from the KOMODO-1 study, and the significant decline in Boundless Bio’s share price over the preceding two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remaining a standalone company was not reasonably likely to generate greater value for Boundless Bio stockholders than a strategic transaction in light of emerging clinical data regarding BBI-940 and the inability to raise sufficient capital to develop any alternative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process conducted by the Boundless Bio Board of Directors and its advisors of reviewing and evaluating potential strategic alternatives, including extensive multi-year in-licensing efforts, outreach by Lucid to approximately 14 potential counterparties resulting in two non-binding proposals, and consideration of other alternatives including dissolution and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Merger was more favorable to Boundless Bio stockholders than the potential value that might have resulted from remaining a standalone company or entering into other strategic alternatives available to Boundless Bio, including continuing standalone operations, a liquidation and dissolution of Boundless Bio and the distribution of any available cash, or pursuing a transaction with the other counterparty that submitted a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 liquidation and dissolution was not reasonably likely to create greater value for Boundless Bio stockholders than a strategic alternative transaction based on, among other things, the need to hold back a meaningful amount of Boundless Bio’s current cash balance for an extended period to cover current and potential future liabilities, including wind-down costs, the time delay and uncertainty inherent in a dissolution process, and the limited value expected to be realized for Boundless Bio’s public listing or its assets in a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would provide Boundless Bio existing stockholders an opportunity to participate in the potential growth of the Combined Company following the Merger, which will focus on the development of SERP-01, Serapha’s lead product candidate licensed from YolTech, while also receiving a cash payment on account of the Boundless Bio Pre-Closing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$12.5 million enterprise value ascribed to Boundless Bio (assuming $0 of Boundless Bio net cash at closing, after giving effect to the Boundless Bio Pre-Closing Dividend) would provide the existing Boundless Bio stockholders with value for Boundless Bio’s public listing and afford Boundless Bio stockholders an opportunity to participate in the potential growth of the Combined Company following the Merger at the negotiated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Pre-Closing Dividend of approximately $44 million to $48 million, representing substantially all of Boundless Bio’s anticipated remaining net cash, together with the equity value ascribed to Boundless Bio in the Merger, which together represent a premium to the recent trading price of Boundless Bio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as a result of arm’s-length negotiations with Serapha, Boundless Bio and its representatives negotiated the most favorable terms to Boundless Bio in the aggregate to which Serapha was willing to agree;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positive view, based on the scientific, regulatory and technical due diligence conducted by Boundless Bio’s management and advisors, of the regulatory pathway for, and potential market opportunity of, SERP-01, Serapha’s licensed product candidate, which will be the focus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cash balances of the Combined Company as of the closing of the Merger resulting from expected gross proceeds of no less than approximately $200 million, and expected to be approximately $230 million, from the Serapha Pre-Closing Financing, which will precede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participation of healthcare institutional investors in the Serapha Pre-Closing Financing supports the expected capitalization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view, following a review with Boundless Bio’s management and advisors of Serapha’s current development and clinical trial plans, of the likelihood that the Combined Company would possess sufficient cash resources at the closing of the Merger, or have access to sufficient resources, to fund continued development of Serapha’s licensed product candidate through upcoming value inflection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strategic parties that made proposals for a strategic transaction with Boundless Bio, based on the scientific, technical, financial, legal, and other due diligence conducted by Boundless Bio’s management and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Boundless Bio Board of Directors to respond to unsolicited acquisition proposals that third parties may make before Boundless Bio stockholders approve the Merger, including the Boundless Bio Board of Directors’ ability to change its recommendation regarding the Merger and (subject to payment of the termination fee payable by Boundless Bio described elsewhere in this proxy statement/prospectus) terminate the Merger Agreement in response to a Superior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of Lucid that, as of June 21, 2026, and based upon and subject to the various assumptions made, procedures followed, matters considered, and qualifications and limitations set forth in its written opinion, the Exchange Ratio to be paid by Boundless Bio pursuant to the Merger Agreement was fair, from a financial point of view, to the holders of Boundless Bio Common Stock. For more information, please see the section of this proxy statement/prospectus titled “</w:t>
            </w:r>
            <w:r>
              <w:rPr>
                <w:rFonts w:ascii="Times New Roman" w:hAnsi="Times New Roman"/>
                <w:i/>
                <w:sz w:val="20"/>
              </w:rPr>
              <w:t>Opinion of Boundless Bio’s Financial Advisor</w:t>
            </w:r>
            <w:r>
              <w:rPr>
                <w:rFonts w:ascii="Times New Roman" w:hAnsi="Times New Roman"/>
                <w:sz w:val="20"/>
              </w:rPr>
              <w:t xml:space="preserve">” beginning on page 160 of this proxy statement/prospectus and the full text of the written opinion attached as Annex E to this proxy statement/prospectus, which is incorporated by reference in this proxy statement/prospectus in its entirety.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reviewing the Merger Agreement and the contemplated transactions, the Boundless Bio Board of Directors also reviewed the terms of the Merger Agreement and related transaction documents, including those described below, and concluded that the terms of the Merger Agreement and related transaction documents, in the aggregate, were fair to and in the best interests of Boundless Bio and its stockholders under the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Boundless Bio Common Stock to be issued in the Merger, including that pre-Merger Boundless Bio stockholders are expected to hold approximately 3.7% of the fully-diluted capitalization of Combined Company (after taking into account the 2026 Stock Plan and 2026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of the Boundless Bio Pre-Closing Dividend, pursuant to which 100% of Boundless Bio’s Net Cash (approximately $44 million to $48 million) will be distributed to Boundless Bio stockholders prior to the closing of the Merger, together with a mechanism that increases Boundless Bio’s Net Cash (and therefore the dividend amount) by $500,000 per month beginning November 23, 2026 if closing is delayed primarily as a result of Serapha’s failure to provide required Registration Statement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number and nature of the conditions to Boundless Bio’s and Serapha’s respective obligations to complete the Merger, including regulatory clearance (if applicable), Nasdaq listing approval, effectiveness of the Registration Statement and receipt of required stockholder approvals, and the likelihood that such conditions will be satisfied on a timely basis, as more fully described below under the caption “</w:t>
            </w:r>
            <w:r>
              <w:rPr>
                <w:rFonts w:ascii="Times New Roman" w:hAnsi="Times New Roman"/>
                <w:i/>
                <w:sz w:val="20"/>
              </w:rPr>
              <w:t>The Merger Agreement — Conditions to the Completion of the Merger</w:t>
            </w:r>
            <w:r>
              <w:rPr>
                <w:rFonts w:ascii="Times New Roman" w:hAnsi="Times New Roman"/>
                <w:sz w:val="20"/>
              </w:rPr>
              <w:t xml:space="preserve">,” beginning on page 207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Serapha Pre-Closing Financing amount of $200 million (with expected proceeds of approximately $230 million) as a condition to Boundless Bio’s obligation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respective rights of, and limitations on, Boundless Bio and Serapha under the Merger Agreement to consider and engage in discussions regarding unsolicited acquisition proposals under certain circumstances, including the Boundless Bio Board of Directors’ ability to effect a change in recommendation in response to a Superior Offer or Boundless Bio Intervening Event, and the limitations on the Boundless Bio Board of Directors to change its recommendation in favor of the Merger, as more fully described below under the caption “</w:t>
            </w:r>
            <w:r>
              <w:rPr>
                <w:rFonts w:ascii="Times New Roman" w:hAnsi="Times New Roman"/>
                <w:i/>
                <w:sz w:val="20"/>
              </w:rPr>
              <w:t>The Merger Agreement — Non-Solicitation</w:t>
            </w:r>
            <w:r>
              <w:rPr>
                <w:rFonts w:ascii="Times New Roman" w:hAnsi="Times New Roman"/>
                <w:sz w:val="20"/>
              </w:rPr>
              <w:t xml:space="preserve">,” beginning on page 202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potential termination fees of $1 million payable by Boundless Bio to Serapha, or by Serapha to Boundless Bio, if the Merger Agreement is terminated in certain circumstances, and the reasonableness of such fees in relation to the transaction, as more fully described below under the caption “</w:t>
            </w:r>
            <w:r>
              <w:rPr>
                <w:rFonts w:ascii="Times New Roman" w:hAnsi="Times New Roman"/>
                <w:i/>
                <w:sz w:val="20"/>
              </w:rPr>
              <w:t>The Merger Agreement — Termination and Termination Fee</w:t>
            </w:r>
            <w:r>
              <w:rPr>
                <w:rFonts w:ascii="Times New Roman" w:hAnsi="Times New Roman"/>
                <w:sz w:val="20"/>
              </w:rPr>
              <w:t xml:space="preserve">,” beginning on page 208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lock-up agreements, pursuant to which certain officers and directors of Serapha who will continue as officers and directors of the Combined Company will agree not to transfer their shares of Combined Company common stock during the period of 180 days following the completion of the Merger, as more fully described below under the caption “</w:t>
            </w:r>
            <w:r>
              <w:rPr>
                <w:rFonts w:ascii="Times New Roman" w:hAnsi="Times New Roman"/>
                <w:i/>
                <w:sz w:val="20"/>
              </w:rPr>
              <w:t>Agreements Related to the Merger — Lock-Up Agreements</w:t>
            </w:r>
            <w:r>
              <w:rPr>
                <w:rFonts w:ascii="Times New Roman" w:hAnsi="Times New Roman"/>
                <w:sz w:val="20"/>
              </w:rPr>
              <w:t xml:space="preserve">,” beginning on page 212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Support Agreements, pursuant to which certain stockholders of Serapha and certain officers and directors of Boundless Bio have agreed, solely in their capacities as stockholders, to vote their shares of Boundless Bio Common Stock or Serapha Common Stock, respectively, in favor of the proposals submitted to them in connection with the Merger, as more fully described below under the caption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Boundless Bio Board of Directors also considered a variety of risks and other countervailing factors related to entering into the Merger Agreement and the transactions contemplated thereby,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 million termination fee payable by Boundless Bio upon the occurrence of certain events and the potential effect of such termination fee in deterring other potential acquirers from proposing an alternative acquisition that may be more advantageous to Boundless Bio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Boundless Bio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Boundless Bio from soliciting alternative acquisition proposals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Boundless Bio Common Stock resulting from the announcement, pendency or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the potential effect of the public announcement of the Merger or the failure to complete the Merger on the reputation and business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Serapha Pre-Closing Financing might not be consummated in a timely manner or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dilution to existing Boundless Bio stockholders, who are expected to hold approximately 3.7% of the fully-diluted capitalization of Combined Company following the Merger (after taking into account the 2026 Stock Plan and 2026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governance control, as all current officers and directors of Boundless Bio will be replaced following the closing of the Merger, with new officers and directors to be selected by Serapha in its sole discretion, subject to applicable Nasdaq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concentration of the Combined Company’s pipeline in a single licensed product candidate, SERP-01 (YOLT-202), the dependence on a third-party license from YolTech for the underlying intellectual property, and the royalty and milestone obligations payable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potential conflict of interest created by the fact that Boundless Bio’s executive officers and directors have financial or other interests in the Merger that may be different from, or in addition to, those of other stockholders, as more fully described below in “</w:t>
            </w:r>
            <w:r>
              <w:rPr>
                <w:rFonts w:ascii="Times New Roman" w:hAnsi="Times New Roman"/>
                <w:i/>
                <w:sz w:val="20"/>
              </w:rPr>
              <w:t>Interests of Boundless Bio’s Directors and Executive Officers in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proposed transaction,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19 and 139, respectively,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Boundless Bio Board of Directors are not intended to be exhaustive but are believed to include all of the material factors considered by the Boundless Bio Board of Directors. In view of the wide variety of factors considered in connection with its evaluation of the Merger and the complexity of these matters, the Boundless Bio Board of Directors did not find it useful to attempt, and did not attempt, to quantify, rank or otherwise assign relative weights to these factors. In considering the factors described above, individual members of the Boundless Bio Board of Directors may have given different weight to different factors. The Boundless Bio Board of Directors conducted an overall analysis of the factors described above, including thorough discussions with, and questioning of, Boundless Bio’s management, outside legal counsel and financial advisor, and considered the factors, taken as a whole, to be favorable to, and to support, its determination. </w:t>
      </w:r>
    </w:p>
    <w:p>
      <w:pPr>
        <w:pStyle w:val="TextBody"/>
        <w:bidi w:val="0"/>
        <w:spacing w:before="360" w:after="0"/>
        <w:jc w:val="left"/>
        <w:rPr>
          <w:rFonts w:ascii="Times New Roman" w:hAnsi="Times New Roman"/>
          <w:b/>
          <w:sz w:val="20"/>
        </w:rPr>
      </w:pPr>
      <w:bookmarkStart w:id="15" w:name="tx108148_602"/>
      <w:bookmarkEnd w:id="15"/>
      <w:r>
        <w:rPr>
          <w:rFonts w:ascii="Times New Roman" w:hAnsi="Times New Roman"/>
          <w:b/>
          <w:sz w:val="20"/>
        </w:rPr>
        <w:t xml:space="preserve">Serapha’s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Serapha Pre-Closing Financing, the Serapha Board of Directors held numerous meetings, consulted with Serapha’s senior management, legal counsel and financial advisors, and considered a wide variety of factors. Ultimately, the Serapha Board of Directors concluded that a merger with Boundless Bio, together with the additional financing committed from the Serapha Pre-Closing Financing, was the best option to generate capital resources to support the advancement of Serapha’s pipeline and fund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Serapha Board of Directors considered included the following (which factors are not necessarily presented in any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Serapha’s pipeline, compared to the capital and investors Serapha could otherwise gain access to if it continued to operate as a privately-held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Pre-Closing Financing will generate capital resources to fund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Serapha and its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Serapha’s business, including its financial performance and condition, operations, management and preclinical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Serapha operates;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fiduciary duties to Serapha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belief that no alternatives to the Merger, together with the additional financing committed from the Serapha Pre-Closing Financing, were reasonably likely to create greater value for Serapha stockholders, after considering the various financing and other strategic options to enhance stockholder value that were considered by the Serapha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expectation that the Merger, together with the additional financing committed from the Serapha Pre-Closing Financing,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Serapha Capital Stock who comply with the required procedures under the DGCL, which allow such holders to seek appraisal of the fair value of their shares of Serapha Capital Stock as determined by the Delaware Court of Chancery;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Boundless Bio stockholders and Serapha stockholders in the Combined Company was appropriate, based on the Serapha Board of Directors’ judgment and assessment of the approximate valuations of Boundless Bio (including the value of the Boundless Bio Net Cash that Boundless Bio is expected to provide to the Combined Company) and Serapha (including the value of the amount of proceeds from the Serapha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under Section 368(a) of the Code and/or an exchange under Section 351(a) of the Code for U.S. federal income tax purposes, with the result that the Serapha stockholders will generally not recognize taxable gain or loss for U.S. federal income tax purposes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Boundless Bio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Serapha Board of Directors that the potential termination fees payable by Boundless Bio or Serapha to the other party, and the circumstances when such fee may be payable, were reasonable;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(i) shares of Boundless Bio Common Stock to Serapha stockholders, including shares of Boundless Bio Common Stock issued in exchange for shares of Serapha Common Stock sold in the Serapha Pre-Closing Financing and shares of Boundless Bio Common Stock underlying the Assumed Warrants to be issued in exchange for Serapha Warrants (including any Serapha Pre-Funded Warrants) and Boundless Bio Pre-Funded Warrants and existing shares of Serapha Capital Stock, as applicable, and (ii) the Assumed Warrants in exchange for Serapha Warrants (including any Serapha Pre-Funded Warrants) and Boundless Bio Pre-Funded Warrants will be registered on a Form S-4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Boundless Bio Common Stock issued to Serapha stockholders, including shares of Boundless Bio Common Stock issued in exchange for shares of Serapha Common Stock sold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Pre-Closing Financing and shares of Boundless Bio Common Stock underlying the Assumed Warrants to be issued in exchange for Serapha Warrants (including any Serapha Pre-Funded Warrants) and Boundless Bio Pre-Funded Warrants and existing shares of Serapha Capital Stock, as applicable, will become freely tradable for Serapha securityholders who are not affiliates of Serapha and who are not parties to the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Serapha and Boundless Bio have agreed, solely in their capacity as stockholders of Serapha and Boundless Bio, respectively, to vote all of their shares of Serapha Capital Stock or Boundless Bio Common Stock, respectively, in favor of the adoption or approval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Company’s name to Serapha Bio, Inc. prior to or upon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Serapha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for a variety of reasons, such as the failure of Boundless Bio to obtain the required stockholder vote or the failure of Serapha to close the Serapha Pre-Closing Financing, and the potential adverse effect of the public announcement of the Merger on the reputation of Serapha and the ability of Serapha to obtain financing in the future in the event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Serapha Pre-Closing Financing might not be completed or completed in accordance with the terms of the Securities Purchase Agreement and the potential adverse effect of the public announcement of the Serapha Pre-Closing Financing on the reputation of Serapha and the ability of Serapha to obtain financing in the future in the event the Serapha Pre-Closing Financing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Boundless Bio Common Stock and/or Boundless Bio Pre-Funded Warrants and/or Assumed Warrants to be issued to Serapha stockholders in the Merger is fixed, except for adjustments due to the Boundless Bio Net Cash balance, the amount of proceeds from the Serapha Pre-Closing Financing and outstanding capital stock at Closing, and thus the relative percentage ownership of Boundless Bio stockholders and Serapha stockholders in the Combined Company immediately following the completion of the Merger is similarly fixed;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the Boundless Bio Net Cash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Boundless Bio could, under certain circumstances, consider unsolicited acquisition proposals if such proposals are superior to the Merger or change its recommendation to approve the Merger upon certain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Serapha senior management required to complete the Merger, the related disruptions or potential disruptions to Serapha’s business operations and future prospects, including its relationships with its employees, suppliers and partners and others that do business or may do business in the future with Serapha, and related administrative challenges associated with combining the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Serapha’s business will be subject following the Merger that Serapha has not previously been subject to, and the operational changes to Serapha’s business, in each case that may result from being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and the potential risk of liabilities that may arise post-Closing;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Boundless Bio Common Stock by existing Boundless Bio stockholders may cause the price of Boundless Bio Common Stock to fall, thus reducing the potential value of Boundless Bio Common Stock received by Serapha stockholders following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19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the Serapha Board of Directors in its consideration of the Merger Agreement, the Serapha Pre-Closing Financing, and the transactions contemplated thereby. After conducting an overall analysis of these and other factors, including thorough discussions with, and questioning of, Serapha’s senior management and legal counsel, the Serapha Board of Directors concluded that the benefits, advantages and opportunities of a potential transaction outweighed the uncertainties and risks described above. Based on this overall analysis of the factors described above, the Serapha Board of Directors unanimously approved the Merger Agreement, the Merger, the Serapha Pre-Closing Financing and the other transactions contemplated by the Merger Agreement. </w:t>
      </w:r>
    </w:p>
    <w:p>
      <w:pPr>
        <w:pStyle w:val="TextBody"/>
        <w:bidi w:val="0"/>
        <w:spacing w:before="360" w:after="0"/>
        <w:jc w:val="left"/>
        <w:rPr>
          <w:rFonts w:ascii="Times New Roman" w:hAnsi="Times New Roman"/>
          <w:b/>
          <w:sz w:val="20"/>
        </w:rPr>
      </w:pPr>
      <w:bookmarkStart w:id="16" w:name="tx108148_605"/>
      <w:bookmarkEnd w:id="16"/>
      <w:r>
        <w:rPr>
          <w:rFonts w:ascii="Times New Roman" w:hAnsi="Times New Roman"/>
          <w:b/>
          <w:sz w:val="20"/>
        </w:rPr>
        <w:t xml:space="preserve">Opinion of Boundless Bio’s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As stated above, pursuant to the engagement letter between Lucid and Boundless dated May 30, 2026 (the “Engagement Letter”), Boundless Bio retained Lucid to act as its financial advisor in connection with the Merger and to render an opinion (the “Lucid Opinion”) to the Boundless Bio Board of Directors as to the fairness of the Exchange Ratio from a financial point of view, to the holders of Boundless Bio Common Stock. On June 21, 2026, at the request of the Boundless Bio Board of Directors, Lucid rendered an oral opinion, subsequently confirmed by delivery of the Lucid Opinion, dated June 21, 2026, to the Boundless Bio Board of Directors that the Exchange Ratio was fair, from a financial point of view, to the holders of Boundless Bio Common Stock as of the date of the Lucid Opinion and based upon the various assumptions, qualifications and limitations set forth therein.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Lucid Opinion is attached as Annex E to this proxy statement/prospectus and is incorporated by reference. Boundless Bio encourages its stockholders to read the Lucid Opinion in its entirety for the assumptions made, procedures followed, other matters considered and limits of the review by Lucid. The summary of the Lucid Opinion set forth herein is qualified by reference to the full text of the Lucid Opinion. Lucid provided the Lucid Opinion for the sole benefit of and use by the Boundless Bio Board of Directors in its consideration of the Merger. The Lucid Opinion is not a recommendation to the Boundless Bio Board of Directors or to any Boundless Bio stockholder to take any action in connection with the Merger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was amended on August 28, 2026 to, among other things, address the conversion of Serapha RSUs into Assumed RSUs and the issuance of Boundless Bio Pre-Funded Warrants in lieu of shares of Boundless Bio Common Stock that would otherwise be issued in excess of a holder’s Beneficial Ownership Limitation in connection with the Merger. This “Opinion of Boundless Bio’s Financial Advisor” reflects the current structure of the Merger. The Lucid Opinion attached as Annex E includes language regarding the original form of the Merger Agreement. Lucid has confirmed with the Boundless Bio Board of Directors that these changes to the Merger (i) do not impact the conclusions of its opinion and (ii) do not require an amendment to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Lucid Opinion, Lucid took into account an assessment of general economic, market and financial conditions as well as its experience in connection with similar transactions and securities valuations generally and,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publicly available financial and other information for each of Boundless Bio and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certain members of the management of Boundless Bio the historical and current business operations, financial condition and prospects of Boundless Bio and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operating results of Serapha as compared to operating results and the reported price and trading histories of certain publicly traded companies that Lucid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the Merger Agreement as compared to the publicly available financial terms of certain selected business combinations that Lucid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completed initial public offerings for certain companies that Lucid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such other information and such other factors, and conducted such other financial studies, analyses and investigations, as Lucid deemed relevant for the purposes of the Lucid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Lucid’s review and arriving at the Lucid Opinion, Lucid has, with Boundless Bio’s consent, assumed and relied upon the accuracy and completeness of all financial and other information provided to or discussed with Lucid by Boundless Bio and Serapha, respectively (or their respective employees, representatives or affiliates), or which is publicly available or was otherwise reviewed by Lucid. Lucid has not undertaken any responsibility for the accuracy, completeness or reasonableness of, or conducted independent verification of, such information. Lucid has, with Boundless Bio’s consent, relied upon the assumption that all information provided to Lucid by Boundless Bio and Serapha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Lucid has expressly disclaimed any undertaking or obligation to advise any person of any change in any fact or matter affecting the Lucid Opinion of which Lucid becomes aware after the date of the Lucid Opinion. Lucid assumed there were no material changes in the assets, liabilities, financial condition, results of operations, business or prospects of Boundless Bio or Serapha since the date of the last financial statements made available to Lucid. Lucid has not obtained any independent evaluations, valuations or appraisals of the assets or liabilities of Boundless Bio or Serapha, nor has Lucid been furnished with such materials. In addition, Lucid has not evaluated the solvency or fair value of Boundless Bio or Serapha under any state or federal laws relating to bankruptcy, insolvency or similar matters. The Lucid Opinion does not address any legal, regulatory, tax or accounting matters related to the Merger, as to which Lucid has assumed that Boundless Bio and the Boundless Bio Board of Directors have received advice from legal, regulatory, tax and accounting advisors as each has determined appropriate. Lucid further assumed, at Boundless Bio’s direction, that the Merger will qualify for U.S. federal income tax purposes as a (1) reorganization within the meaning of Section 368(a) of the Code and/or (2) an exchange of shares of Serapha Capital Stock for Boundless Bio Common Stock under Section 351(a) of the Code. The Lucid Opinion addresses only the fairness of the Exchange Ratio, as of the date of the Lucid Opinion and from a financial point of view, to the holders of Boundless Bio Common Stock. Lucid expresses no view as to any other aspect or implication of the Merger or any other agreement or arrangement entered into in connection with the Merger. The Lucid Opinion is necessarily based upon economic and market conditions and other circumstances as they existed and could be evaluated by Lucid on the date of the Lucid Opinion. It should be understood that although subsequent developments may affect the Lucid Opinion, Lucid does not have any obligation to update, revise or reaffirm the Lucid Opinion and Lucid expressly disclaims any responsibility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Lucid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or any similar foreign regulatory body or board.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the Lucid Opinion, Lucid assumed, with Boundless Bio’s consent, that, except as would not be in any way meaningful to Lucid’s analysis, the representations and warranties of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contained in the Merger Agreement were true and correct in all respects, that each party will perform all of the covenants and agreements required to be performed by it under the Merger Agreement and that all conditions to the consummation of the Merger will be satisfied without waiver or amendment of any term or condition thereof. Lucid assumed that the final form of the Merger Agreement would be substantially similar to the last draft reviewed by Lucid. Lucid also assumed that all governmental, regulatory and other consents and approvals contemplated by the Merger Agreement or otherwise required for the transactions will be obtained and that in the course of obtaining any of those consents no restrictions will be imposed or waivers made that would have an adverse effect on Boundless Bio, Serapha or the contemplated benefits of the Merger. Lucid has assumed that the Merger will be consummated in a manner that complies with the applicable provisions of the Securities Act and the Exchange Act, and all other applicable federal and state statutes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the Lucid Opinion, Lucid has, with Boundless Bio’s consent, assumed that (i) the YolTech License Agreement, pursuant to which Serapha acquires intellectual property rights related to YOLT-202 is in effect, (ii) the Boundless Bio Pre-Closing Dividend has occurred, (iii) Serapha will receive approximately $230.0 million in proceeds from the Serapha Pre-Closing Financing, and (iv) upon closing of the Merger, the holders of Serapha Capital Stock will in the aggregate hold approximately 23.3% of the fully-diluted shares of Boundless Bio Common Stock and the holders of Boundless Bio Common Stock will in the aggregate hold approximately 3.95% of the fully-diluted shares of Boundless Bio Common Stock immediately following the Merger, after giving effect to the Serapha Pre-Closing Financing,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the Lucid Opinion is intended for the benefit and use of the Boundless Bio Board of Directors in its consideration of the financial terms of the Merger and, except as set forth in the Engagement Letter, may not be used for any other purpose or reproduced, disseminated, quoted or referred to at any time, in any manner or for any purpose without Lucid’s prior written consent, unless pursuant to applicable law or regulations or required by other regulatory authority by the order or ruling of a court or administrative body, except that the Lucid Opinion may be included in its entirety in any filing related to the Merger to be filed with the SEC and the proxy statement/prospectus to be mailed to Boundless Bio’s stockholders. The Lucid Opinion does not constitute a recommendation to the Boundless Bio Board of Directors of whether or not to approve the Merger or to any Boundless Bio stockholder or any other person to take any action in connection with the Merger or otherwise. The Lucid Opinion does not address Boundless Bio’s underlying business decision to proceed with the Merger or the relative merits of the Merger compared to other alternatives that might be available to Boundless Bio. Lucid expressed no opinion as to the prices or ranges of prices at which the securities of any person, including Boundless Bio, will trade at any time, including following the announcement or consummation of the Merger. Lucid has not been requested to opine as to, and the Lucid Opinion does not in any manner address, the amount or nature of compensation to any of the officers, directors or employees of any party to the Merger, or any class of such persons, relative to the compensation to be paid to Boundless Bio or Serapha stockholders in connection with the Merger or with respect to the fairness of any such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Lucid Opinion may not be published or otherwise used or referred to, nor will any public reference to Lucid be made, without Lucid’s prior written consent. </w:t>
      </w:r>
    </w:p>
    <w:p>
      <w:pPr>
        <w:pStyle w:val="TextBody"/>
        <w:bidi w:val="0"/>
        <w:spacing w:before="360" w:after="0"/>
        <w:jc w:val="left"/>
        <w:rPr>
          <w:rFonts w:ascii="Times New Roman" w:hAnsi="Times New Roman"/>
          <w:i/>
          <w:sz w:val="20"/>
        </w:rPr>
      </w:pPr>
      <w:r>
        <w:rPr>
          <w:rFonts w:ascii="Times New Roman" w:hAnsi="Times New Roman"/>
          <w:i/>
          <w:sz w:val="20"/>
        </w:rPr>
        <w:t xml:space="preserve">Principal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financial analyses performed by Lucid to arrive at the Lucid Opinion. Some of the summaries of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Lucid performed certain procedures, including each of the financial analyses described below, and reviewed with the Boundless Bio Board of Directors the assumptions on which such analyses were based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historical financial results of Boundless Bio and Serapha. Neither Boundless Bio nor Serapha’s management provided Lucid with, and Lucid did not otherwise have access to, any financial forecasts or projections with respect to Serapha or Boundless Bio. Accordingly, Lucid did not perform a discounted cash flow analysis or any other analysis based on financial forecasts or projections.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Valuation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the Lucid Opinion, Lucid utilized a Serapha Valuation (as defined in the Merger Agreement) of $303.7 million, which is calculated by adding the negotiated Serapha Equity Value of $73.7 million plus the total proceeds contemplated by the Serapha Pre-Closing Financing ($230.0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Analysis of Selected Initial Public Offering Transactions – Degenerative Liver &amp; Lung Disease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the initial public offerings (“IPOs”) of 12 degenerative liver &amp; lung disease-focused biopharmaceutical companies that have completed an IPO since July 2020 and whose lead product at the time of IPO was in clinical stage of development. Although the companies referred to below were used for comparison purposes, none of these companies are directly comparable to Serapha. Accordingly, the analysis involves considerations and judgments concerning differences in historical financial and operating characteristics of the selected companies. These companies, which are referred to as the “Selected Precedent IPO Companies – Degenerative Liver &amp; Lung Disease Companies,”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Aligos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AN2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Avalyn Pharma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CAMP4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Contineum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Generate Biomedicines,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Inventiva 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Sagimet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Sionna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Terns Pharmaceuticals,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Upstream Bio,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enterprise value at IPO is defined as the pre-money equity value plus indebtedness, liquidation value of preferred stock and non-controlling interest, minus cash and cash equivalents, in each case at the time of the applicable IPO. The Selected Precedent IPO Companies – Degenerative Liver &amp; Lung Disease Companies had total enterprise values between $137.0 million and $1.4 billion. Lucid derived a median total enterprise value of $269.1 million for the Selected Precedent IPO Companies – Degenerative Liver &amp; Lung Disease Companies. Using the 25th percentile and the 75th percentile of the enterprise values, Lucid then derived a range of implied total equity values for Serapha by adding $230.0 million in net cash at closing, resulting in a range of approximately $399.0 million to $631.6 million. Lucid then compared that figure to the Serapha Valuation of $303.7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Selected Precedent IPO Companies – Degenerative Liver &amp; Lung Disease Companies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20"/>
        <w:gridCol w:w="283"/>
        <w:gridCol w:w="3671"/>
        <w:gridCol w:w="283"/>
        <w:gridCol w:w="176"/>
        <w:gridCol w:w="958"/>
        <w:gridCol w:w="64"/>
      </w:tblGrid>
      <w:tr>
        <w:trPr/>
        <w:tc>
          <w:tcPr>
            <w:tcW w:w="232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3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Filing Date</w:t>
            </w:r>
          </w:p>
        </w:tc>
        <w:tc>
          <w:tcPr>
            <w:tcW w:w="283" w:type="dxa"/>
            <w:tcBorders/>
            <w:vAlign w:val="bottom"/>
          </w:tcPr>
          <w:p>
            <w:pPr>
              <w:pStyle w:val="TableContents"/>
              <w:bidi w:val="0"/>
              <w:spacing w:before="0" w:after="283"/>
              <w:jc w:val="left"/>
              <w:rPr/>
            </w:pPr>
            <w:r>
              <w:rPr/>
              <w:t>  </w:t>
            </w:r>
          </w:p>
        </w:tc>
        <w:tc>
          <w:tcPr>
            <w:tcW w:w="367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Issuer</w:t>
            </w:r>
          </w:p>
        </w:tc>
        <w:tc>
          <w:tcPr>
            <w:tcW w:w="28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left"/>
              <w:rPr>
                <w:b/>
              </w:rPr>
            </w:pPr>
            <w:r>
              <w:rPr>
                <w:b/>
              </w:rPr>
              <w:t>Enterprise</w:t>
              <w:br/>
              <w:t>Value ($M)</w:t>
            </w:r>
          </w:p>
        </w:tc>
        <w:tc>
          <w:tcPr>
            <w:tcW w:w="64" w:type="dxa"/>
            <w:tcBorders/>
            <w:vAlign w:val="bottom"/>
          </w:tcPr>
          <w:p>
            <w:pPr>
              <w:pStyle w:val="TableContents"/>
              <w:bidi w:val="0"/>
              <w:spacing w:before="0" w:after="283"/>
              <w:jc w:val="left"/>
              <w:rPr/>
            </w:pPr>
            <w:r>
              <w:rPr/>
              <w:t> </w:t>
            </w:r>
          </w:p>
        </w:tc>
      </w:tr>
      <w:tr>
        <w:trPr/>
        <w:tc>
          <w:tcPr>
            <w:tcW w:w="2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4/29/2026</w:t>
            </w:r>
          </w:p>
        </w:tc>
        <w:tc>
          <w:tcPr>
            <w:tcW w:w="283" w:type="dxa"/>
            <w:tcBorders/>
            <w:shd w:fill="CCEEFF" w:val="clear"/>
            <w:vAlign w:val="bottom"/>
          </w:tcPr>
          <w:p>
            <w:pPr>
              <w:pStyle w:val="TableContents"/>
              <w:bidi w:val="0"/>
              <w:spacing w:before="0" w:after="283"/>
              <w:jc w:val="left"/>
              <w:rPr/>
            </w:pPr>
            <w:r>
              <w:rPr/>
              <w:t>  </w:t>
            </w:r>
          </w:p>
        </w:tc>
        <w:tc>
          <w:tcPr>
            <w:tcW w:w="3671" w:type="dxa"/>
            <w:tcBorders/>
            <w:shd w:fill="CCEEFF" w:val="clear"/>
            <w:vAlign w:val="bottom"/>
          </w:tcPr>
          <w:p>
            <w:pPr>
              <w:pStyle w:val="TableContents"/>
              <w:bidi w:val="0"/>
              <w:spacing w:before="0" w:after="283"/>
              <w:jc w:val="left"/>
              <w:rPr/>
            </w:pPr>
            <w:r>
              <w:rPr/>
              <w:t>Avalyn Pharma Inc.</w:t>
            </w:r>
          </w:p>
        </w:tc>
        <w:tc>
          <w:tcPr>
            <w:tcW w:w="2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314.2</w:t>
            </w:r>
          </w:p>
        </w:tc>
        <w:tc>
          <w:tcPr>
            <w:tcW w:w="64" w:type="dxa"/>
            <w:tcBorders/>
            <w:shd w:fill="CCEEFF" w:val="clear"/>
            <w:vAlign w:val="bottom"/>
          </w:tcPr>
          <w:p>
            <w:pPr>
              <w:pStyle w:val="TableContents"/>
              <w:bidi w:val="0"/>
              <w:spacing w:before="0" w:after="283"/>
              <w:jc w:val="left"/>
              <w:rPr/>
            </w:pPr>
            <w:r>
              <w:rPr/>
              <w:t> </w:t>
            </w:r>
          </w:p>
        </w:tc>
      </w:tr>
      <w:tr>
        <w:trPr/>
        <w:tc>
          <w:tcPr>
            <w:tcW w:w="2320" w:type="dxa"/>
            <w:tcBorders/>
          </w:tcPr>
          <w:p>
            <w:pPr>
              <w:pStyle w:val="TableContents"/>
              <w:bidi w:val="0"/>
              <w:spacing w:before="0" w:after="0"/>
              <w:jc w:val="left"/>
              <w:rPr>
                <w:rFonts w:ascii="Times New Roman" w:hAnsi="Times New Roman"/>
                <w:sz w:val="20"/>
              </w:rPr>
            </w:pPr>
            <w:r>
              <w:rPr>
                <w:rFonts w:ascii="Times New Roman" w:hAnsi="Times New Roman"/>
                <w:sz w:val="20"/>
              </w:rPr>
              <w:t>2/26/2026</w:t>
            </w:r>
          </w:p>
        </w:tc>
        <w:tc>
          <w:tcPr>
            <w:tcW w:w="283"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Generate Biomedicines, Inc.</w:t>
            </w:r>
          </w:p>
        </w:tc>
        <w:tc>
          <w:tcPr>
            <w:tcW w:w="2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1,417.7</w:t>
            </w:r>
          </w:p>
        </w:tc>
        <w:tc>
          <w:tcPr>
            <w:tcW w:w="64" w:type="dxa"/>
            <w:tcBorders/>
            <w:vAlign w:val="bottom"/>
          </w:tcPr>
          <w:p>
            <w:pPr>
              <w:pStyle w:val="TableContents"/>
              <w:bidi w:val="0"/>
              <w:spacing w:before="0" w:after="283"/>
              <w:jc w:val="left"/>
              <w:rPr/>
            </w:pPr>
            <w:r>
              <w:rPr/>
              <w:t> </w:t>
            </w:r>
          </w:p>
        </w:tc>
      </w:tr>
      <w:tr>
        <w:trPr/>
        <w:tc>
          <w:tcPr>
            <w:tcW w:w="2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2/6/2025</w:t>
            </w:r>
          </w:p>
        </w:tc>
        <w:tc>
          <w:tcPr>
            <w:tcW w:w="283" w:type="dxa"/>
            <w:tcBorders/>
            <w:shd w:fill="CCEEFF" w:val="clear"/>
            <w:vAlign w:val="bottom"/>
          </w:tcPr>
          <w:p>
            <w:pPr>
              <w:pStyle w:val="TableContents"/>
              <w:bidi w:val="0"/>
              <w:spacing w:before="0" w:after="283"/>
              <w:jc w:val="left"/>
              <w:rPr/>
            </w:pPr>
            <w:r>
              <w:rPr/>
              <w:t>  </w:t>
            </w:r>
          </w:p>
        </w:tc>
        <w:tc>
          <w:tcPr>
            <w:tcW w:w="3671" w:type="dxa"/>
            <w:tcBorders/>
            <w:shd w:fill="CCEEFF" w:val="clear"/>
            <w:vAlign w:val="bottom"/>
          </w:tcPr>
          <w:p>
            <w:pPr>
              <w:pStyle w:val="TableContents"/>
              <w:bidi w:val="0"/>
              <w:spacing w:before="0" w:after="283"/>
              <w:jc w:val="left"/>
              <w:rPr/>
            </w:pPr>
            <w:r>
              <w:rPr/>
              <w:t>Sionna Therapeutics, Inc.</w:t>
            </w:r>
          </w:p>
        </w:tc>
        <w:tc>
          <w:tcPr>
            <w:tcW w:w="2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427.2</w:t>
            </w:r>
          </w:p>
        </w:tc>
        <w:tc>
          <w:tcPr>
            <w:tcW w:w="64" w:type="dxa"/>
            <w:tcBorders/>
            <w:shd w:fill="CCEEFF" w:val="clear"/>
            <w:vAlign w:val="bottom"/>
          </w:tcPr>
          <w:p>
            <w:pPr>
              <w:pStyle w:val="TableContents"/>
              <w:bidi w:val="0"/>
              <w:spacing w:before="0" w:after="283"/>
              <w:jc w:val="left"/>
              <w:rPr/>
            </w:pPr>
            <w:r>
              <w:rPr/>
              <w:t> </w:t>
            </w:r>
          </w:p>
        </w:tc>
      </w:tr>
      <w:tr>
        <w:trPr/>
        <w:tc>
          <w:tcPr>
            <w:tcW w:w="2320" w:type="dxa"/>
            <w:tcBorders/>
          </w:tcPr>
          <w:p>
            <w:pPr>
              <w:pStyle w:val="TableContents"/>
              <w:bidi w:val="0"/>
              <w:spacing w:before="0" w:after="0"/>
              <w:jc w:val="left"/>
              <w:rPr>
                <w:rFonts w:ascii="Times New Roman" w:hAnsi="Times New Roman"/>
                <w:sz w:val="20"/>
              </w:rPr>
            </w:pPr>
            <w:r>
              <w:rPr>
                <w:rFonts w:ascii="Times New Roman" w:hAnsi="Times New Roman"/>
                <w:sz w:val="20"/>
              </w:rPr>
              <w:t>10/10/2024</w:t>
            </w:r>
          </w:p>
        </w:tc>
        <w:tc>
          <w:tcPr>
            <w:tcW w:w="283"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Upstream Bio, Inc.</w:t>
            </w:r>
          </w:p>
        </w:tc>
        <w:tc>
          <w:tcPr>
            <w:tcW w:w="2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142.1</w:t>
            </w:r>
          </w:p>
        </w:tc>
        <w:tc>
          <w:tcPr>
            <w:tcW w:w="64" w:type="dxa"/>
            <w:tcBorders/>
            <w:vAlign w:val="bottom"/>
          </w:tcPr>
          <w:p>
            <w:pPr>
              <w:pStyle w:val="TableContents"/>
              <w:bidi w:val="0"/>
              <w:spacing w:before="0" w:after="283"/>
              <w:jc w:val="left"/>
              <w:rPr/>
            </w:pPr>
            <w:r>
              <w:rPr/>
              <w:t> </w:t>
            </w:r>
          </w:p>
        </w:tc>
      </w:tr>
      <w:tr>
        <w:trPr/>
        <w:tc>
          <w:tcPr>
            <w:tcW w:w="2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10/10/2024</w:t>
            </w:r>
          </w:p>
        </w:tc>
        <w:tc>
          <w:tcPr>
            <w:tcW w:w="283" w:type="dxa"/>
            <w:tcBorders/>
            <w:shd w:fill="CCEEFF" w:val="clear"/>
            <w:vAlign w:val="bottom"/>
          </w:tcPr>
          <w:p>
            <w:pPr>
              <w:pStyle w:val="TableContents"/>
              <w:bidi w:val="0"/>
              <w:spacing w:before="0" w:after="283"/>
              <w:jc w:val="left"/>
              <w:rPr/>
            </w:pPr>
            <w:r>
              <w:rPr/>
              <w:t>  </w:t>
            </w:r>
          </w:p>
        </w:tc>
        <w:tc>
          <w:tcPr>
            <w:tcW w:w="3671" w:type="dxa"/>
            <w:tcBorders/>
            <w:shd w:fill="CCEEFF" w:val="clear"/>
            <w:vAlign w:val="bottom"/>
          </w:tcPr>
          <w:p>
            <w:pPr>
              <w:pStyle w:val="TableContents"/>
              <w:bidi w:val="0"/>
              <w:spacing w:before="0" w:after="283"/>
              <w:jc w:val="left"/>
              <w:rPr/>
            </w:pPr>
            <w:r>
              <w:rPr/>
              <w:t>CAMP4 Therapeutics</w:t>
            </w:r>
          </w:p>
        </w:tc>
        <w:tc>
          <w:tcPr>
            <w:tcW w:w="2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137.0</w:t>
            </w:r>
          </w:p>
        </w:tc>
        <w:tc>
          <w:tcPr>
            <w:tcW w:w="64" w:type="dxa"/>
            <w:tcBorders/>
            <w:shd w:fill="CCEEFF" w:val="clear"/>
            <w:vAlign w:val="bottom"/>
          </w:tcPr>
          <w:p>
            <w:pPr>
              <w:pStyle w:val="TableContents"/>
              <w:bidi w:val="0"/>
              <w:spacing w:before="0" w:after="283"/>
              <w:jc w:val="left"/>
              <w:rPr/>
            </w:pPr>
            <w:r>
              <w:rPr/>
              <w:t> </w:t>
            </w:r>
          </w:p>
        </w:tc>
      </w:tr>
      <w:tr>
        <w:trPr/>
        <w:tc>
          <w:tcPr>
            <w:tcW w:w="2320" w:type="dxa"/>
            <w:tcBorders/>
          </w:tcPr>
          <w:p>
            <w:pPr>
              <w:pStyle w:val="TableContents"/>
              <w:bidi w:val="0"/>
              <w:spacing w:before="0" w:after="0"/>
              <w:jc w:val="left"/>
              <w:rPr>
                <w:rFonts w:ascii="Times New Roman" w:hAnsi="Times New Roman"/>
                <w:sz w:val="20"/>
              </w:rPr>
            </w:pPr>
            <w:r>
              <w:rPr>
                <w:rFonts w:ascii="Times New Roman" w:hAnsi="Times New Roman"/>
                <w:sz w:val="20"/>
              </w:rPr>
              <w:t>4/4/2024</w:t>
            </w:r>
          </w:p>
        </w:tc>
        <w:tc>
          <w:tcPr>
            <w:tcW w:w="283"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Contineum Therapeutics, Inc.</w:t>
            </w:r>
          </w:p>
        </w:tc>
        <w:tc>
          <w:tcPr>
            <w:tcW w:w="2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174.2</w:t>
            </w:r>
          </w:p>
        </w:tc>
        <w:tc>
          <w:tcPr>
            <w:tcW w:w="64" w:type="dxa"/>
            <w:tcBorders/>
            <w:vAlign w:val="bottom"/>
          </w:tcPr>
          <w:p>
            <w:pPr>
              <w:pStyle w:val="TableContents"/>
              <w:bidi w:val="0"/>
              <w:spacing w:before="0" w:after="283"/>
              <w:jc w:val="left"/>
              <w:rPr/>
            </w:pPr>
            <w:r>
              <w:rPr/>
              <w:t> </w:t>
            </w:r>
          </w:p>
        </w:tc>
      </w:tr>
      <w:tr>
        <w:trPr/>
        <w:tc>
          <w:tcPr>
            <w:tcW w:w="2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7/13/2023</w:t>
            </w:r>
          </w:p>
        </w:tc>
        <w:tc>
          <w:tcPr>
            <w:tcW w:w="283" w:type="dxa"/>
            <w:tcBorders/>
            <w:shd w:fill="CCEEFF" w:val="clear"/>
            <w:vAlign w:val="bottom"/>
          </w:tcPr>
          <w:p>
            <w:pPr>
              <w:pStyle w:val="TableContents"/>
              <w:bidi w:val="0"/>
              <w:spacing w:before="0" w:after="283"/>
              <w:jc w:val="left"/>
              <w:rPr/>
            </w:pPr>
            <w:r>
              <w:rPr/>
              <w:t>  </w:t>
            </w:r>
          </w:p>
        </w:tc>
        <w:tc>
          <w:tcPr>
            <w:tcW w:w="3671" w:type="dxa"/>
            <w:tcBorders/>
            <w:shd w:fill="CCEEFF" w:val="clear"/>
            <w:vAlign w:val="bottom"/>
          </w:tcPr>
          <w:p>
            <w:pPr>
              <w:pStyle w:val="TableContents"/>
              <w:bidi w:val="0"/>
              <w:spacing w:before="0" w:after="283"/>
              <w:jc w:val="left"/>
              <w:rPr/>
            </w:pPr>
            <w:r>
              <w:rPr/>
              <w:t>Sagimet Biosciences Inc.</w:t>
            </w:r>
          </w:p>
        </w:tc>
        <w:tc>
          <w:tcPr>
            <w:tcW w:w="2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251.3</w:t>
            </w:r>
          </w:p>
        </w:tc>
        <w:tc>
          <w:tcPr>
            <w:tcW w:w="64" w:type="dxa"/>
            <w:tcBorders/>
            <w:shd w:fill="CCEEFF" w:val="clear"/>
            <w:vAlign w:val="bottom"/>
          </w:tcPr>
          <w:p>
            <w:pPr>
              <w:pStyle w:val="TableContents"/>
              <w:bidi w:val="0"/>
              <w:spacing w:before="0" w:after="283"/>
              <w:jc w:val="left"/>
              <w:rPr/>
            </w:pPr>
            <w:r>
              <w:rPr/>
              <w:t> </w:t>
            </w:r>
          </w:p>
        </w:tc>
      </w:tr>
      <w:tr>
        <w:trPr/>
        <w:tc>
          <w:tcPr>
            <w:tcW w:w="2320" w:type="dxa"/>
            <w:tcBorders/>
          </w:tcPr>
          <w:p>
            <w:pPr>
              <w:pStyle w:val="TableContents"/>
              <w:bidi w:val="0"/>
              <w:spacing w:before="0" w:after="0"/>
              <w:jc w:val="left"/>
              <w:rPr>
                <w:rFonts w:ascii="Times New Roman" w:hAnsi="Times New Roman"/>
                <w:sz w:val="20"/>
              </w:rPr>
            </w:pPr>
            <w:r>
              <w:rPr>
                <w:rFonts w:ascii="Times New Roman" w:hAnsi="Times New Roman"/>
                <w:sz w:val="20"/>
              </w:rPr>
              <w:t>10/19/2022</w:t>
            </w:r>
          </w:p>
        </w:tc>
        <w:tc>
          <w:tcPr>
            <w:tcW w:w="283"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Prime Medicine, Inc.</w:t>
            </w:r>
          </w:p>
        </w:tc>
        <w:tc>
          <w:tcPr>
            <w:tcW w:w="2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1,305.7</w:t>
            </w:r>
          </w:p>
        </w:tc>
        <w:tc>
          <w:tcPr>
            <w:tcW w:w="64" w:type="dxa"/>
            <w:tcBorders/>
            <w:vAlign w:val="bottom"/>
          </w:tcPr>
          <w:p>
            <w:pPr>
              <w:pStyle w:val="TableContents"/>
              <w:bidi w:val="0"/>
              <w:spacing w:before="0" w:after="283"/>
              <w:jc w:val="left"/>
              <w:rPr/>
            </w:pPr>
            <w:r>
              <w:rPr/>
              <w:t> </w:t>
            </w:r>
          </w:p>
        </w:tc>
      </w:tr>
      <w:tr>
        <w:trPr/>
        <w:tc>
          <w:tcPr>
            <w:tcW w:w="2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3/29/2022</w:t>
            </w:r>
          </w:p>
        </w:tc>
        <w:tc>
          <w:tcPr>
            <w:tcW w:w="283" w:type="dxa"/>
            <w:tcBorders/>
            <w:shd w:fill="CCEEFF" w:val="clear"/>
            <w:vAlign w:val="bottom"/>
          </w:tcPr>
          <w:p>
            <w:pPr>
              <w:pStyle w:val="TableContents"/>
              <w:bidi w:val="0"/>
              <w:spacing w:before="0" w:after="283"/>
              <w:jc w:val="left"/>
              <w:rPr/>
            </w:pPr>
            <w:r>
              <w:rPr/>
              <w:t>  </w:t>
            </w:r>
          </w:p>
        </w:tc>
        <w:tc>
          <w:tcPr>
            <w:tcW w:w="3671" w:type="dxa"/>
            <w:tcBorders/>
            <w:shd w:fill="CCEEFF" w:val="clear"/>
            <w:vAlign w:val="bottom"/>
          </w:tcPr>
          <w:p>
            <w:pPr>
              <w:pStyle w:val="TableContents"/>
              <w:bidi w:val="0"/>
              <w:spacing w:before="0" w:after="283"/>
              <w:jc w:val="left"/>
              <w:rPr/>
            </w:pPr>
            <w:r>
              <w:rPr/>
              <w:t>AN2 Therapeutics, Inc.</w:t>
            </w:r>
          </w:p>
        </w:tc>
        <w:tc>
          <w:tcPr>
            <w:tcW w:w="2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153.5</w:t>
            </w:r>
          </w:p>
        </w:tc>
        <w:tc>
          <w:tcPr>
            <w:tcW w:w="64" w:type="dxa"/>
            <w:tcBorders/>
            <w:shd w:fill="CCEEFF" w:val="clear"/>
            <w:vAlign w:val="bottom"/>
          </w:tcPr>
          <w:p>
            <w:pPr>
              <w:pStyle w:val="TableContents"/>
              <w:bidi w:val="0"/>
              <w:spacing w:before="0" w:after="283"/>
              <w:jc w:val="left"/>
              <w:rPr/>
            </w:pPr>
            <w:r>
              <w:rPr/>
              <w:t> </w:t>
            </w:r>
          </w:p>
        </w:tc>
      </w:tr>
      <w:tr>
        <w:trPr/>
        <w:tc>
          <w:tcPr>
            <w:tcW w:w="2320" w:type="dxa"/>
            <w:tcBorders/>
          </w:tcPr>
          <w:p>
            <w:pPr>
              <w:pStyle w:val="TableContents"/>
              <w:bidi w:val="0"/>
              <w:spacing w:before="0" w:after="0"/>
              <w:jc w:val="left"/>
              <w:rPr>
                <w:rFonts w:ascii="Times New Roman" w:hAnsi="Times New Roman"/>
                <w:sz w:val="20"/>
              </w:rPr>
            </w:pPr>
            <w:r>
              <w:rPr>
                <w:rFonts w:ascii="Times New Roman" w:hAnsi="Times New Roman"/>
                <w:sz w:val="20"/>
              </w:rPr>
              <w:t>2/4/2021</w:t>
            </w:r>
          </w:p>
        </w:tc>
        <w:tc>
          <w:tcPr>
            <w:tcW w:w="283"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Terns Pharmaceuticals, Inc.</w:t>
            </w:r>
          </w:p>
        </w:tc>
        <w:tc>
          <w:tcPr>
            <w:tcW w:w="2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218.0</w:t>
            </w:r>
          </w:p>
        </w:tc>
        <w:tc>
          <w:tcPr>
            <w:tcW w:w="64" w:type="dxa"/>
            <w:tcBorders/>
            <w:vAlign w:val="bottom"/>
          </w:tcPr>
          <w:p>
            <w:pPr>
              <w:pStyle w:val="TableContents"/>
              <w:bidi w:val="0"/>
              <w:spacing w:before="0" w:after="283"/>
              <w:jc w:val="left"/>
              <w:rPr/>
            </w:pPr>
            <w:r>
              <w:rPr/>
              <w:t> </w:t>
            </w:r>
          </w:p>
        </w:tc>
      </w:tr>
      <w:tr>
        <w:trPr/>
        <w:tc>
          <w:tcPr>
            <w:tcW w:w="2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10/15/2020</w:t>
            </w:r>
          </w:p>
        </w:tc>
        <w:tc>
          <w:tcPr>
            <w:tcW w:w="283" w:type="dxa"/>
            <w:tcBorders/>
            <w:shd w:fill="CCEEFF" w:val="clear"/>
            <w:vAlign w:val="bottom"/>
          </w:tcPr>
          <w:p>
            <w:pPr>
              <w:pStyle w:val="TableContents"/>
              <w:bidi w:val="0"/>
              <w:spacing w:before="0" w:after="283"/>
              <w:jc w:val="left"/>
              <w:rPr/>
            </w:pPr>
            <w:r>
              <w:rPr/>
              <w:t>  </w:t>
            </w:r>
          </w:p>
        </w:tc>
        <w:tc>
          <w:tcPr>
            <w:tcW w:w="3671" w:type="dxa"/>
            <w:tcBorders/>
            <w:shd w:fill="CCEEFF" w:val="clear"/>
            <w:vAlign w:val="bottom"/>
          </w:tcPr>
          <w:p>
            <w:pPr>
              <w:pStyle w:val="TableContents"/>
              <w:bidi w:val="0"/>
              <w:spacing w:before="0" w:after="283"/>
              <w:jc w:val="left"/>
              <w:rPr/>
            </w:pPr>
            <w:r>
              <w:rPr/>
              <w:t>Aligos Therapeutics, Inc.</w:t>
            </w:r>
          </w:p>
        </w:tc>
        <w:tc>
          <w:tcPr>
            <w:tcW w:w="2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286.9</w:t>
            </w:r>
          </w:p>
        </w:tc>
        <w:tc>
          <w:tcPr>
            <w:tcW w:w="64" w:type="dxa"/>
            <w:tcBorders/>
            <w:shd w:fill="CCEEFF" w:val="clear"/>
            <w:vAlign w:val="bottom"/>
          </w:tcPr>
          <w:p>
            <w:pPr>
              <w:pStyle w:val="TableContents"/>
              <w:bidi w:val="0"/>
              <w:spacing w:before="0" w:after="283"/>
              <w:jc w:val="left"/>
              <w:rPr/>
            </w:pPr>
            <w:r>
              <w:rPr/>
              <w:t> </w:t>
            </w:r>
          </w:p>
        </w:tc>
      </w:tr>
      <w:tr>
        <w:trPr/>
        <w:tc>
          <w:tcPr>
            <w:tcW w:w="2320" w:type="dxa"/>
            <w:tcBorders/>
          </w:tcPr>
          <w:p>
            <w:pPr>
              <w:pStyle w:val="TableContents"/>
              <w:bidi w:val="0"/>
              <w:spacing w:before="0" w:after="0"/>
              <w:jc w:val="left"/>
              <w:rPr>
                <w:rFonts w:ascii="Times New Roman" w:hAnsi="Times New Roman"/>
                <w:sz w:val="20"/>
              </w:rPr>
            </w:pPr>
            <w:r>
              <w:rPr>
                <w:rFonts w:ascii="Times New Roman" w:hAnsi="Times New Roman"/>
                <w:sz w:val="20"/>
              </w:rPr>
              <w:t>7/9/2020</w:t>
            </w:r>
          </w:p>
        </w:tc>
        <w:tc>
          <w:tcPr>
            <w:tcW w:w="283"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Inventiva S.A.</w:t>
            </w:r>
          </w:p>
        </w:tc>
        <w:tc>
          <w:tcPr>
            <w:tcW w:w="2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393.1</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Analysis of Selected Initial Public Offering Transactions – Gene Therapy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the IPOs of 12 gene therapy-focused biopharmaceutical companies that have completed an IPO since February 2020 and whose lead product at the time of IPO was in preclinical or early clinical stage of development. Although the companies referred to below were used for comparison purposes, none of these companies are directly comparable to Serapha. Accordingly, the analysis involves considerations and judgments concerning differences in historical financial and operating characteristics of the selected companies. These companies, which are referred to as the “Selected Precedent IPO Companies – Gene Therapy Companies,”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4D Molecular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Aligos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CAMP4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Caribou Bioscience,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CG Oncology,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Foghorn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Genenta S.p.A.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Lexeo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Maze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Passage Bio,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Taysha Gene Therapies,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enterprise value at IPO is defined as the pre-money equity value plus indebtedness, liquidation value of preferred stock and non-controlling interest, minus cash and cash equivalents, in each case at the time of the applicable IPO. The Selected Precedent IPO – Gene Therapy Companies had total enterprise values between $129.3 million and $1.3 billion. Lucid derived a median total enterprise value of $377.5 million for the Selected Precedent IPO Companies – Gene Therapy Companies. Using the 25th percentile and the 75th percentile of the enterprise values, Lucid then derived a range of implied total equity values for Serapha by adding $230.0 million in net cash at closing, resulting in a range of approximately $481.6 million to $725.1 million. Lucid then compared that figure to the Serapha Valuation of $303.7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Selected Precedent IPO Companies – Gene Therapy Companies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07"/>
        <w:gridCol w:w="271"/>
        <w:gridCol w:w="3815"/>
        <w:gridCol w:w="271"/>
        <w:gridCol w:w="175"/>
        <w:gridCol w:w="952"/>
        <w:gridCol w:w="64"/>
      </w:tblGrid>
      <w:tr>
        <w:trPr/>
        <w:tc>
          <w:tcPr>
            <w:tcW w:w="2207"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2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Filing Date</w:t>
            </w:r>
          </w:p>
        </w:tc>
        <w:tc>
          <w:tcPr>
            <w:tcW w:w="271" w:type="dxa"/>
            <w:tcBorders/>
            <w:vAlign w:val="bottom"/>
          </w:tcPr>
          <w:p>
            <w:pPr>
              <w:pStyle w:val="TableContents"/>
              <w:bidi w:val="0"/>
              <w:spacing w:before="0" w:after="283"/>
              <w:jc w:val="left"/>
              <w:rPr/>
            </w:pPr>
            <w:r>
              <w:rPr/>
              <w:t>  </w:t>
            </w:r>
          </w:p>
        </w:tc>
        <w:tc>
          <w:tcPr>
            <w:tcW w:w="381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Issuer</w:t>
            </w:r>
          </w:p>
        </w:tc>
        <w:tc>
          <w:tcPr>
            <w:tcW w:w="27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left"/>
              <w:rPr>
                <w:b/>
              </w:rPr>
            </w:pPr>
            <w:r>
              <w:rPr>
                <w:b/>
              </w:rPr>
              <w:t xml:space="preserve">Enterprise </w:t>
              <w:br/>
              <w:t>Value ($M)</w:t>
            </w:r>
          </w:p>
        </w:tc>
        <w:tc>
          <w:tcPr>
            <w:tcW w:w="64"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1/30/2025</w:t>
            </w:r>
          </w:p>
        </w:tc>
        <w:tc>
          <w:tcPr>
            <w:tcW w:w="271" w:type="dxa"/>
            <w:tcBorders/>
            <w:shd w:fill="CCEEFF" w:val="clear"/>
            <w:vAlign w:val="bottom"/>
          </w:tcPr>
          <w:p>
            <w:pPr>
              <w:pStyle w:val="TableContents"/>
              <w:bidi w:val="0"/>
              <w:spacing w:before="0" w:after="283"/>
              <w:jc w:val="left"/>
              <w:rPr/>
            </w:pPr>
            <w:r>
              <w:rPr/>
              <w:t>  </w:t>
            </w:r>
          </w:p>
        </w:tc>
        <w:tc>
          <w:tcPr>
            <w:tcW w:w="3815" w:type="dxa"/>
            <w:tcBorders/>
            <w:shd w:fill="CCEEFF" w:val="clear"/>
            <w:vAlign w:val="bottom"/>
          </w:tcPr>
          <w:p>
            <w:pPr>
              <w:pStyle w:val="TableContents"/>
              <w:bidi w:val="0"/>
              <w:spacing w:before="0" w:after="283"/>
              <w:jc w:val="left"/>
              <w:rPr/>
            </w:pPr>
            <w:r>
              <w:rPr/>
              <w:t>Maze Therapeutics, Inc.</w:t>
            </w:r>
          </w:p>
        </w:tc>
        <w:tc>
          <w:tcPr>
            <w:tcW w:w="27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363.3</w:t>
            </w:r>
          </w:p>
        </w:tc>
        <w:tc>
          <w:tcPr>
            <w:tcW w:w="64"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10/10/2024</w:t>
            </w:r>
          </w:p>
        </w:tc>
        <w:tc>
          <w:tcPr>
            <w:tcW w:w="271" w:type="dxa"/>
            <w:tcBorders/>
            <w:vAlign w:val="bottom"/>
          </w:tcPr>
          <w:p>
            <w:pPr>
              <w:pStyle w:val="TableContents"/>
              <w:bidi w:val="0"/>
              <w:spacing w:before="0" w:after="283"/>
              <w:jc w:val="left"/>
              <w:rPr/>
            </w:pPr>
            <w:r>
              <w:rPr/>
              <w:t>  </w:t>
            </w:r>
          </w:p>
        </w:tc>
        <w:tc>
          <w:tcPr>
            <w:tcW w:w="3815" w:type="dxa"/>
            <w:tcBorders/>
            <w:vAlign w:val="bottom"/>
          </w:tcPr>
          <w:p>
            <w:pPr>
              <w:pStyle w:val="TableContents"/>
              <w:bidi w:val="0"/>
              <w:spacing w:before="0" w:after="283"/>
              <w:jc w:val="left"/>
              <w:rPr/>
            </w:pPr>
            <w:r>
              <w:rPr/>
              <w:t>CAMP4 Therapeutics</w:t>
            </w:r>
          </w:p>
        </w:tc>
        <w:tc>
          <w:tcPr>
            <w:tcW w:w="2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137.0</w:t>
            </w:r>
          </w:p>
        </w:tc>
        <w:tc>
          <w:tcPr>
            <w:tcW w:w="64"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1/24/2024</w:t>
            </w:r>
          </w:p>
        </w:tc>
        <w:tc>
          <w:tcPr>
            <w:tcW w:w="271" w:type="dxa"/>
            <w:tcBorders/>
            <w:shd w:fill="CCEEFF" w:val="clear"/>
            <w:vAlign w:val="bottom"/>
          </w:tcPr>
          <w:p>
            <w:pPr>
              <w:pStyle w:val="TableContents"/>
              <w:bidi w:val="0"/>
              <w:spacing w:before="0" w:after="283"/>
              <w:jc w:val="left"/>
              <w:rPr/>
            </w:pPr>
            <w:r>
              <w:rPr/>
              <w:t>  </w:t>
            </w:r>
          </w:p>
        </w:tc>
        <w:tc>
          <w:tcPr>
            <w:tcW w:w="3815" w:type="dxa"/>
            <w:tcBorders/>
            <w:shd w:fill="CCEEFF" w:val="clear"/>
            <w:vAlign w:val="bottom"/>
          </w:tcPr>
          <w:p>
            <w:pPr>
              <w:pStyle w:val="TableContents"/>
              <w:bidi w:val="0"/>
              <w:spacing w:before="0" w:after="283"/>
              <w:jc w:val="left"/>
              <w:rPr/>
            </w:pPr>
            <w:r>
              <w:rPr/>
              <w:t>CG Oncology, Inc.</w:t>
            </w:r>
          </w:p>
        </w:tc>
        <w:tc>
          <w:tcPr>
            <w:tcW w:w="27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638.5</w:t>
            </w:r>
          </w:p>
        </w:tc>
        <w:tc>
          <w:tcPr>
            <w:tcW w:w="64"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11/2/2023</w:t>
            </w:r>
          </w:p>
        </w:tc>
        <w:tc>
          <w:tcPr>
            <w:tcW w:w="271" w:type="dxa"/>
            <w:tcBorders/>
            <w:vAlign w:val="bottom"/>
          </w:tcPr>
          <w:p>
            <w:pPr>
              <w:pStyle w:val="TableContents"/>
              <w:bidi w:val="0"/>
              <w:spacing w:before="0" w:after="283"/>
              <w:jc w:val="left"/>
              <w:rPr/>
            </w:pPr>
            <w:r>
              <w:rPr/>
              <w:t>  </w:t>
            </w:r>
          </w:p>
        </w:tc>
        <w:tc>
          <w:tcPr>
            <w:tcW w:w="3815" w:type="dxa"/>
            <w:tcBorders/>
            <w:vAlign w:val="bottom"/>
          </w:tcPr>
          <w:p>
            <w:pPr>
              <w:pStyle w:val="TableContents"/>
              <w:bidi w:val="0"/>
              <w:spacing w:before="0" w:after="283"/>
              <w:jc w:val="left"/>
              <w:rPr/>
            </w:pPr>
            <w:r>
              <w:rPr/>
              <w:t>Lexeo Therapeutics, Inc.</w:t>
            </w:r>
          </w:p>
        </w:tc>
        <w:tc>
          <w:tcPr>
            <w:tcW w:w="2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145.6</w:t>
            </w:r>
          </w:p>
        </w:tc>
        <w:tc>
          <w:tcPr>
            <w:tcW w:w="64"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10/19/2022</w:t>
            </w:r>
          </w:p>
        </w:tc>
        <w:tc>
          <w:tcPr>
            <w:tcW w:w="271" w:type="dxa"/>
            <w:tcBorders/>
            <w:shd w:fill="CCEEFF" w:val="clear"/>
            <w:vAlign w:val="bottom"/>
          </w:tcPr>
          <w:p>
            <w:pPr>
              <w:pStyle w:val="TableContents"/>
              <w:bidi w:val="0"/>
              <w:spacing w:before="0" w:after="283"/>
              <w:jc w:val="left"/>
              <w:rPr/>
            </w:pPr>
            <w:r>
              <w:rPr/>
              <w:t>  </w:t>
            </w:r>
          </w:p>
        </w:tc>
        <w:tc>
          <w:tcPr>
            <w:tcW w:w="3815" w:type="dxa"/>
            <w:tcBorders/>
            <w:shd w:fill="CCEEFF" w:val="clear"/>
            <w:vAlign w:val="bottom"/>
          </w:tcPr>
          <w:p>
            <w:pPr>
              <w:pStyle w:val="TableContents"/>
              <w:bidi w:val="0"/>
              <w:spacing w:before="0" w:after="283"/>
              <w:jc w:val="left"/>
              <w:rPr/>
            </w:pPr>
            <w:r>
              <w:rPr/>
              <w:t>Prime Medicine, Inc.</w:t>
            </w:r>
          </w:p>
        </w:tc>
        <w:tc>
          <w:tcPr>
            <w:tcW w:w="27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1,305.7</w:t>
            </w:r>
          </w:p>
        </w:tc>
        <w:tc>
          <w:tcPr>
            <w:tcW w:w="64"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12/15/2021</w:t>
            </w:r>
          </w:p>
        </w:tc>
        <w:tc>
          <w:tcPr>
            <w:tcW w:w="271" w:type="dxa"/>
            <w:tcBorders/>
            <w:vAlign w:val="bottom"/>
          </w:tcPr>
          <w:p>
            <w:pPr>
              <w:pStyle w:val="TableContents"/>
              <w:bidi w:val="0"/>
              <w:spacing w:before="0" w:after="283"/>
              <w:jc w:val="left"/>
              <w:rPr/>
            </w:pPr>
            <w:r>
              <w:rPr/>
              <w:t>  </w:t>
            </w:r>
          </w:p>
        </w:tc>
        <w:tc>
          <w:tcPr>
            <w:tcW w:w="3815" w:type="dxa"/>
            <w:tcBorders/>
            <w:vAlign w:val="bottom"/>
          </w:tcPr>
          <w:p>
            <w:pPr>
              <w:pStyle w:val="TableContents"/>
              <w:bidi w:val="0"/>
              <w:spacing w:before="0" w:after="283"/>
              <w:jc w:val="left"/>
              <w:rPr/>
            </w:pPr>
            <w:r>
              <w:rPr/>
              <w:t>Genenta S.p.A.</w:t>
            </w:r>
          </w:p>
        </w:tc>
        <w:tc>
          <w:tcPr>
            <w:tcW w:w="2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129.3</w:t>
            </w:r>
          </w:p>
        </w:tc>
        <w:tc>
          <w:tcPr>
            <w:tcW w:w="64"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7/22/2021</w:t>
            </w:r>
          </w:p>
        </w:tc>
        <w:tc>
          <w:tcPr>
            <w:tcW w:w="271" w:type="dxa"/>
            <w:tcBorders/>
            <w:shd w:fill="CCEEFF" w:val="clear"/>
            <w:vAlign w:val="bottom"/>
          </w:tcPr>
          <w:p>
            <w:pPr>
              <w:pStyle w:val="TableContents"/>
              <w:bidi w:val="0"/>
              <w:spacing w:before="0" w:after="283"/>
              <w:jc w:val="left"/>
              <w:rPr/>
            </w:pPr>
            <w:r>
              <w:rPr/>
              <w:t>  </w:t>
            </w:r>
          </w:p>
        </w:tc>
        <w:tc>
          <w:tcPr>
            <w:tcW w:w="3815" w:type="dxa"/>
            <w:tcBorders/>
            <w:shd w:fill="CCEEFF" w:val="clear"/>
            <w:vAlign w:val="bottom"/>
          </w:tcPr>
          <w:p>
            <w:pPr>
              <w:pStyle w:val="TableContents"/>
              <w:bidi w:val="0"/>
              <w:spacing w:before="0" w:after="283"/>
              <w:jc w:val="left"/>
              <w:rPr/>
            </w:pPr>
            <w:r>
              <w:rPr/>
              <w:t>Caribou Bioscience, Inc.</w:t>
            </w:r>
          </w:p>
        </w:tc>
        <w:tc>
          <w:tcPr>
            <w:tcW w:w="27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473.8</w:t>
            </w:r>
          </w:p>
        </w:tc>
        <w:tc>
          <w:tcPr>
            <w:tcW w:w="64"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12/10/2020</w:t>
            </w:r>
          </w:p>
        </w:tc>
        <w:tc>
          <w:tcPr>
            <w:tcW w:w="271" w:type="dxa"/>
            <w:tcBorders/>
            <w:vAlign w:val="bottom"/>
          </w:tcPr>
          <w:p>
            <w:pPr>
              <w:pStyle w:val="TableContents"/>
              <w:bidi w:val="0"/>
              <w:spacing w:before="0" w:after="283"/>
              <w:jc w:val="left"/>
              <w:rPr/>
            </w:pPr>
            <w:r>
              <w:rPr/>
              <w:t>  </w:t>
            </w:r>
          </w:p>
        </w:tc>
        <w:tc>
          <w:tcPr>
            <w:tcW w:w="3815" w:type="dxa"/>
            <w:tcBorders/>
            <w:vAlign w:val="bottom"/>
          </w:tcPr>
          <w:p>
            <w:pPr>
              <w:pStyle w:val="TableContents"/>
              <w:bidi w:val="0"/>
              <w:spacing w:before="0" w:after="283"/>
              <w:jc w:val="left"/>
              <w:rPr/>
            </w:pPr>
            <w:r>
              <w:rPr/>
              <w:t>4D Molecular Therapeutics, Inc.</w:t>
            </w:r>
          </w:p>
        </w:tc>
        <w:tc>
          <w:tcPr>
            <w:tcW w:w="2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298.4</w:t>
            </w:r>
          </w:p>
        </w:tc>
        <w:tc>
          <w:tcPr>
            <w:tcW w:w="64"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10/22/2020</w:t>
            </w:r>
          </w:p>
        </w:tc>
        <w:tc>
          <w:tcPr>
            <w:tcW w:w="271" w:type="dxa"/>
            <w:tcBorders/>
            <w:shd w:fill="CCEEFF" w:val="clear"/>
            <w:vAlign w:val="bottom"/>
          </w:tcPr>
          <w:p>
            <w:pPr>
              <w:pStyle w:val="TableContents"/>
              <w:bidi w:val="0"/>
              <w:spacing w:before="0" w:after="283"/>
              <w:jc w:val="left"/>
              <w:rPr/>
            </w:pPr>
            <w:r>
              <w:rPr/>
              <w:t>  </w:t>
            </w:r>
          </w:p>
        </w:tc>
        <w:tc>
          <w:tcPr>
            <w:tcW w:w="3815" w:type="dxa"/>
            <w:tcBorders/>
            <w:shd w:fill="CCEEFF" w:val="clear"/>
            <w:vAlign w:val="bottom"/>
          </w:tcPr>
          <w:p>
            <w:pPr>
              <w:pStyle w:val="TableContents"/>
              <w:bidi w:val="0"/>
              <w:spacing w:before="0" w:after="283"/>
              <w:jc w:val="left"/>
              <w:rPr/>
            </w:pPr>
            <w:r>
              <w:rPr/>
              <w:t>Foghorn Therapeutics Inc.</w:t>
            </w:r>
          </w:p>
        </w:tc>
        <w:tc>
          <w:tcPr>
            <w:tcW w:w="27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391.3</w:t>
            </w:r>
          </w:p>
        </w:tc>
        <w:tc>
          <w:tcPr>
            <w:tcW w:w="64"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10/15/2020</w:t>
            </w:r>
          </w:p>
        </w:tc>
        <w:tc>
          <w:tcPr>
            <w:tcW w:w="271" w:type="dxa"/>
            <w:tcBorders/>
            <w:vAlign w:val="bottom"/>
          </w:tcPr>
          <w:p>
            <w:pPr>
              <w:pStyle w:val="TableContents"/>
              <w:bidi w:val="0"/>
              <w:spacing w:before="0" w:after="283"/>
              <w:jc w:val="left"/>
              <w:rPr/>
            </w:pPr>
            <w:r>
              <w:rPr/>
              <w:t>  </w:t>
            </w:r>
          </w:p>
        </w:tc>
        <w:tc>
          <w:tcPr>
            <w:tcW w:w="3815" w:type="dxa"/>
            <w:tcBorders/>
            <w:vAlign w:val="bottom"/>
          </w:tcPr>
          <w:p>
            <w:pPr>
              <w:pStyle w:val="TableContents"/>
              <w:bidi w:val="0"/>
              <w:spacing w:before="0" w:after="283"/>
              <w:jc w:val="left"/>
              <w:rPr/>
            </w:pPr>
            <w:r>
              <w:rPr/>
              <w:t>Aligos Therapeutics, Inc.</w:t>
            </w:r>
          </w:p>
        </w:tc>
        <w:tc>
          <w:tcPr>
            <w:tcW w:w="2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286.9</w:t>
            </w:r>
          </w:p>
        </w:tc>
        <w:tc>
          <w:tcPr>
            <w:tcW w:w="64"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9/24/2020</w:t>
            </w:r>
          </w:p>
        </w:tc>
        <w:tc>
          <w:tcPr>
            <w:tcW w:w="271" w:type="dxa"/>
            <w:tcBorders/>
            <w:shd w:fill="CCEEFF" w:val="clear"/>
            <w:vAlign w:val="bottom"/>
          </w:tcPr>
          <w:p>
            <w:pPr>
              <w:pStyle w:val="TableContents"/>
              <w:bidi w:val="0"/>
              <w:spacing w:before="0" w:after="283"/>
              <w:jc w:val="left"/>
              <w:rPr/>
            </w:pPr>
            <w:r>
              <w:rPr/>
              <w:t>  </w:t>
            </w:r>
          </w:p>
        </w:tc>
        <w:tc>
          <w:tcPr>
            <w:tcW w:w="3815" w:type="dxa"/>
            <w:tcBorders/>
            <w:shd w:fill="CCEEFF" w:val="clear"/>
            <w:vAlign w:val="bottom"/>
          </w:tcPr>
          <w:p>
            <w:pPr>
              <w:pStyle w:val="TableContents"/>
              <w:bidi w:val="0"/>
              <w:spacing w:before="0" w:after="283"/>
              <w:jc w:val="left"/>
              <w:rPr/>
            </w:pPr>
            <w:r>
              <w:rPr/>
              <w:t>Taysha Gene Therapies, Inc.</w:t>
            </w:r>
          </w:p>
        </w:tc>
        <w:tc>
          <w:tcPr>
            <w:tcW w:w="27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558.8</w:t>
            </w:r>
          </w:p>
        </w:tc>
        <w:tc>
          <w:tcPr>
            <w:tcW w:w="64"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2/27/2020</w:t>
            </w:r>
          </w:p>
        </w:tc>
        <w:tc>
          <w:tcPr>
            <w:tcW w:w="271" w:type="dxa"/>
            <w:tcBorders/>
            <w:vAlign w:val="bottom"/>
          </w:tcPr>
          <w:p>
            <w:pPr>
              <w:pStyle w:val="TableContents"/>
              <w:bidi w:val="0"/>
              <w:spacing w:before="0" w:after="283"/>
              <w:jc w:val="left"/>
              <w:rPr/>
            </w:pPr>
            <w:r>
              <w:rPr/>
              <w:t>  </w:t>
            </w:r>
          </w:p>
        </w:tc>
        <w:tc>
          <w:tcPr>
            <w:tcW w:w="3815" w:type="dxa"/>
            <w:tcBorders/>
            <w:vAlign w:val="bottom"/>
          </w:tcPr>
          <w:p>
            <w:pPr>
              <w:pStyle w:val="TableContents"/>
              <w:bidi w:val="0"/>
              <w:spacing w:before="0" w:after="283"/>
              <w:jc w:val="left"/>
              <w:rPr/>
            </w:pPr>
            <w:r>
              <w:rPr/>
              <w:t>Passage Bio, Inc.</w:t>
            </w:r>
          </w:p>
        </w:tc>
        <w:tc>
          <w:tcPr>
            <w:tcW w:w="2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417.1</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Analysis of Selected Publicly Traded Companies – Degenerative Liver &amp; Lung Disease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data for 22 publicly traded degenerative liver &amp; lung disease-focused biopharmaceutical companies with lead candidates in clinical stage development that share similar business characteristics to Serapha (referred to as the “Selected Publicly Traded Companies – Degenerative Liver &amp; Lung Disease Companies”). Although the companies referred to below were used for comparison purposes, none of those companies is directly comparable to Serapha. Accordingly, the analysis involves considerations and judgments concerning differences in historical and financial and operating characteristics of the selected companies. The total enterprise values are based on closing stock prices on June 18, 2026. The Selected Publicly Traded Companies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Aligos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Altimmune,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AN2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Arbutus Biopharma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Arcturus Therapeutics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Assembly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Avalyn Pharma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Beam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Contineum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Galectin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Inventiva 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MiNK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Precision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ProQR Therapeutics N.V.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Rein Therapeutics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Sagimet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Savara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Seres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Sionna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 Biotechnology,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Ltd.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Selected Publicly Traded Companies – Degenerative Liver &amp; Lung Disease Companies had total enterprise values between $(22.0) million and $2.2 billion. Lucid derived a median total enterprise value of $276.0 million for the Selected Publicly Traded Companies – Degenerative Liver &amp; Lung Disease Companies. Using the 25th percentile and the 75th percentile of the enterprise values, Lucid then derived a range of implied total equity values for Serapha by adding $230.0 million in net cash at closing, resulting in a range of approximately $322.2 million to $1.1 billion.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Publicly Traded Companies – Degenerative Liver &amp; Lung Disease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91"/>
        <w:gridCol w:w="543"/>
        <w:gridCol w:w="175"/>
        <w:gridCol w:w="965"/>
        <w:gridCol w:w="165"/>
      </w:tblGrid>
      <w:tr>
        <w:trPr/>
        <w:tc>
          <w:tcPr>
            <w:tcW w:w="5091" w:type="dxa"/>
            <w:tcBorders/>
            <w:vAlign w:val="center"/>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0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 Name</w:t>
            </w:r>
          </w:p>
        </w:tc>
        <w:tc>
          <w:tcPr>
            <w:tcW w:w="543"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left"/>
              <w:rPr>
                <w:b/>
              </w:rPr>
            </w:pPr>
            <w:r>
              <w:rPr>
                <w:b/>
              </w:rPr>
              <w:t xml:space="preserve">Enterprise </w:t>
              <w:br/>
              <w:t>Value ($M)</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Beam Therapeutics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2,238.4</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Sionna Therapeutics,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1,473.4</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Savara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1,199.2</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Vir Biotechnology,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1,085.4</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Avalyn Pharma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1,134.3</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Inventiva S.A.</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875.3</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Arbutus Biopharma Corporation</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810.8</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Wave Life Sciences Ltd.</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630.0</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Prime Medicine,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447.0</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Sagimet Biosciences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325.5</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Galectin Therapeutics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308.3</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Assembly Biosciences,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243.6</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Contineum Therapeutics,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196.7</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Altimmune,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183.0</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AN2 Therapeutics,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93.4</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Precision BioSciences,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91.8</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ProQR Therapeutics N.V.</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113.3</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Rein Therapeutics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75.9</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MiNK Therapeutics,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50.8</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Seres Therapeutics,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33.7</w:t>
            </w:r>
          </w:p>
        </w:tc>
        <w:tc>
          <w:tcPr>
            <w:tcW w:w="16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Arcturus Therapeutics Holdings Inc.</w:t>
            </w:r>
          </w:p>
        </w:tc>
        <w:tc>
          <w:tcPr>
            <w:tcW w:w="54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1.4</w:t>
            </w:r>
          </w:p>
        </w:tc>
        <w:tc>
          <w:tcPr>
            <w:tcW w:w="16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Aligos Therapeutics, Inc.</w:t>
            </w:r>
          </w:p>
        </w:tc>
        <w:tc>
          <w:tcPr>
            <w:tcW w:w="54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(22.0</w:t>
            </w:r>
          </w:p>
        </w:tc>
        <w:tc>
          <w:tcPr>
            <w:tcW w:w="1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Analysis of Selected Publicly Traded Companies – Gene Therapy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data for 17 publicly traded gene therapy-focused biopharmaceutical companies with lead candidates in preclinical or early clinical stage development that share similar business characteristics to Serapha (referred to as the “Selected Publicly Traded Companies – Gene Therapy Companies”). Although the companies referred to below were used for comparison purposes, none of those companies is directly comparable to Serapha. Accordingly, the analysis involves considerations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judgments concerning differences in historical financial and operating characteristics of the selected companies. The total enterprise values are based on closing stock prices on June 18, 2026. The Selected Publicly Traded Companies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Beam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Benitec Biopharma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Cellectis 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Editas Medicine,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Intellia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Lexeo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MeiraGTx Holdings plc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Ocugen,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Opus Genetics,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Precision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REGENXBIO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Solid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Taysha Gene Therapies,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Tenaya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uniQure N.V.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Ltd.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Selected Publicly Traded Companies – Gene Therapy Companies had total enterprise values between $73.2 million and $2.9 billion. Lucid derived a median total enterprise value of $422.2 million for the Selected Publicly Traded Companies – Gene Therapy Companies. Using the 25th percentile and the 75th percentile of the enterprise values, Lucid then derived a range of implied total equity values for Serapha by adding $230.0 million in net cash at closing, resulting in a range of approximately $459.7 million to $1.3 billion.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Publicly Traded Companies – Gene Therapy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30"/>
        <w:gridCol w:w="555"/>
        <w:gridCol w:w="175"/>
        <w:gridCol w:w="1017"/>
        <w:gridCol w:w="62"/>
      </w:tblGrid>
      <w:tr>
        <w:trPr/>
        <w:tc>
          <w:tcPr>
            <w:tcW w:w="5130" w:type="dxa"/>
            <w:tcBorders/>
            <w:vAlign w:val="center"/>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1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 Name</w:t>
            </w:r>
          </w:p>
        </w:tc>
        <w:tc>
          <w:tcPr>
            <w:tcW w:w="555"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left"/>
              <w:rPr>
                <w:b/>
              </w:rPr>
            </w:pPr>
            <w:r>
              <w:rPr>
                <w:b/>
              </w:rPr>
              <w:t xml:space="preserve">Enterprise </w:t>
              <w:br/>
              <w:t>Value ($M)</w:t>
            </w:r>
          </w:p>
        </w:tc>
        <w:tc>
          <w:tcPr>
            <w:tcW w:w="62"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uniQure N.V.</w:t>
            </w:r>
          </w:p>
        </w:tc>
        <w:tc>
          <w:tcPr>
            <w:tcW w:w="5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2,889.6</w:t>
            </w:r>
          </w:p>
        </w:tc>
        <w:tc>
          <w:tcPr>
            <w:tcW w:w="62"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Beam Therapeutics Inc.</w:t>
            </w:r>
          </w:p>
        </w:tc>
        <w:tc>
          <w:tcPr>
            <w:tcW w:w="5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2,238.4</w:t>
            </w:r>
          </w:p>
        </w:tc>
        <w:tc>
          <w:tcPr>
            <w:tcW w:w="62"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Intellia Therapeutics, Inc.</w:t>
            </w:r>
          </w:p>
        </w:tc>
        <w:tc>
          <w:tcPr>
            <w:tcW w:w="5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1,855.7</w:t>
            </w:r>
          </w:p>
        </w:tc>
        <w:tc>
          <w:tcPr>
            <w:tcW w:w="62"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Taysha Gene Therapies, Inc.</w:t>
            </w:r>
          </w:p>
        </w:tc>
        <w:tc>
          <w:tcPr>
            <w:tcW w:w="5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1,595.7</w:t>
            </w:r>
          </w:p>
        </w:tc>
        <w:tc>
          <w:tcPr>
            <w:tcW w:w="62"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MeiraGTx Holdings plc</w:t>
            </w:r>
          </w:p>
        </w:tc>
        <w:tc>
          <w:tcPr>
            <w:tcW w:w="5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1,070.8</w:t>
            </w:r>
          </w:p>
        </w:tc>
        <w:tc>
          <w:tcPr>
            <w:tcW w:w="62"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Wave Life Sciences Ltd.</w:t>
            </w:r>
          </w:p>
        </w:tc>
        <w:tc>
          <w:tcPr>
            <w:tcW w:w="5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630.0</w:t>
            </w:r>
          </w:p>
        </w:tc>
        <w:tc>
          <w:tcPr>
            <w:tcW w:w="62"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Prime Medicine, Inc.</w:t>
            </w:r>
          </w:p>
        </w:tc>
        <w:tc>
          <w:tcPr>
            <w:tcW w:w="5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447.0</w:t>
            </w:r>
          </w:p>
        </w:tc>
        <w:tc>
          <w:tcPr>
            <w:tcW w:w="62"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REGENXBIO Inc.</w:t>
            </w:r>
          </w:p>
        </w:tc>
        <w:tc>
          <w:tcPr>
            <w:tcW w:w="5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447.4</w:t>
            </w:r>
          </w:p>
        </w:tc>
        <w:tc>
          <w:tcPr>
            <w:tcW w:w="62"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Ocugen, Inc.</w:t>
            </w:r>
          </w:p>
        </w:tc>
        <w:tc>
          <w:tcPr>
            <w:tcW w:w="5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422.2</w:t>
            </w:r>
          </w:p>
        </w:tc>
        <w:tc>
          <w:tcPr>
            <w:tcW w:w="62"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Solid Biosciences Inc.</w:t>
            </w:r>
          </w:p>
        </w:tc>
        <w:tc>
          <w:tcPr>
            <w:tcW w:w="5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412.8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400" w:type="pct"/>
        <w:jc w:val="center"/>
        <w:tblInd w:w="0" w:type="dxa"/>
        <w:tblLayout w:type="fixed"/>
        <w:tblCellMar>
          <w:top w:w="0" w:type="dxa"/>
          <w:left w:w="0" w:type="dxa"/>
          <w:bottom w:w="0" w:type="dxa"/>
          <w:right w:w="0" w:type="dxa"/>
        </w:tblCellMar>
      </w:tblPr>
      <w:tblGrid>
        <w:gridCol w:w="5072"/>
        <w:gridCol w:w="649"/>
        <w:gridCol w:w="220"/>
        <w:gridCol w:w="934"/>
        <w:gridCol w:w="64"/>
      </w:tblGrid>
      <w:tr>
        <w:trPr/>
        <w:tc>
          <w:tcPr>
            <w:tcW w:w="5072" w:type="dxa"/>
            <w:tcBorders/>
            <w:vAlign w:val="center"/>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 Name</w:t>
            </w:r>
          </w:p>
        </w:tc>
        <w:tc>
          <w:tcPr>
            <w:tcW w:w="649"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left"/>
              <w:rPr>
                <w:b/>
              </w:rPr>
            </w:pPr>
            <w:r>
              <w:rPr>
                <w:b/>
              </w:rPr>
              <w:t xml:space="preserve">Enterprise </w:t>
              <w:br/>
              <w:t>Value ($M)</w:t>
            </w:r>
          </w:p>
        </w:tc>
        <w:tc>
          <w:tcPr>
            <w:tcW w:w="64"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Editas Medicine, Inc.</w:t>
            </w:r>
          </w:p>
        </w:tc>
        <w:tc>
          <w:tcPr>
            <w:tcW w:w="6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302.0</w:t>
            </w:r>
          </w:p>
        </w:tc>
        <w:tc>
          <w:tcPr>
            <w:tcW w:w="64"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Opus Genetics, Inc.</w:t>
            </w:r>
          </w:p>
        </w:tc>
        <w:tc>
          <w:tcPr>
            <w:tcW w:w="6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274.6</w:t>
            </w:r>
          </w:p>
        </w:tc>
        <w:tc>
          <w:tcPr>
            <w:tcW w:w="64"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Benitec Biopharma Inc.</w:t>
            </w:r>
          </w:p>
        </w:tc>
        <w:tc>
          <w:tcPr>
            <w:tcW w:w="6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229.7</w:t>
            </w:r>
          </w:p>
        </w:tc>
        <w:tc>
          <w:tcPr>
            <w:tcW w:w="64"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Lexeo Therapeutics, Inc.</w:t>
            </w:r>
          </w:p>
        </w:tc>
        <w:tc>
          <w:tcPr>
            <w:tcW w:w="6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198.0</w:t>
            </w:r>
          </w:p>
        </w:tc>
        <w:tc>
          <w:tcPr>
            <w:tcW w:w="64"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Cellectis S.A.</w:t>
            </w:r>
          </w:p>
        </w:tc>
        <w:tc>
          <w:tcPr>
            <w:tcW w:w="6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89.4</w:t>
            </w:r>
          </w:p>
        </w:tc>
        <w:tc>
          <w:tcPr>
            <w:tcW w:w="64"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Precision BioSciences, Inc.</w:t>
            </w:r>
          </w:p>
        </w:tc>
        <w:tc>
          <w:tcPr>
            <w:tcW w:w="6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91.8</w:t>
            </w:r>
          </w:p>
        </w:tc>
        <w:tc>
          <w:tcPr>
            <w:tcW w:w="64"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Tenaya Therapeutics, Inc.</w:t>
            </w:r>
          </w:p>
        </w:tc>
        <w:tc>
          <w:tcPr>
            <w:tcW w:w="6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73.2</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M&amp;A Transactions – Degenerative Liver &amp; Lung Disease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10 merger transactions involving degenerative liver &amp; lung disease-focused biopharmaceutical companies with a lead candidate in clinical stage development (referred to as the “Selected Precedent M&amp;A Transactions – Degenerative Liver &amp; Lung Disease Companies”). Although the precedent transactions referred to below were used for comparison purposes, none of the target companies is directly comparable to Serapha. Accordingly, the analysis involves considerations and judgments concerning differences in historical and financial and operating characteristics of the companies involved and other factors that could affect the merger value of such transactions. Lucid reviewed the total enterprise values of the target companies, including potential future milestone payments. </w:t>
      </w:r>
    </w:p>
    <w:p>
      <w:pPr>
        <w:pStyle w:val="TextBody"/>
        <w:bidi w:val="0"/>
        <w:spacing w:before="240" w:after="0"/>
        <w:jc w:val="left"/>
        <w:rPr>
          <w:rFonts w:ascii="Times New Roman" w:hAnsi="Times New Roman"/>
          <w:sz w:val="20"/>
        </w:rPr>
      </w:pPr>
      <w:r>
        <w:rPr>
          <w:rFonts w:ascii="Times New Roman" w:hAnsi="Times New Roman"/>
          <w:sz w:val="20"/>
        </w:rPr>
        <w:t xml:space="preserve">The Selected Precedent M&amp;A Transactions – Degenerative Liver &amp; Lung Disease Companies had total enterprise values between $50.9 million and $4.7 billion. Lucid derived a median total enterprise value of $460.0 million for the Selected Precedent M&amp;A Transactions – Degenerative Liver &amp; Lung Disease Companies. Using the 25th percentile and the 75th percentile of the enterprise values, Lucid then derived a range of implied total enterprise values for Serapha by adding $230.0 million in net cash at closing, resulting in a range of approximately $385.0 million to $1.8 billion.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M&amp;A Transactions – Degenerative Liver &amp; Lung Disease Companies </w:t>
      </w:r>
    </w:p>
    <w:p>
      <w:pPr>
        <w:pStyle w:val="TextBody"/>
        <w:bidi w:val="0"/>
        <w:spacing w:before="0" w:after="0"/>
        <w:jc w:val="left"/>
        <w:rPr/>
      </w:pPr>
      <w:r>
        <w:rPr/>
        <w:t> </w:t>
      </w:r>
    </w:p>
    <w:tbl>
      <w:tblPr>
        <w:tblW w:w="10430" w:type="dxa"/>
        <w:jc w:val="center"/>
        <w:tblInd w:w="0" w:type="dxa"/>
        <w:tblLayout w:type="fixed"/>
        <w:tblCellMar>
          <w:top w:w="0" w:type="dxa"/>
          <w:left w:w="0" w:type="dxa"/>
          <w:bottom w:w="0" w:type="dxa"/>
          <w:right w:w="0" w:type="dxa"/>
        </w:tblCellMar>
      </w:tblPr>
      <w:tblGrid>
        <w:gridCol w:w="890"/>
        <w:gridCol w:w="120"/>
        <w:gridCol w:w="3170"/>
        <w:gridCol w:w="120"/>
        <w:gridCol w:w="4010"/>
        <w:gridCol w:w="120"/>
        <w:gridCol w:w="308"/>
        <w:gridCol w:w="1632"/>
        <w:gridCol w:w="6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bottom"/>
          </w:tcPr>
          <w:p>
            <w:pPr>
              <w:pStyle w:val="TableContents"/>
              <w:bidi w:val="0"/>
              <w:spacing w:before="0" w:after="283"/>
              <w:jc w:val="left"/>
              <w:rPr/>
            </w:pPr>
            <w:r>
              <w:rPr/>
              <w:t>  </w:t>
            </w:r>
          </w:p>
        </w:tc>
        <w:tc>
          <w:tcPr>
            <w:tcW w:w="31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20" w:type="dxa"/>
            <w:tcBorders/>
            <w:vAlign w:val="bottom"/>
          </w:tcPr>
          <w:p>
            <w:pPr>
              <w:pStyle w:val="TableContents"/>
              <w:bidi w:val="0"/>
              <w:spacing w:before="0" w:after="283"/>
              <w:jc w:val="left"/>
              <w:rPr/>
            </w:pPr>
            <w:r>
              <w:rPr/>
              <w:t>  </w:t>
            </w:r>
          </w:p>
        </w:tc>
        <w:tc>
          <w:tcPr>
            <w:tcW w:w="40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Acquirer</w:t>
            </w:r>
          </w:p>
        </w:tc>
        <w:tc>
          <w:tcPr>
            <w:tcW w:w="120"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Implied Enterprise</w:t>
              <w:br/>
              <w:t>Value ($M)</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5/12/2026</w:t>
            </w:r>
          </w:p>
        </w:tc>
        <w:tc>
          <w:tcPr>
            <w:tcW w:w="120" w:type="dxa"/>
            <w:tcBorders/>
            <w:shd w:fill="CCEEFF" w:val="clear"/>
            <w:vAlign w:val="bottom"/>
          </w:tcPr>
          <w:p>
            <w:pPr>
              <w:pStyle w:val="TableContents"/>
              <w:bidi w:val="0"/>
              <w:spacing w:before="0" w:after="283"/>
              <w:jc w:val="left"/>
              <w:rPr/>
            </w:pPr>
            <w:r>
              <w:rPr/>
              <w:t>  </w:t>
            </w:r>
          </w:p>
        </w:tc>
        <w:tc>
          <w:tcPr>
            <w:tcW w:w="3170" w:type="dxa"/>
            <w:tcBorders/>
            <w:shd w:fill="CCEEFF" w:val="clear"/>
          </w:tcPr>
          <w:p>
            <w:pPr>
              <w:pStyle w:val="TableContents"/>
              <w:bidi w:val="0"/>
              <w:spacing w:before="0" w:after="283"/>
              <w:jc w:val="left"/>
              <w:rPr/>
            </w:pPr>
            <w:r>
              <w:rPr/>
              <w:t>Kezar Life Sciences, Inc</w:t>
            </w:r>
          </w:p>
        </w:tc>
        <w:tc>
          <w:tcPr>
            <w:tcW w:w="120" w:type="dxa"/>
            <w:tcBorders/>
            <w:shd w:fill="CCEEFF" w:val="clear"/>
            <w:vAlign w:val="bottom"/>
          </w:tcPr>
          <w:p>
            <w:pPr>
              <w:pStyle w:val="TableContents"/>
              <w:bidi w:val="0"/>
              <w:spacing w:before="0" w:after="283"/>
              <w:jc w:val="left"/>
              <w:rPr/>
            </w:pPr>
            <w:r>
              <w:rPr/>
              <w:t>  </w:t>
            </w:r>
          </w:p>
        </w:tc>
        <w:tc>
          <w:tcPr>
            <w:tcW w:w="4010" w:type="dxa"/>
            <w:tcBorders/>
            <w:shd w:fill="CCEEFF" w:val="clear"/>
          </w:tcPr>
          <w:p>
            <w:pPr>
              <w:pStyle w:val="TableContents"/>
              <w:bidi w:val="0"/>
              <w:spacing w:before="0" w:after="283"/>
              <w:jc w:val="left"/>
              <w:rPr/>
            </w:pPr>
            <w:r>
              <w:rPr/>
              <w:t>Aurinia Pharmaceuticals Inc.</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50.9</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1/26/2026</w:t>
            </w:r>
          </w:p>
        </w:tc>
        <w:tc>
          <w:tcPr>
            <w:tcW w:w="120" w:type="dxa"/>
            <w:tcBorders/>
            <w:vAlign w:val="bottom"/>
          </w:tcPr>
          <w:p>
            <w:pPr>
              <w:pStyle w:val="TableContents"/>
              <w:bidi w:val="0"/>
              <w:spacing w:before="0" w:after="283"/>
              <w:jc w:val="left"/>
              <w:rPr/>
            </w:pPr>
            <w:r>
              <w:rPr/>
              <w:t>  </w:t>
            </w:r>
          </w:p>
        </w:tc>
        <w:tc>
          <w:tcPr>
            <w:tcW w:w="3170" w:type="dxa"/>
            <w:tcBorders/>
          </w:tcPr>
          <w:p>
            <w:pPr>
              <w:pStyle w:val="TableContents"/>
              <w:bidi w:val="0"/>
              <w:spacing w:before="0" w:after="283"/>
              <w:jc w:val="left"/>
              <w:rPr/>
            </w:pPr>
            <w:r>
              <w:rPr/>
              <w:t>Bluejay Therapeutics, Inc.</w:t>
            </w:r>
          </w:p>
        </w:tc>
        <w:tc>
          <w:tcPr>
            <w:tcW w:w="120"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Mirum Pharmaceuticals, Inc.</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620.0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12/9/2025</w:t>
            </w:r>
          </w:p>
        </w:tc>
        <w:tc>
          <w:tcPr>
            <w:tcW w:w="120" w:type="dxa"/>
            <w:tcBorders/>
            <w:shd w:fill="CCEEFF" w:val="clear"/>
            <w:vAlign w:val="bottom"/>
          </w:tcPr>
          <w:p>
            <w:pPr>
              <w:pStyle w:val="TableContents"/>
              <w:bidi w:val="0"/>
              <w:spacing w:before="0" w:after="283"/>
              <w:jc w:val="left"/>
              <w:rPr/>
            </w:pPr>
            <w:r>
              <w:rPr/>
              <w:t>  </w:t>
            </w:r>
          </w:p>
        </w:tc>
        <w:tc>
          <w:tcPr>
            <w:tcW w:w="3170" w:type="dxa"/>
            <w:tcBorders/>
            <w:shd w:fill="CCEEFF" w:val="clear"/>
          </w:tcPr>
          <w:p>
            <w:pPr>
              <w:pStyle w:val="TableContents"/>
              <w:bidi w:val="0"/>
              <w:spacing w:before="0" w:after="283"/>
              <w:jc w:val="left"/>
              <w:rPr/>
            </w:pPr>
            <w:r>
              <w:rPr/>
              <w:t>Akero Therapeutics, Inc.</w:t>
            </w:r>
          </w:p>
        </w:tc>
        <w:tc>
          <w:tcPr>
            <w:tcW w:w="120" w:type="dxa"/>
            <w:tcBorders/>
            <w:shd w:fill="CCEEFF" w:val="clear"/>
            <w:vAlign w:val="bottom"/>
          </w:tcPr>
          <w:p>
            <w:pPr>
              <w:pStyle w:val="TableContents"/>
              <w:bidi w:val="0"/>
              <w:spacing w:before="0" w:after="283"/>
              <w:jc w:val="left"/>
              <w:rPr/>
            </w:pPr>
            <w:r>
              <w:rPr/>
              <w:t>  </w:t>
            </w:r>
          </w:p>
        </w:tc>
        <w:tc>
          <w:tcPr>
            <w:tcW w:w="4010" w:type="dxa"/>
            <w:tcBorders/>
            <w:shd w:fill="CCEEFF" w:val="clear"/>
          </w:tcPr>
          <w:p>
            <w:pPr>
              <w:pStyle w:val="TableContents"/>
              <w:bidi w:val="0"/>
              <w:spacing w:before="0" w:after="283"/>
              <w:jc w:val="left"/>
              <w:rPr/>
            </w:pPr>
            <w:r>
              <w:rPr/>
              <w:t>Novo Nordisk Inc.</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4,700.0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12/1/2025</w:t>
            </w:r>
          </w:p>
        </w:tc>
        <w:tc>
          <w:tcPr>
            <w:tcW w:w="120" w:type="dxa"/>
            <w:tcBorders/>
            <w:vAlign w:val="bottom"/>
          </w:tcPr>
          <w:p>
            <w:pPr>
              <w:pStyle w:val="TableContents"/>
              <w:bidi w:val="0"/>
              <w:spacing w:before="0" w:after="283"/>
              <w:jc w:val="left"/>
              <w:rPr/>
            </w:pPr>
            <w:r>
              <w:rPr/>
              <w:t>  </w:t>
            </w:r>
          </w:p>
        </w:tc>
        <w:tc>
          <w:tcPr>
            <w:tcW w:w="3170" w:type="dxa"/>
            <w:tcBorders/>
          </w:tcPr>
          <w:p>
            <w:pPr>
              <w:pStyle w:val="TableContents"/>
              <w:bidi w:val="0"/>
              <w:spacing w:before="0" w:after="283"/>
              <w:jc w:val="left"/>
              <w:rPr/>
            </w:pPr>
            <w:r>
              <w:rPr/>
              <w:t>Tessera Therapeutics, Inc.</w:t>
            </w:r>
          </w:p>
        </w:tc>
        <w:tc>
          <w:tcPr>
            <w:tcW w:w="120"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Regeneron Pharmaceuticals, Inc.</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10/30/2025</w:t>
            </w:r>
          </w:p>
        </w:tc>
        <w:tc>
          <w:tcPr>
            <w:tcW w:w="120" w:type="dxa"/>
            <w:tcBorders/>
            <w:shd w:fill="CCEEFF" w:val="clear"/>
            <w:vAlign w:val="bottom"/>
          </w:tcPr>
          <w:p>
            <w:pPr>
              <w:pStyle w:val="TableContents"/>
              <w:bidi w:val="0"/>
              <w:spacing w:before="0" w:after="283"/>
              <w:jc w:val="left"/>
              <w:rPr/>
            </w:pPr>
            <w:r>
              <w:rPr/>
              <w:t>  </w:t>
            </w:r>
          </w:p>
        </w:tc>
        <w:tc>
          <w:tcPr>
            <w:tcW w:w="3170" w:type="dxa"/>
            <w:tcBorders/>
            <w:shd w:fill="CCEEFF" w:val="clear"/>
          </w:tcPr>
          <w:p>
            <w:pPr>
              <w:pStyle w:val="TableContents"/>
              <w:bidi w:val="0"/>
              <w:spacing w:before="0" w:after="283"/>
              <w:jc w:val="left"/>
              <w:rPr/>
            </w:pPr>
            <w:r>
              <w:rPr/>
              <w:t>89bio, Inc</w:t>
            </w:r>
          </w:p>
        </w:tc>
        <w:tc>
          <w:tcPr>
            <w:tcW w:w="120" w:type="dxa"/>
            <w:tcBorders/>
            <w:shd w:fill="CCEEFF" w:val="clear"/>
            <w:vAlign w:val="bottom"/>
          </w:tcPr>
          <w:p>
            <w:pPr>
              <w:pStyle w:val="TableContents"/>
              <w:bidi w:val="0"/>
              <w:spacing w:before="0" w:after="283"/>
              <w:jc w:val="left"/>
              <w:rPr/>
            </w:pPr>
            <w:r>
              <w:rPr/>
              <w:t>  </w:t>
            </w:r>
          </w:p>
        </w:tc>
        <w:tc>
          <w:tcPr>
            <w:tcW w:w="4010" w:type="dxa"/>
            <w:tcBorders/>
            <w:shd w:fill="CCEEFF" w:val="clear"/>
          </w:tcPr>
          <w:p>
            <w:pPr>
              <w:pStyle w:val="TableContents"/>
              <w:bidi w:val="0"/>
              <w:spacing w:before="0" w:after="283"/>
              <w:jc w:val="left"/>
              <w:rPr/>
            </w:pPr>
            <w:r>
              <w:rPr/>
              <w:t>Roche Pharma, Inc.</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2,400.0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9/11/2025</w:t>
            </w:r>
          </w:p>
        </w:tc>
        <w:tc>
          <w:tcPr>
            <w:tcW w:w="120" w:type="dxa"/>
            <w:tcBorders/>
            <w:vAlign w:val="bottom"/>
          </w:tcPr>
          <w:p>
            <w:pPr>
              <w:pStyle w:val="TableContents"/>
              <w:bidi w:val="0"/>
              <w:spacing w:before="0" w:after="283"/>
              <w:jc w:val="left"/>
              <w:rPr/>
            </w:pPr>
            <w:r>
              <w:rPr/>
              <w:t>  </w:t>
            </w:r>
          </w:p>
        </w:tc>
        <w:tc>
          <w:tcPr>
            <w:tcW w:w="3170" w:type="dxa"/>
            <w:tcBorders/>
          </w:tcPr>
          <w:p>
            <w:pPr>
              <w:pStyle w:val="TableContents"/>
              <w:bidi w:val="0"/>
              <w:spacing w:before="0" w:after="283"/>
              <w:jc w:val="left"/>
              <w:rPr/>
            </w:pPr>
            <w:r>
              <w:rPr/>
              <w:t>DURECT Corporation</w:t>
            </w:r>
          </w:p>
        </w:tc>
        <w:tc>
          <w:tcPr>
            <w:tcW w:w="120"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Bausch Health Companies, Inc.</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63.0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7/7/2025</w:t>
            </w:r>
          </w:p>
        </w:tc>
        <w:tc>
          <w:tcPr>
            <w:tcW w:w="120" w:type="dxa"/>
            <w:tcBorders/>
            <w:shd w:fill="CCEEFF" w:val="clear"/>
            <w:vAlign w:val="bottom"/>
          </w:tcPr>
          <w:p>
            <w:pPr>
              <w:pStyle w:val="TableContents"/>
              <w:bidi w:val="0"/>
              <w:spacing w:before="0" w:after="283"/>
              <w:jc w:val="left"/>
              <w:rPr/>
            </w:pPr>
            <w:r>
              <w:rPr/>
              <w:t>  </w:t>
            </w:r>
          </w:p>
        </w:tc>
        <w:tc>
          <w:tcPr>
            <w:tcW w:w="3170" w:type="dxa"/>
            <w:tcBorders/>
            <w:shd w:fill="CCEEFF" w:val="clear"/>
          </w:tcPr>
          <w:p>
            <w:pPr>
              <w:pStyle w:val="TableContents"/>
              <w:bidi w:val="0"/>
              <w:spacing w:before="0" w:after="283"/>
              <w:jc w:val="left"/>
              <w:rPr/>
            </w:pPr>
            <w:r>
              <w:rPr/>
              <w:t>Boston Pharmaceuticals</w:t>
            </w:r>
          </w:p>
        </w:tc>
        <w:tc>
          <w:tcPr>
            <w:tcW w:w="120" w:type="dxa"/>
            <w:tcBorders/>
            <w:shd w:fill="CCEEFF" w:val="clear"/>
            <w:vAlign w:val="bottom"/>
          </w:tcPr>
          <w:p>
            <w:pPr>
              <w:pStyle w:val="TableContents"/>
              <w:bidi w:val="0"/>
              <w:spacing w:before="0" w:after="283"/>
              <w:jc w:val="left"/>
              <w:rPr/>
            </w:pPr>
            <w:r>
              <w:rPr/>
              <w:t>  </w:t>
            </w:r>
          </w:p>
        </w:tc>
        <w:tc>
          <w:tcPr>
            <w:tcW w:w="4010" w:type="dxa"/>
            <w:tcBorders/>
            <w:shd w:fill="CCEEFF" w:val="clear"/>
          </w:tcPr>
          <w:p>
            <w:pPr>
              <w:pStyle w:val="TableContents"/>
              <w:bidi w:val="0"/>
              <w:spacing w:before="0" w:after="283"/>
              <w:jc w:val="left"/>
              <w:rPr/>
            </w:pPr>
            <w:r>
              <w:rPr/>
              <w:t>GSK plc</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1,200.0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5/30/2024</w:t>
            </w:r>
          </w:p>
        </w:tc>
        <w:tc>
          <w:tcPr>
            <w:tcW w:w="120" w:type="dxa"/>
            <w:tcBorders/>
            <w:vAlign w:val="bottom"/>
          </w:tcPr>
          <w:p>
            <w:pPr>
              <w:pStyle w:val="TableContents"/>
              <w:bidi w:val="0"/>
              <w:spacing w:before="0" w:after="283"/>
              <w:jc w:val="left"/>
              <w:rPr/>
            </w:pPr>
            <w:r>
              <w:rPr/>
              <w:t>  </w:t>
            </w:r>
          </w:p>
        </w:tc>
        <w:tc>
          <w:tcPr>
            <w:tcW w:w="3170" w:type="dxa"/>
            <w:tcBorders/>
          </w:tcPr>
          <w:p>
            <w:pPr>
              <w:pStyle w:val="TableContents"/>
              <w:bidi w:val="0"/>
              <w:spacing w:before="0" w:after="283"/>
              <w:jc w:val="left"/>
              <w:rPr/>
            </w:pPr>
            <w:r>
              <w:rPr/>
              <w:t>Inhibrx, Inc.</w:t>
            </w:r>
          </w:p>
        </w:tc>
        <w:tc>
          <w:tcPr>
            <w:tcW w:w="120"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Sanofi SA</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1,700.0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12/13/2022</w:t>
            </w:r>
          </w:p>
        </w:tc>
        <w:tc>
          <w:tcPr>
            <w:tcW w:w="120" w:type="dxa"/>
            <w:tcBorders/>
            <w:shd w:fill="CCEEFF" w:val="clear"/>
            <w:vAlign w:val="bottom"/>
          </w:tcPr>
          <w:p>
            <w:pPr>
              <w:pStyle w:val="TableContents"/>
              <w:bidi w:val="0"/>
              <w:spacing w:before="0" w:after="283"/>
              <w:jc w:val="left"/>
              <w:rPr/>
            </w:pPr>
            <w:r>
              <w:rPr/>
              <w:t>  </w:t>
            </w:r>
          </w:p>
        </w:tc>
        <w:tc>
          <w:tcPr>
            <w:tcW w:w="3170" w:type="dxa"/>
            <w:tcBorders/>
            <w:shd w:fill="CCEEFF" w:val="clear"/>
          </w:tcPr>
          <w:p>
            <w:pPr>
              <w:pStyle w:val="TableContents"/>
              <w:bidi w:val="0"/>
              <w:spacing w:before="0" w:after="283"/>
              <w:jc w:val="left"/>
              <w:rPr/>
            </w:pPr>
            <w:r>
              <w:rPr/>
              <w:t>Wave Life Sciences Ltd.</w:t>
            </w:r>
          </w:p>
        </w:tc>
        <w:tc>
          <w:tcPr>
            <w:tcW w:w="120" w:type="dxa"/>
            <w:tcBorders/>
            <w:shd w:fill="CCEEFF" w:val="clear"/>
            <w:vAlign w:val="bottom"/>
          </w:tcPr>
          <w:p>
            <w:pPr>
              <w:pStyle w:val="TableContents"/>
              <w:bidi w:val="0"/>
              <w:spacing w:before="0" w:after="283"/>
              <w:jc w:val="left"/>
              <w:rPr/>
            </w:pPr>
            <w:r>
              <w:rPr/>
              <w:t>  </w:t>
            </w:r>
          </w:p>
        </w:tc>
        <w:tc>
          <w:tcPr>
            <w:tcW w:w="4010" w:type="dxa"/>
            <w:tcBorders/>
            <w:shd w:fill="CCEEFF" w:val="clear"/>
          </w:tcPr>
          <w:p>
            <w:pPr>
              <w:pStyle w:val="TableContents"/>
              <w:bidi w:val="0"/>
              <w:spacing w:before="0" w:after="283"/>
              <w:jc w:val="left"/>
              <w:rPr/>
            </w:pPr>
            <w:r>
              <w:rPr/>
              <w:t>GSK plc</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10/8/2020</w:t>
            </w:r>
          </w:p>
        </w:tc>
        <w:tc>
          <w:tcPr>
            <w:tcW w:w="120" w:type="dxa"/>
            <w:tcBorders/>
            <w:vAlign w:val="bottom"/>
          </w:tcPr>
          <w:p>
            <w:pPr>
              <w:pStyle w:val="TableContents"/>
              <w:bidi w:val="0"/>
              <w:spacing w:before="0" w:after="283"/>
              <w:jc w:val="left"/>
              <w:rPr/>
            </w:pPr>
            <w:r>
              <w:rPr/>
              <w:t>  </w:t>
            </w:r>
          </w:p>
        </w:tc>
        <w:tc>
          <w:tcPr>
            <w:tcW w:w="3170" w:type="dxa"/>
            <w:tcBorders/>
          </w:tcPr>
          <w:p>
            <w:pPr>
              <w:pStyle w:val="TableContents"/>
              <w:bidi w:val="0"/>
              <w:spacing w:before="0" w:after="283"/>
              <w:jc w:val="left"/>
              <w:rPr/>
            </w:pPr>
            <w:r>
              <w:rPr/>
              <w:t>Arrowhead Pharmaceuticals, Inc.</w:t>
            </w:r>
          </w:p>
        </w:tc>
        <w:tc>
          <w:tcPr>
            <w:tcW w:w="120"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Takeda Pharmaceutical Company Limited</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M&amp;A Transactions – Gene Therapy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9 merger transactions involving gene therapy-focused biopharmaceutical companies that had a lead candidate in preclinical or early clinical stage development (referred to as the “Selected Precedent M&amp;A Transactions – Gene Therapy Companies”). Although the precedent transactions referred to below were used for comparison purposes, none of the target companies is directly comparable to Serapha. Accordingly, the analysis involves considerations and judgments concerning differences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historical and financial and operating characteristics of the companies involved and other factors that could affect the merger value of such transactions. Lucid reviewed the total enterprise values of the target companies, including potential future milestone payments. </w:t>
      </w:r>
    </w:p>
    <w:p>
      <w:pPr>
        <w:pStyle w:val="TextBody"/>
        <w:bidi w:val="0"/>
        <w:spacing w:before="240" w:after="0"/>
        <w:jc w:val="left"/>
        <w:rPr>
          <w:rFonts w:ascii="Times New Roman" w:hAnsi="Times New Roman"/>
          <w:sz w:val="20"/>
        </w:rPr>
      </w:pPr>
      <w:r>
        <w:rPr>
          <w:rFonts w:ascii="Times New Roman" w:hAnsi="Times New Roman"/>
          <w:sz w:val="20"/>
        </w:rPr>
        <w:t xml:space="preserve">The Selected Precedent M&amp;A Transactions – Gene Therapy Companies had total enterprise values between $68.0 million and $1.0 billion. Lucid derived a median total enterprise value of $487.0 million for the Selected Precedent M&amp;A Transactions – Gene Therapy Companies. Using the 25th percentile and the 75th percentile of the enterprise values, Lucid then derived a range of implied total enterprise values for Serapha by adding $230.0 million in net cash at closing, resulting in a range of approximately $380.0 million to $1.1 billion.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M&amp;A Transactions – Gene Therapy Companies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3"/>
        <w:gridCol w:w="127"/>
        <w:gridCol w:w="3199"/>
        <w:gridCol w:w="127"/>
        <w:gridCol w:w="3688"/>
        <w:gridCol w:w="127"/>
        <w:gridCol w:w="308"/>
        <w:gridCol w:w="1632"/>
        <w:gridCol w:w="64"/>
      </w:tblGrid>
      <w:tr>
        <w:trPr/>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7" w:type="dxa"/>
            <w:tcBorders/>
            <w:vAlign w:val="bottom"/>
          </w:tcPr>
          <w:p>
            <w:pPr>
              <w:pStyle w:val="TableContents"/>
              <w:bidi w:val="0"/>
              <w:spacing w:before="0" w:after="283"/>
              <w:jc w:val="left"/>
              <w:rPr/>
            </w:pPr>
            <w:r>
              <w:rPr/>
              <w:t>  </w:t>
            </w:r>
          </w:p>
        </w:tc>
        <w:tc>
          <w:tcPr>
            <w:tcW w:w="31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27" w:type="dxa"/>
            <w:tcBorders/>
            <w:vAlign w:val="bottom"/>
          </w:tcPr>
          <w:p>
            <w:pPr>
              <w:pStyle w:val="TableContents"/>
              <w:bidi w:val="0"/>
              <w:spacing w:before="0" w:after="283"/>
              <w:jc w:val="left"/>
              <w:rPr/>
            </w:pPr>
            <w:r>
              <w:rPr/>
              <w:t>  </w:t>
            </w:r>
          </w:p>
        </w:tc>
        <w:tc>
          <w:tcPr>
            <w:tcW w:w="36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Acquirer</w:t>
            </w:r>
          </w:p>
        </w:tc>
        <w:tc>
          <w:tcPr>
            <w:tcW w:w="127"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Implied Enterprise</w:t>
              <w:br/>
              <w:t>Value ($M)</w:t>
            </w:r>
          </w:p>
        </w:tc>
        <w:tc>
          <w:tcPr>
            <w:tcW w:w="64" w:type="dxa"/>
            <w:tcBorders/>
            <w:vAlign w:val="bottom"/>
          </w:tcPr>
          <w:p>
            <w:pPr>
              <w:pStyle w:val="TableContents"/>
              <w:bidi w:val="0"/>
              <w:spacing w:before="0" w:after="283"/>
              <w:jc w:val="left"/>
              <w:rPr/>
            </w:pPr>
            <w:r>
              <w:rPr/>
              <w:t> </w:t>
            </w:r>
          </w:p>
        </w:tc>
      </w:tr>
      <w:tr>
        <w:trPr/>
        <w:tc>
          <w:tcPr>
            <w:tcW w:w="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12/9/2025</w:t>
            </w:r>
          </w:p>
        </w:tc>
        <w:tc>
          <w:tcPr>
            <w:tcW w:w="127" w:type="dxa"/>
            <w:tcBorders/>
            <w:shd w:fill="CCEEFF" w:val="clear"/>
            <w:vAlign w:val="bottom"/>
          </w:tcPr>
          <w:p>
            <w:pPr>
              <w:pStyle w:val="TableContents"/>
              <w:bidi w:val="0"/>
              <w:spacing w:before="0" w:after="283"/>
              <w:jc w:val="left"/>
              <w:rPr/>
            </w:pPr>
            <w:r>
              <w:rPr/>
              <w:t>  </w:t>
            </w:r>
          </w:p>
        </w:tc>
        <w:tc>
          <w:tcPr>
            <w:tcW w:w="3199" w:type="dxa"/>
            <w:tcBorders/>
            <w:shd w:fill="CCEEFF" w:val="clear"/>
          </w:tcPr>
          <w:p>
            <w:pPr>
              <w:pStyle w:val="TableContents"/>
              <w:bidi w:val="0"/>
              <w:spacing w:before="0" w:after="283"/>
              <w:jc w:val="left"/>
              <w:rPr/>
            </w:pPr>
            <w:r>
              <w:rPr/>
              <w:t>Adverum Biotechnologies, Inc.</w:t>
            </w:r>
          </w:p>
        </w:tc>
        <w:tc>
          <w:tcPr>
            <w:tcW w:w="127" w:type="dxa"/>
            <w:tcBorders/>
            <w:shd w:fill="CCEEFF" w:val="clear"/>
            <w:vAlign w:val="bottom"/>
          </w:tcPr>
          <w:p>
            <w:pPr>
              <w:pStyle w:val="TableContents"/>
              <w:bidi w:val="0"/>
              <w:spacing w:before="0" w:after="283"/>
              <w:jc w:val="left"/>
              <w:rPr/>
            </w:pPr>
            <w:r>
              <w:rPr/>
              <w:t>  </w:t>
            </w:r>
          </w:p>
        </w:tc>
        <w:tc>
          <w:tcPr>
            <w:tcW w:w="3688" w:type="dxa"/>
            <w:tcBorders/>
            <w:shd w:fill="CCEEFF" w:val="clear"/>
          </w:tcPr>
          <w:p>
            <w:pPr>
              <w:pStyle w:val="TableContents"/>
              <w:bidi w:val="0"/>
              <w:spacing w:before="0" w:after="283"/>
              <w:jc w:val="left"/>
              <w:rPr/>
            </w:pPr>
            <w:r>
              <w:rPr/>
              <w:t>Eli Lilly and Company Limited</w:t>
            </w:r>
          </w:p>
        </w:tc>
        <w:tc>
          <w:tcPr>
            <w:tcW w:w="1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365.0</w:t>
            </w:r>
          </w:p>
        </w:tc>
        <w:tc>
          <w:tcPr>
            <w:tcW w:w="64" w:type="dxa"/>
            <w:tcBorders/>
            <w:shd w:fill="CCEEFF" w:val="clear"/>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12/1/2025</w:t>
            </w:r>
          </w:p>
        </w:tc>
        <w:tc>
          <w:tcPr>
            <w:tcW w:w="127" w:type="dxa"/>
            <w:tcBorders/>
            <w:vAlign w:val="bottom"/>
          </w:tcPr>
          <w:p>
            <w:pPr>
              <w:pStyle w:val="TableContents"/>
              <w:bidi w:val="0"/>
              <w:spacing w:before="0" w:after="283"/>
              <w:jc w:val="left"/>
              <w:rPr/>
            </w:pPr>
            <w:r>
              <w:rPr/>
              <w:t>  </w:t>
            </w:r>
          </w:p>
        </w:tc>
        <w:tc>
          <w:tcPr>
            <w:tcW w:w="3199" w:type="dxa"/>
            <w:tcBorders/>
          </w:tcPr>
          <w:p>
            <w:pPr>
              <w:pStyle w:val="TableContents"/>
              <w:bidi w:val="0"/>
              <w:spacing w:before="0" w:after="283"/>
              <w:jc w:val="left"/>
              <w:rPr/>
            </w:pPr>
            <w:r>
              <w:rPr/>
              <w:t>Tessera Therapeutics, Inc.</w:t>
            </w:r>
          </w:p>
        </w:tc>
        <w:tc>
          <w:tcPr>
            <w:tcW w:w="127" w:type="dxa"/>
            <w:tcBorders/>
            <w:vAlign w:val="bottom"/>
          </w:tcPr>
          <w:p>
            <w:pPr>
              <w:pStyle w:val="TableContents"/>
              <w:bidi w:val="0"/>
              <w:spacing w:before="0" w:after="283"/>
              <w:jc w:val="left"/>
              <w:rPr/>
            </w:pPr>
            <w:r>
              <w:rPr/>
              <w:t>  </w:t>
            </w:r>
          </w:p>
        </w:tc>
        <w:tc>
          <w:tcPr>
            <w:tcW w:w="3688" w:type="dxa"/>
            <w:tcBorders/>
          </w:tcPr>
          <w:p>
            <w:pPr>
              <w:pStyle w:val="TableContents"/>
              <w:bidi w:val="0"/>
              <w:spacing w:before="0" w:after="283"/>
              <w:jc w:val="left"/>
              <w:rPr/>
            </w:pPr>
            <w:r>
              <w:rPr/>
              <w:t>Regeneron Pharmaceuticals, Inc.</w:t>
            </w:r>
          </w:p>
        </w:tc>
        <w:tc>
          <w:tcPr>
            <w:tcW w:w="1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150.0</w:t>
            </w:r>
          </w:p>
        </w:tc>
        <w:tc>
          <w:tcPr>
            <w:tcW w:w="64" w:type="dxa"/>
            <w:tcBorders/>
            <w:vAlign w:val="bottom"/>
          </w:tcPr>
          <w:p>
            <w:pPr>
              <w:pStyle w:val="TableContents"/>
              <w:bidi w:val="0"/>
              <w:spacing w:before="0" w:after="283"/>
              <w:jc w:val="left"/>
              <w:rPr/>
            </w:pPr>
            <w:r>
              <w:rPr/>
              <w:t> </w:t>
            </w:r>
          </w:p>
        </w:tc>
      </w:tr>
      <w:tr>
        <w:trPr/>
        <w:tc>
          <w:tcPr>
            <w:tcW w:w="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7/25/2025</w:t>
            </w:r>
          </w:p>
        </w:tc>
        <w:tc>
          <w:tcPr>
            <w:tcW w:w="127" w:type="dxa"/>
            <w:tcBorders/>
            <w:shd w:fill="CCEEFF" w:val="clear"/>
            <w:vAlign w:val="bottom"/>
          </w:tcPr>
          <w:p>
            <w:pPr>
              <w:pStyle w:val="TableContents"/>
              <w:bidi w:val="0"/>
              <w:spacing w:before="0" w:after="283"/>
              <w:jc w:val="left"/>
              <w:rPr/>
            </w:pPr>
            <w:r>
              <w:rPr/>
              <w:t>  </w:t>
            </w:r>
          </w:p>
        </w:tc>
        <w:tc>
          <w:tcPr>
            <w:tcW w:w="3199" w:type="dxa"/>
            <w:tcBorders/>
            <w:shd w:fill="CCEEFF" w:val="clear"/>
          </w:tcPr>
          <w:p>
            <w:pPr>
              <w:pStyle w:val="TableContents"/>
              <w:bidi w:val="0"/>
              <w:spacing w:before="0" w:after="283"/>
              <w:jc w:val="left"/>
              <w:rPr/>
            </w:pPr>
            <w:r>
              <w:rPr/>
              <w:t>Verve Therapeutics, Inc.</w:t>
            </w:r>
          </w:p>
        </w:tc>
        <w:tc>
          <w:tcPr>
            <w:tcW w:w="127" w:type="dxa"/>
            <w:tcBorders/>
            <w:shd w:fill="CCEEFF" w:val="clear"/>
            <w:vAlign w:val="bottom"/>
          </w:tcPr>
          <w:p>
            <w:pPr>
              <w:pStyle w:val="TableContents"/>
              <w:bidi w:val="0"/>
              <w:spacing w:before="0" w:after="283"/>
              <w:jc w:val="left"/>
              <w:rPr/>
            </w:pPr>
            <w:r>
              <w:rPr/>
              <w:t>  </w:t>
            </w:r>
          </w:p>
        </w:tc>
        <w:tc>
          <w:tcPr>
            <w:tcW w:w="3688" w:type="dxa"/>
            <w:tcBorders/>
            <w:shd w:fill="CCEEFF" w:val="clear"/>
          </w:tcPr>
          <w:p>
            <w:pPr>
              <w:pStyle w:val="TableContents"/>
              <w:bidi w:val="0"/>
              <w:spacing w:before="0" w:after="283"/>
              <w:jc w:val="left"/>
              <w:rPr/>
            </w:pPr>
            <w:r>
              <w:rPr/>
              <w:t>Eli Lilly and Company Limited</w:t>
            </w:r>
          </w:p>
        </w:tc>
        <w:tc>
          <w:tcPr>
            <w:tcW w:w="1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1,000.0</w:t>
            </w:r>
          </w:p>
        </w:tc>
        <w:tc>
          <w:tcPr>
            <w:tcW w:w="64" w:type="dxa"/>
            <w:tcBorders/>
            <w:shd w:fill="CCEEFF" w:val="clear"/>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1/8/2025</w:t>
            </w:r>
          </w:p>
        </w:tc>
        <w:tc>
          <w:tcPr>
            <w:tcW w:w="127" w:type="dxa"/>
            <w:tcBorders/>
            <w:vAlign w:val="bottom"/>
          </w:tcPr>
          <w:p>
            <w:pPr>
              <w:pStyle w:val="TableContents"/>
              <w:bidi w:val="0"/>
              <w:spacing w:before="0" w:after="283"/>
              <w:jc w:val="left"/>
              <w:rPr/>
            </w:pPr>
            <w:r>
              <w:rPr/>
              <w:t>  </w:t>
            </w:r>
          </w:p>
        </w:tc>
        <w:tc>
          <w:tcPr>
            <w:tcW w:w="3199" w:type="dxa"/>
            <w:tcBorders/>
          </w:tcPr>
          <w:p>
            <w:pPr>
              <w:pStyle w:val="TableContents"/>
              <w:bidi w:val="0"/>
              <w:spacing w:before="0" w:after="283"/>
              <w:jc w:val="left"/>
              <w:rPr/>
            </w:pPr>
            <w:r>
              <w:rPr/>
              <w:t>Poseida Therapeutics, Inc.</w:t>
            </w:r>
          </w:p>
        </w:tc>
        <w:tc>
          <w:tcPr>
            <w:tcW w:w="127" w:type="dxa"/>
            <w:tcBorders/>
            <w:vAlign w:val="bottom"/>
          </w:tcPr>
          <w:p>
            <w:pPr>
              <w:pStyle w:val="TableContents"/>
              <w:bidi w:val="0"/>
              <w:spacing w:before="0" w:after="283"/>
              <w:jc w:val="left"/>
              <w:rPr/>
            </w:pPr>
            <w:r>
              <w:rPr/>
              <w:t>  </w:t>
            </w:r>
          </w:p>
        </w:tc>
        <w:tc>
          <w:tcPr>
            <w:tcW w:w="3688" w:type="dxa"/>
            <w:tcBorders/>
          </w:tcPr>
          <w:p>
            <w:pPr>
              <w:pStyle w:val="TableContents"/>
              <w:bidi w:val="0"/>
              <w:spacing w:before="0" w:after="283"/>
              <w:jc w:val="left"/>
              <w:rPr/>
            </w:pPr>
            <w:r>
              <w:rPr/>
              <w:t>Roche Pharma, Inc.</w:t>
            </w:r>
          </w:p>
        </w:tc>
        <w:tc>
          <w:tcPr>
            <w:tcW w:w="1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1,000.0</w:t>
            </w:r>
          </w:p>
        </w:tc>
        <w:tc>
          <w:tcPr>
            <w:tcW w:w="64" w:type="dxa"/>
            <w:tcBorders/>
            <w:vAlign w:val="bottom"/>
          </w:tcPr>
          <w:p>
            <w:pPr>
              <w:pStyle w:val="TableContents"/>
              <w:bidi w:val="0"/>
              <w:spacing w:before="0" w:after="283"/>
              <w:jc w:val="left"/>
              <w:rPr/>
            </w:pPr>
            <w:r>
              <w:rPr/>
              <w:t> </w:t>
            </w:r>
          </w:p>
        </w:tc>
      </w:tr>
      <w:tr>
        <w:trPr/>
        <w:tc>
          <w:tcPr>
            <w:tcW w:w="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9/25/2023</w:t>
            </w:r>
          </w:p>
        </w:tc>
        <w:tc>
          <w:tcPr>
            <w:tcW w:w="127" w:type="dxa"/>
            <w:tcBorders/>
            <w:shd w:fill="CCEEFF" w:val="clear"/>
            <w:vAlign w:val="bottom"/>
          </w:tcPr>
          <w:p>
            <w:pPr>
              <w:pStyle w:val="TableContents"/>
              <w:bidi w:val="0"/>
              <w:spacing w:before="0" w:after="283"/>
              <w:jc w:val="left"/>
              <w:rPr/>
            </w:pPr>
            <w:r>
              <w:rPr/>
              <w:t>  </w:t>
            </w:r>
          </w:p>
        </w:tc>
        <w:tc>
          <w:tcPr>
            <w:tcW w:w="3199" w:type="dxa"/>
            <w:tcBorders/>
            <w:shd w:fill="CCEEFF" w:val="clear"/>
          </w:tcPr>
          <w:p>
            <w:pPr>
              <w:pStyle w:val="TableContents"/>
              <w:bidi w:val="0"/>
              <w:spacing w:before="0" w:after="283"/>
              <w:jc w:val="left"/>
              <w:rPr/>
            </w:pPr>
            <w:r>
              <w:rPr/>
              <w:t>LogicBio Therapeutics, Inc.</w:t>
            </w:r>
          </w:p>
        </w:tc>
        <w:tc>
          <w:tcPr>
            <w:tcW w:w="127" w:type="dxa"/>
            <w:tcBorders/>
            <w:shd w:fill="CCEEFF" w:val="clear"/>
            <w:vAlign w:val="bottom"/>
          </w:tcPr>
          <w:p>
            <w:pPr>
              <w:pStyle w:val="TableContents"/>
              <w:bidi w:val="0"/>
              <w:spacing w:before="0" w:after="283"/>
              <w:jc w:val="left"/>
              <w:rPr/>
            </w:pPr>
            <w:r>
              <w:rPr/>
              <w:t>  </w:t>
            </w:r>
          </w:p>
        </w:tc>
        <w:tc>
          <w:tcPr>
            <w:tcW w:w="3688" w:type="dxa"/>
            <w:tcBorders/>
            <w:shd w:fill="CCEEFF" w:val="clear"/>
          </w:tcPr>
          <w:p>
            <w:pPr>
              <w:pStyle w:val="TableContents"/>
              <w:bidi w:val="0"/>
              <w:spacing w:before="0" w:after="283"/>
              <w:jc w:val="left"/>
              <w:rPr/>
            </w:pPr>
            <w:r>
              <w:rPr/>
              <w:t>AstraZeneca PLC</w:t>
            </w:r>
          </w:p>
        </w:tc>
        <w:tc>
          <w:tcPr>
            <w:tcW w:w="1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68.0</w:t>
            </w:r>
          </w:p>
        </w:tc>
        <w:tc>
          <w:tcPr>
            <w:tcW w:w="64" w:type="dxa"/>
            <w:tcBorders/>
            <w:shd w:fill="CCEEFF" w:val="clear"/>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12/1/2022</w:t>
            </w:r>
          </w:p>
        </w:tc>
        <w:tc>
          <w:tcPr>
            <w:tcW w:w="127" w:type="dxa"/>
            <w:tcBorders/>
            <w:vAlign w:val="bottom"/>
          </w:tcPr>
          <w:p>
            <w:pPr>
              <w:pStyle w:val="TableContents"/>
              <w:bidi w:val="0"/>
              <w:spacing w:before="0" w:after="283"/>
              <w:jc w:val="left"/>
              <w:rPr/>
            </w:pPr>
            <w:r>
              <w:rPr/>
              <w:t>  </w:t>
            </w:r>
          </w:p>
        </w:tc>
        <w:tc>
          <w:tcPr>
            <w:tcW w:w="3199" w:type="dxa"/>
            <w:tcBorders/>
          </w:tcPr>
          <w:p>
            <w:pPr>
              <w:pStyle w:val="TableContents"/>
              <w:bidi w:val="0"/>
              <w:spacing w:before="0" w:after="283"/>
              <w:jc w:val="left"/>
              <w:rPr/>
            </w:pPr>
            <w:r>
              <w:rPr/>
              <w:t>Akouos, Inc.</w:t>
            </w:r>
          </w:p>
        </w:tc>
        <w:tc>
          <w:tcPr>
            <w:tcW w:w="127" w:type="dxa"/>
            <w:tcBorders/>
            <w:vAlign w:val="bottom"/>
          </w:tcPr>
          <w:p>
            <w:pPr>
              <w:pStyle w:val="TableContents"/>
              <w:bidi w:val="0"/>
              <w:spacing w:before="0" w:after="283"/>
              <w:jc w:val="left"/>
              <w:rPr/>
            </w:pPr>
            <w:r>
              <w:rPr/>
              <w:t>  </w:t>
            </w:r>
          </w:p>
        </w:tc>
        <w:tc>
          <w:tcPr>
            <w:tcW w:w="3688" w:type="dxa"/>
            <w:tcBorders/>
          </w:tcPr>
          <w:p>
            <w:pPr>
              <w:pStyle w:val="TableContents"/>
              <w:bidi w:val="0"/>
              <w:spacing w:before="0" w:after="283"/>
              <w:jc w:val="left"/>
              <w:rPr/>
            </w:pPr>
            <w:r>
              <w:rPr/>
              <w:t>Eli Lilly and Company Limited</w:t>
            </w:r>
          </w:p>
        </w:tc>
        <w:tc>
          <w:tcPr>
            <w:tcW w:w="1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487.0</w:t>
            </w:r>
          </w:p>
        </w:tc>
        <w:tc>
          <w:tcPr>
            <w:tcW w:w="64" w:type="dxa"/>
            <w:tcBorders/>
            <w:vAlign w:val="bottom"/>
          </w:tcPr>
          <w:p>
            <w:pPr>
              <w:pStyle w:val="TableContents"/>
              <w:bidi w:val="0"/>
              <w:spacing w:before="0" w:after="283"/>
              <w:jc w:val="left"/>
              <w:rPr/>
            </w:pPr>
            <w:r>
              <w:rPr/>
              <w:t> </w:t>
            </w:r>
          </w:p>
        </w:tc>
      </w:tr>
      <w:tr>
        <w:trPr/>
        <w:tc>
          <w:tcPr>
            <w:tcW w:w="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11/16/2022</w:t>
            </w:r>
          </w:p>
        </w:tc>
        <w:tc>
          <w:tcPr>
            <w:tcW w:w="127" w:type="dxa"/>
            <w:tcBorders/>
            <w:shd w:fill="CCEEFF" w:val="clear"/>
            <w:vAlign w:val="bottom"/>
          </w:tcPr>
          <w:p>
            <w:pPr>
              <w:pStyle w:val="TableContents"/>
              <w:bidi w:val="0"/>
              <w:spacing w:before="0" w:after="283"/>
              <w:jc w:val="left"/>
              <w:rPr/>
            </w:pPr>
            <w:r>
              <w:rPr/>
              <w:t>  </w:t>
            </w:r>
          </w:p>
        </w:tc>
        <w:tc>
          <w:tcPr>
            <w:tcW w:w="3199" w:type="dxa"/>
            <w:tcBorders/>
            <w:shd w:fill="CCEEFF" w:val="clear"/>
          </w:tcPr>
          <w:p>
            <w:pPr>
              <w:pStyle w:val="TableContents"/>
              <w:bidi w:val="0"/>
              <w:spacing w:before="0" w:after="283"/>
              <w:jc w:val="left"/>
              <w:rPr/>
            </w:pPr>
            <w:r>
              <w:rPr/>
              <w:t>Decibel Therapeutics, Inc.</w:t>
            </w:r>
          </w:p>
        </w:tc>
        <w:tc>
          <w:tcPr>
            <w:tcW w:w="127" w:type="dxa"/>
            <w:tcBorders/>
            <w:shd w:fill="CCEEFF" w:val="clear"/>
            <w:vAlign w:val="bottom"/>
          </w:tcPr>
          <w:p>
            <w:pPr>
              <w:pStyle w:val="TableContents"/>
              <w:bidi w:val="0"/>
              <w:spacing w:before="0" w:after="283"/>
              <w:jc w:val="left"/>
              <w:rPr/>
            </w:pPr>
            <w:r>
              <w:rPr/>
              <w:t>  </w:t>
            </w:r>
          </w:p>
        </w:tc>
        <w:tc>
          <w:tcPr>
            <w:tcW w:w="3688" w:type="dxa"/>
            <w:tcBorders/>
            <w:shd w:fill="CCEEFF" w:val="clear"/>
          </w:tcPr>
          <w:p>
            <w:pPr>
              <w:pStyle w:val="TableContents"/>
              <w:bidi w:val="0"/>
              <w:spacing w:before="0" w:after="283"/>
              <w:jc w:val="left"/>
              <w:rPr/>
            </w:pPr>
            <w:r>
              <w:rPr/>
              <w:t>Regeneron Pharmaceuticals, Inc.</w:t>
            </w:r>
          </w:p>
        </w:tc>
        <w:tc>
          <w:tcPr>
            <w:tcW w:w="1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109.0</w:t>
            </w:r>
          </w:p>
        </w:tc>
        <w:tc>
          <w:tcPr>
            <w:tcW w:w="64" w:type="dxa"/>
            <w:tcBorders/>
            <w:shd w:fill="CCEEFF" w:val="clear"/>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12/22/2021</w:t>
            </w:r>
          </w:p>
        </w:tc>
        <w:tc>
          <w:tcPr>
            <w:tcW w:w="127" w:type="dxa"/>
            <w:tcBorders/>
            <w:vAlign w:val="bottom"/>
          </w:tcPr>
          <w:p>
            <w:pPr>
              <w:pStyle w:val="TableContents"/>
              <w:bidi w:val="0"/>
              <w:spacing w:before="0" w:after="283"/>
              <w:jc w:val="left"/>
              <w:rPr/>
            </w:pPr>
            <w:r>
              <w:rPr/>
              <w:t>  </w:t>
            </w:r>
          </w:p>
        </w:tc>
        <w:tc>
          <w:tcPr>
            <w:tcW w:w="3199" w:type="dxa"/>
            <w:tcBorders/>
          </w:tcPr>
          <w:p>
            <w:pPr>
              <w:pStyle w:val="TableContents"/>
              <w:bidi w:val="0"/>
              <w:spacing w:before="0" w:after="283"/>
              <w:jc w:val="left"/>
              <w:rPr/>
            </w:pPr>
            <w:r>
              <w:rPr/>
              <w:t>Gyroscope Therapeutics Limited</w:t>
            </w:r>
          </w:p>
        </w:tc>
        <w:tc>
          <w:tcPr>
            <w:tcW w:w="127" w:type="dxa"/>
            <w:tcBorders/>
            <w:vAlign w:val="bottom"/>
          </w:tcPr>
          <w:p>
            <w:pPr>
              <w:pStyle w:val="TableContents"/>
              <w:bidi w:val="0"/>
              <w:spacing w:before="0" w:after="283"/>
              <w:jc w:val="left"/>
              <w:rPr/>
            </w:pPr>
            <w:r>
              <w:rPr/>
              <w:t>  </w:t>
            </w:r>
          </w:p>
        </w:tc>
        <w:tc>
          <w:tcPr>
            <w:tcW w:w="3688" w:type="dxa"/>
            <w:tcBorders/>
          </w:tcPr>
          <w:p>
            <w:pPr>
              <w:pStyle w:val="TableContents"/>
              <w:bidi w:val="0"/>
              <w:spacing w:before="0" w:after="283"/>
              <w:jc w:val="left"/>
              <w:rPr/>
            </w:pPr>
            <w:r>
              <w:rPr/>
              <w:t>Novartis Pharmaceuticals Corporation</w:t>
            </w:r>
          </w:p>
        </w:tc>
        <w:tc>
          <w:tcPr>
            <w:tcW w:w="1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800.0</w:t>
            </w:r>
          </w:p>
        </w:tc>
        <w:tc>
          <w:tcPr>
            <w:tcW w:w="64" w:type="dxa"/>
            <w:tcBorders/>
            <w:vAlign w:val="bottom"/>
          </w:tcPr>
          <w:p>
            <w:pPr>
              <w:pStyle w:val="TableContents"/>
              <w:bidi w:val="0"/>
              <w:spacing w:before="0" w:after="283"/>
              <w:jc w:val="left"/>
              <w:rPr/>
            </w:pPr>
            <w:r>
              <w:rPr/>
              <w:t> </w:t>
            </w:r>
          </w:p>
        </w:tc>
      </w:tr>
      <w:tr>
        <w:trPr/>
        <w:tc>
          <w:tcPr>
            <w:tcW w:w="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1/22/2021</w:t>
            </w:r>
          </w:p>
        </w:tc>
        <w:tc>
          <w:tcPr>
            <w:tcW w:w="127" w:type="dxa"/>
            <w:tcBorders/>
            <w:shd w:fill="CCEEFF" w:val="clear"/>
            <w:vAlign w:val="bottom"/>
          </w:tcPr>
          <w:p>
            <w:pPr>
              <w:pStyle w:val="TableContents"/>
              <w:bidi w:val="0"/>
              <w:spacing w:before="0" w:after="283"/>
              <w:jc w:val="left"/>
              <w:rPr/>
            </w:pPr>
            <w:r>
              <w:rPr/>
              <w:t>  </w:t>
            </w:r>
          </w:p>
        </w:tc>
        <w:tc>
          <w:tcPr>
            <w:tcW w:w="3199" w:type="dxa"/>
            <w:tcBorders/>
            <w:shd w:fill="CCEEFF" w:val="clear"/>
          </w:tcPr>
          <w:p>
            <w:pPr>
              <w:pStyle w:val="TableContents"/>
              <w:bidi w:val="0"/>
              <w:spacing w:before="0" w:after="283"/>
              <w:jc w:val="left"/>
              <w:rPr/>
            </w:pPr>
            <w:r>
              <w:rPr/>
              <w:t>Prevail Therapeutics Inc.</w:t>
            </w:r>
          </w:p>
        </w:tc>
        <w:tc>
          <w:tcPr>
            <w:tcW w:w="127" w:type="dxa"/>
            <w:tcBorders/>
            <w:shd w:fill="CCEEFF" w:val="clear"/>
            <w:vAlign w:val="bottom"/>
          </w:tcPr>
          <w:p>
            <w:pPr>
              <w:pStyle w:val="TableContents"/>
              <w:bidi w:val="0"/>
              <w:spacing w:before="0" w:after="283"/>
              <w:jc w:val="left"/>
              <w:rPr/>
            </w:pPr>
            <w:r>
              <w:rPr/>
              <w:t>  </w:t>
            </w:r>
          </w:p>
        </w:tc>
        <w:tc>
          <w:tcPr>
            <w:tcW w:w="3688" w:type="dxa"/>
            <w:tcBorders/>
            <w:shd w:fill="CCEEFF" w:val="clear"/>
          </w:tcPr>
          <w:p>
            <w:pPr>
              <w:pStyle w:val="TableContents"/>
              <w:bidi w:val="0"/>
              <w:spacing w:before="0" w:after="283"/>
              <w:jc w:val="left"/>
              <w:rPr/>
            </w:pPr>
            <w:r>
              <w:rPr/>
              <w:t>Eli Lilly and Company Limited</w:t>
            </w:r>
          </w:p>
        </w:tc>
        <w:tc>
          <w:tcPr>
            <w:tcW w:w="1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880.0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Valuation </w:t>
      </w:r>
    </w:p>
    <w:p>
      <w:pPr>
        <w:pStyle w:val="TextBody"/>
        <w:bidi w:val="0"/>
        <w:spacing w:before="120" w:after="0"/>
        <w:jc w:val="left"/>
        <w:rPr>
          <w:rFonts w:ascii="Times New Roman" w:hAnsi="Times New Roman"/>
          <w:b/>
          <w:sz w:val="20"/>
        </w:rPr>
      </w:pPr>
      <w:r>
        <w:rPr>
          <w:rFonts w:ascii="Times New Roman" w:hAnsi="Times New Roman"/>
          <w:b/>
          <w:sz w:val="20"/>
        </w:rPr>
        <w:t xml:space="preserve">Analysis of Precedent Reverse Merger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life sciences reverse merger transactions dating back to January 2018 (referred to as the “Selected Precedent Reverse Merger Transactions”). Although the transactions referred to below were used for comparison purposes, none of these transactions or the companies involved are directly comparable to Boundless Bio or Serapha. Accordingly, the analysis involves considerations and judgments concerning differences in the characteristics of such transactions and the companies involved. Lucid reviewed the total premium to cash delivered to each target, along with other quantitative metrics. </w:t>
      </w:r>
    </w:p>
    <w:p>
      <w:pPr>
        <w:pStyle w:val="TextBody"/>
        <w:bidi w:val="0"/>
        <w:spacing w:before="240" w:after="0"/>
        <w:jc w:val="left"/>
        <w:rPr>
          <w:rFonts w:ascii="Times New Roman" w:hAnsi="Times New Roman"/>
          <w:sz w:val="20"/>
        </w:rPr>
      </w:pPr>
      <w:r>
        <w:rPr>
          <w:rFonts w:ascii="Times New Roman" w:hAnsi="Times New Roman"/>
          <w:sz w:val="20"/>
        </w:rPr>
        <w:t xml:space="preserve">Lucid reviewed the value delivered for the public vehicle (net of cash) from the Selected Precedent Reverse Merger Transactions, which ranged from $0.0 million to $44.0 million. Lucid derived a median value of $10.0 million and 25th and 75th percentiles of $6.0 million and $16.0 million, respectively. In addition, Lucid reviewed the value delivered for the public vehicle (net of cash) from Selected Precedent Reverse Merger Transactions in which the public vehicle delivered less than $10.0 million, and derived a median value of $5.0 million. Lucid also reviewed such values for Selected Precedent Reverse Merger Transactions in which the concurrent financing exceeded $75 million, and derived a median value of $9.0 million. This compares to the premium to net cash given to Boundless pursuant to the Merger Agreement of $12.5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Selected Precedent Reverse Merger Transactions </w:t>
      </w:r>
    </w:p>
    <w:p>
      <w:pPr>
        <w:pStyle w:val="TextBody"/>
        <w:bidi w:val="0"/>
        <w:spacing w:before="0" w:after="0"/>
        <w:jc w:val="left"/>
        <w:rPr/>
      </w:pPr>
      <w:r>
        <w:rPr/>
        <w:t> </w:t>
      </w:r>
    </w:p>
    <w:tbl>
      <w:tblPr>
        <w:tblW w:w="10565" w:type="dxa"/>
        <w:jc w:val="center"/>
        <w:tblInd w:w="0" w:type="dxa"/>
        <w:tblLayout w:type="fixed"/>
        <w:tblCellMar>
          <w:top w:w="0" w:type="dxa"/>
          <w:left w:w="0" w:type="dxa"/>
          <w:bottom w:w="0" w:type="dxa"/>
          <w:right w:w="0" w:type="dxa"/>
        </w:tblCellMar>
      </w:tblPr>
      <w:tblGrid>
        <w:gridCol w:w="890"/>
        <w:gridCol w:w="120"/>
        <w:gridCol w:w="3590"/>
        <w:gridCol w:w="120"/>
        <w:gridCol w:w="4445"/>
        <w:gridCol w:w="120"/>
        <w:gridCol w:w="328"/>
        <w:gridCol w:w="892"/>
        <w:gridCol w:w="6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bottom"/>
          </w:tcPr>
          <w:p>
            <w:pPr>
              <w:pStyle w:val="TableContents"/>
              <w:bidi w:val="0"/>
              <w:spacing w:before="0" w:after="283"/>
              <w:jc w:val="left"/>
              <w:rPr/>
            </w:pPr>
            <w:r>
              <w:rPr/>
              <w:t>  </w:t>
            </w:r>
          </w:p>
        </w:tc>
        <w:tc>
          <w:tcPr>
            <w:tcW w:w="359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bottom"/>
          </w:tcPr>
          <w:p>
            <w:pPr>
              <w:pStyle w:val="TableContents"/>
              <w:bidi w:val="0"/>
              <w:spacing w:before="0" w:after="283"/>
              <w:jc w:val="left"/>
              <w:rPr/>
            </w:pPr>
            <w:r>
              <w:rPr/>
              <w:t>  </w:t>
            </w:r>
          </w:p>
        </w:tc>
        <w:tc>
          <w:tcPr>
            <w:tcW w:w="44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Delivered</w:t>
              <w:br/>
              <w:t>for Public</w:t>
              <w:br/>
              <w:t>Vehicle</w:t>
              <w:br/>
              <w:t>Net of Cash</w:t>
              <w:br/>
              <w:t>($M)</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6/10/2026</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Azora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Adial Pharmaceuticals Inc. (Nasdaq: ADIL)</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2/18/2026</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Faeth Therapeutics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Sensei Bio (Nasdaq: SNSE)</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11/10/2025</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Damora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Galecto (Nasdaq: GLTO)</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10/30/2025</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Kadimastem (NewCelX)</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NLS Pharmaceuticals (Nasdaq: NLSP)</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10/1/2025</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KE Sdn Bhd (Black Titan Corp)</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Titan Pharmaceuticals (Nasdaq: TTNP)</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8/14/2025</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Vyome Therapeutics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ReShape Lifesciences (Nasdaq: RSLS)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7/25/2025</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Inmagene</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Ikena Oncology (Nasdaq: IKNA)</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7/2/2025</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Pelthos Therapeutics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Channel Therapeutics (NYSEAM: CHRO)</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6/16/2025</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Crescent Biopharma</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GlycoMimetics (Nasdaq: GLYC)</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4/28/2025</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Jade Biosciences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Aerovate Therapeutics (Nasdaq: AVTE)</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4/15/2025</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Tvardi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Cara Therapeutics (Nasdaq: CARA)</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3/18/2025</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Kalaris Therapeutics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AlloVir (Nasdaq: ALVR)</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12/13/2024</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Palvella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Pieris Pharmaceuticals (Nasdaq: PIRS)</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10/22/2024</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Opus Genetics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Ocuphire Pharma (Nasdaq: OCUP)</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10/17/2024</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TuHURA Biosciences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Kintara Therapeutics (Nasdaq: KTRA)</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10/9/2024</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Wex Pharmaceuticals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Virios Therapeutics (Nasdaq: VIRI)</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9/3/2024</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Oruka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ARCA Biopharma (Nasdaq: ABIO)</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8/12/24</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Firefly Neurosciences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WaveDancer (Nasdaq: WAVD)</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6/20/24</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Tectonic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AVROBIO (Nasdaq: AVRO)</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4/1/2024</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Trawsfynydd Therapeutics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Onconova Therapeutics (Nasdaq: ONTX)</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3/26/2024</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Serina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AgeX Therapeutics (Nasdaq: AGE)</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3/25/2024</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Q32 Bio</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Homology Medicines (Nasdaq: FIXX)</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3/21/2024</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LENZ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Graphite Bio (Nasdaq: GRPH)</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3/14/2024</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Immunogenx</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First Wave BioPharma (FWBI)</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3/6/2024</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Adaptive Phage Therapeutics</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Biomx (NYSEAM: PHGE)</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12/27/2023</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Cyclo Therapeutics (Nasdaq: CYTH)</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Applied Molecular Transport (Nasdaq: AMTI)</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12/18/2023</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Neurogene</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Neoleukin Therapeutics (Nasdaq: NLTX)</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11/13/2023</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Cartesian Therapeutics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Selecta Biosciences (Nasdaq: RNAC)</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11/3/2023</w:t>
            </w:r>
          </w:p>
        </w:tc>
        <w:tc>
          <w:tcPr>
            <w:tcW w:w="120" w:type="dxa"/>
            <w:tcBorders/>
            <w:shd w:fill="CCEEFF" w:val="clear"/>
            <w:vAlign w:val="bottom"/>
          </w:tcPr>
          <w:p>
            <w:pPr>
              <w:pStyle w:val="TableContents"/>
              <w:bidi w:val="0"/>
              <w:spacing w:before="0" w:after="283"/>
              <w:jc w:val="left"/>
              <w:rPr/>
            </w:pPr>
            <w:r>
              <w:rPr/>
              <w:t>  </w:t>
            </w:r>
          </w:p>
        </w:tc>
        <w:tc>
          <w:tcPr>
            <w:tcW w:w="3590" w:type="dxa"/>
            <w:tcBorders/>
            <w:shd w:fill="CCEEFF" w:val="clear"/>
          </w:tcPr>
          <w:p>
            <w:pPr>
              <w:pStyle w:val="TableContents"/>
              <w:bidi w:val="0"/>
              <w:spacing w:before="0" w:after="283"/>
              <w:jc w:val="left"/>
              <w:rPr/>
            </w:pPr>
            <w:r>
              <w:rPr/>
              <w:t>Korro Bio</w:t>
            </w:r>
          </w:p>
        </w:tc>
        <w:tc>
          <w:tcPr>
            <w:tcW w:w="120" w:type="dxa"/>
            <w:tcBorders/>
            <w:shd w:fill="CCEEFF" w:val="clear"/>
            <w:vAlign w:val="bottom"/>
          </w:tcPr>
          <w:p>
            <w:pPr>
              <w:pStyle w:val="TableContents"/>
              <w:bidi w:val="0"/>
              <w:spacing w:before="0" w:after="283"/>
              <w:jc w:val="left"/>
              <w:rPr/>
            </w:pPr>
            <w:r>
              <w:rPr/>
              <w:t>  </w:t>
            </w:r>
          </w:p>
        </w:tc>
        <w:tc>
          <w:tcPr>
            <w:tcW w:w="4445" w:type="dxa"/>
            <w:tcBorders/>
            <w:shd w:fill="CCEEFF" w:val="clear"/>
          </w:tcPr>
          <w:p>
            <w:pPr>
              <w:pStyle w:val="TableContents"/>
              <w:bidi w:val="0"/>
              <w:spacing w:before="0" w:after="283"/>
              <w:jc w:val="left"/>
              <w:rPr/>
            </w:pPr>
            <w:r>
              <w:rPr/>
              <w:t>Frequency Therapeutics (Nasdaq: FREQ)</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10/31/2023</w:t>
            </w:r>
          </w:p>
        </w:tc>
        <w:tc>
          <w:tcPr>
            <w:tcW w:w="120"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Lung Therapeutics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Aileron Therapeutics (Nasdaq: ALRN)</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805" w:type="dxa"/>
        <w:jc w:val="center"/>
        <w:tblInd w:w="0" w:type="dxa"/>
        <w:tblLayout w:type="fixed"/>
        <w:tblCellMar>
          <w:top w:w="0" w:type="dxa"/>
          <w:left w:w="0" w:type="dxa"/>
          <w:bottom w:w="0" w:type="dxa"/>
          <w:right w:w="0" w:type="dxa"/>
        </w:tblCellMar>
      </w:tblPr>
      <w:tblGrid>
        <w:gridCol w:w="890"/>
        <w:gridCol w:w="120"/>
        <w:gridCol w:w="3815"/>
        <w:gridCol w:w="120"/>
        <w:gridCol w:w="4460"/>
        <w:gridCol w:w="120"/>
        <w:gridCol w:w="166"/>
        <w:gridCol w:w="1054"/>
        <w:gridCol w:w="6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bottom"/>
          </w:tcPr>
          <w:p>
            <w:pPr>
              <w:pStyle w:val="TableContents"/>
              <w:bidi w:val="0"/>
              <w:spacing w:before="0" w:after="283"/>
              <w:jc w:val="left"/>
              <w:rPr/>
            </w:pPr>
            <w:r>
              <w:rPr/>
              <w:t>  </w:t>
            </w:r>
          </w:p>
        </w:tc>
        <w:tc>
          <w:tcPr>
            <w:tcW w:w="381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bottom"/>
          </w:tcPr>
          <w:p>
            <w:pPr>
              <w:pStyle w:val="TableContents"/>
              <w:bidi w:val="0"/>
              <w:spacing w:before="0" w:after="283"/>
              <w:jc w:val="left"/>
              <w:rPr/>
            </w:pPr>
            <w:r>
              <w:rPr/>
              <w:t>  </w:t>
            </w:r>
          </w:p>
        </w:tc>
        <w:tc>
          <w:tcPr>
            <w:tcW w:w="446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Delivered</w:t>
              <w:br/>
              <w:t>for Public</w:t>
              <w:br/>
              <w:t>Vehicle</w:t>
              <w:br/>
              <w:t>Net of Cash</w:t>
              <w:br/>
              <w:t>($M)</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10/16/2023</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Notable Labs</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Vascular Biogenics Ltd. (Nasdaq: VBLT)</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9/11/2023</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Dianthus Therapeutics</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Magenta Therapeutics (Nasdaq: MGTA)</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8/16/2023</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EIP Pharma (CervoMed)</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Diffusion Pharmaceuticals (Nasdaq: DFFN)</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6/29/2023</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TeraImmune</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Baudax Bio (Nasdaq: BXRX)</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6/22/2023</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Spyre Therapeutics</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Aeglea BioTherapeutics (Nasdaq: AGLE)</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6/1/2023</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Elicio Therapeutics</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Angion Biomedica (Nasdaq: ANGN)</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4/22/2023</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GRI Bio</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Vallon Pharmaceuticals (Nasdaq: VLON)</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3/20/2023</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CalciMedica</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Graybug Vision (Nasdaq: GRAY)</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3/7/2023</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Carisma Therapeutics</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Sesen Bio (Nasdaq: SESN)</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2/23/2023</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Enliven Therapeutics</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Imara (Nasdaq: IMRA)</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1/9/2023</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Catheter Precision, Inc.</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Ra Medical Systems (NYSE: RMED)</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12/29/2022</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Disc Medicine</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Gemini Therapeutics (Nasdaq: GMTX)</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12/27/2022</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GNI Group (Gyre Therapeutics)</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Catalyst Biosciences (Nasdaq: CBIO)</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12/19/2022</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Kineta, Inc.</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Yumanity Therapeutics (Nasdaq: YMTX)</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11/8/2022</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ARS Pharmaceuticals</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Silverback Therapeutics (Nasdaq: SBTX)</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9/28/2022</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Aceragen, Inc.</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Idera Pharmaceuticals (Nasdaq: IDRA)</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9/15/2022</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Lisata Therapeutics (Cend)</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Caladrius Biosciences (Nasdaq: CLBS)</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8/30/2022</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Vivani Medical (Nano Precision)</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Second Sight Medical (Nasdaq: EYES)</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7/5/2022</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Syros Pharmaceuticals (Nasdaq: SYRS)</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Tyme Technologies (Nasdaq: TYME)</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5/16/2022</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Aprea Therapeutics, Inc.</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Atrin Pharmaceuticals (NasdaqGS: APRE)</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10/24/2021</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Quoin Pharmaceuticals, Inc.</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Cellect Biotechnology Ltd. (Nasdaq: APOP)</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8/26/2021</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Aadi Bioscience, Inc.</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Aerpio Pharmaceuticals, Inc. (Nasdaq: ARPO)</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8/3/2021</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Decoy Biosystems, Inc.</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Indaptus Therapeutics (Intec) (Nasdaq: INDP)</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7/27/2021</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Cytocom, Inc. (Statera)</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Cleveland BioLabs, Inc. (Nasdaq: CBLI)</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6/28/2021</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Tempest Therapeutics Inc.</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Millendo Therapeutics, Inc. (Nasdaq: MLND)</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6/15/2021</w:t>
            </w:r>
          </w:p>
        </w:tc>
        <w:tc>
          <w:tcPr>
            <w:tcW w:w="120"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283"/>
              <w:jc w:val="left"/>
              <w:rPr/>
            </w:pPr>
            <w:r>
              <w:rPr/>
              <w:t>ReShape Lifesciences Inc.</w:t>
            </w:r>
          </w:p>
        </w:tc>
        <w:tc>
          <w:tcPr>
            <w:tcW w:w="120" w:type="dxa"/>
            <w:tcBorders/>
            <w:vAlign w:val="bottom"/>
          </w:tcPr>
          <w:p>
            <w:pPr>
              <w:pStyle w:val="TableContents"/>
              <w:bidi w:val="0"/>
              <w:spacing w:before="0" w:after="283"/>
              <w:jc w:val="left"/>
              <w:rPr/>
            </w:pPr>
            <w:r>
              <w:rPr/>
              <w:t>  </w:t>
            </w:r>
          </w:p>
        </w:tc>
        <w:tc>
          <w:tcPr>
            <w:tcW w:w="4460" w:type="dxa"/>
            <w:tcBorders/>
          </w:tcPr>
          <w:p>
            <w:pPr>
              <w:pStyle w:val="TableContents"/>
              <w:bidi w:val="0"/>
              <w:spacing w:before="0" w:after="283"/>
              <w:jc w:val="left"/>
              <w:rPr/>
            </w:pPr>
            <w:r>
              <w:rPr/>
              <w:t>Obalon Therapeutics, Inc. (Nasdaq: OBLN)</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4/27/2021</w:t>
            </w:r>
          </w:p>
        </w:tc>
        <w:tc>
          <w:tcPr>
            <w:tcW w:w="120" w:type="dxa"/>
            <w:tcBorders/>
            <w:shd w:fill="CCEEFF" w:val="clear"/>
            <w:vAlign w:val="bottom"/>
          </w:tcPr>
          <w:p>
            <w:pPr>
              <w:pStyle w:val="TableContents"/>
              <w:bidi w:val="0"/>
              <w:spacing w:before="0" w:after="283"/>
              <w:jc w:val="left"/>
              <w:rPr/>
            </w:pPr>
            <w:r>
              <w:rPr/>
              <w:t>  </w:t>
            </w:r>
          </w:p>
        </w:tc>
        <w:tc>
          <w:tcPr>
            <w:tcW w:w="3815" w:type="dxa"/>
            <w:tcBorders/>
            <w:shd w:fill="CCEEFF" w:val="clear"/>
          </w:tcPr>
          <w:p>
            <w:pPr>
              <w:pStyle w:val="TableContents"/>
              <w:bidi w:val="0"/>
              <w:spacing w:before="0" w:after="283"/>
              <w:jc w:val="left"/>
              <w:rPr/>
            </w:pPr>
            <w:r>
              <w:rPr/>
              <w:t>Leading BioSciences, Inc. (Palisade)</w:t>
            </w:r>
          </w:p>
        </w:tc>
        <w:tc>
          <w:tcPr>
            <w:tcW w:w="120" w:type="dxa"/>
            <w:tcBorders/>
            <w:shd w:fill="CCEEFF" w:val="clear"/>
            <w:vAlign w:val="bottom"/>
          </w:tcPr>
          <w:p>
            <w:pPr>
              <w:pStyle w:val="TableContents"/>
              <w:bidi w:val="0"/>
              <w:spacing w:before="0" w:after="283"/>
              <w:jc w:val="left"/>
              <w:rPr/>
            </w:pPr>
            <w:r>
              <w:rPr/>
              <w:t>  </w:t>
            </w:r>
          </w:p>
        </w:tc>
        <w:tc>
          <w:tcPr>
            <w:tcW w:w="4460" w:type="dxa"/>
            <w:tcBorders/>
            <w:shd w:fill="CCEEFF" w:val="clear"/>
          </w:tcPr>
          <w:p>
            <w:pPr>
              <w:pStyle w:val="TableContents"/>
              <w:bidi w:val="0"/>
              <w:spacing w:before="0" w:after="283"/>
              <w:jc w:val="left"/>
              <w:rPr/>
            </w:pPr>
            <w:r>
              <w:rPr/>
              <w:t>Seneca Biopharma, Inc. (Nasdaq: SNCA)</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550" w:type="dxa"/>
        <w:jc w:val="center"/>
        <w:tblInd w:w="0" w:type="dxa"/>
        <w:tblLayout w:type="fixed"/>
        <w:tblCellMar>
          <w:top w:w="0" w:type="dxa"/>
          <w:left w:w="0" w:type="dxa"/>
          <w:bottom w:w="0" w:type="dxa"/>
          <w:right w:w="0" w:type="dxa"/>
        </w:tblCellMar>
      </w:tblPr>
      <w:tblGrid>
        <w:gridCol w:w="890"/>
        <w:gridCol w:w="120"/>
        <w:gridCol w:w="3305"/>
        <w:gridCol w:w="120"/>
        <w:gridCol w:w="4715"/>
        <w:gridCol w:w="120"/>
        <w:gridCol w:w="166"/>
        <w:gridCol w:w="1054"/>
        <w:gridCol w:w="6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bottom"/>
          </w:tcPr>
          <w:p>
            <w:pPr>
              <w:pStyle w:val="TableContents"/>
              <w:bidi w:val="0"/>
              <w:spacing w:before="0" w:after="283"/>
              <w:jc w:val="left"/>
              <w:rPr/>
            </w:pPr>
            <w:r>
              <w:rPr/>
              <w:t>  </w:t>
            </w:r>
          </w:p>
        </w:tc>
        <w:tc>
          <w:tcPr>
            <w:tcW w:w="33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bottom"/>
          </w:tcPr>
          <w:p>
            <w:pPr>
              <w:pStyle w:val="TableContents"/>
              <w:bidi w:val="0"/>
              <w:spacing w:before="0" w:after="283"/>
              <w:jc w:val="left"/>
              <w:rPr/>
            </w:pPr>
            <w:r>
              <w:rPr/>
              <w:t>  </w:t>
            </w:r>
          </w:p>
        </w:tc>
        <w:tc>
          <w:tcPr>
            <w:tcW w:w="471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Delivered</w:t>
              <w:br/>
              <w:t>for Public</w:t>
              <w:br/>
              <w:t>Vehicle</w:t>
              <w:br/>
              <w:t>Net of Cash</w:t>
              <w:br/>
              <w:t>($M)</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4/16/2021</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MyMD Pharmaceuticals,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Akers Biosciences, Inc. (Nasdaq: AKER)</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3/31/2021</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StemoniX Inc. (Vyant Bio)</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Cancer Genetics, Inc. (Nasdaq: CGIX)</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3/16/2021</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ChemomAb Ltd.</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Anchiano Therapeutics Ltd. (Nasdaq: ANCN)</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2/24/2021</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Viracta Therapeutics, Inc.</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Sunesis Pharmaceuticals (Nasdaq: SNSS)</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1/28/2021</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Quellis Biosciences, Inc. (Astria)</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Catabasis Pharmaceuticals (Nasdaq: CATB)</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12/22/2020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Yumanity Therapeutics Inc.</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Proteostasis Therapeutics (Nasdaq: PTI)</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12/1/2020</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Petros Pharmaceuticals,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Neurotrope, Inc. (NasdaqCM: NTRP)</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11/23/2020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F-star Therapeutics, Limited</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Spring Bank Pharmaceuticals, Inc.</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11/5/2020</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Ocuphire Pharma,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Rexahn Pharmaceuticals (Nasdaq: REXN)</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10/27/2020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Viridian Therapeutics, Inc.</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Miragen Therapeutics, Inc. (NasdaqCM: MGEN)</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9/15/2020</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Adicet Bio,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resTORbio, Inc. (NasdaqGS: TORC)</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9/14/2020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Anelixis Therapeutics (Eledon)</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Novus Therapeutics, Inc. (NasdaqCM: NVUS)</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7/6/2020</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Kiq Bio (Cogent)</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Unum Therapeutics, Inc. (NASDAQ: UMRX)</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6/15/2020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Forte Biosciences, Inc.</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Tocagen Inc. (NasdaqGS: TOCA)</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5/28/2020</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Larimar Therapeutics,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Zafgen, Inc. (NasdaqGS: ZFGN)</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5/26/2020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Histogen, Inc.</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Conatus Pharmaceuticals (Nasdaq: CNAT)</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5/22/2020</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Qualigen,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Ritter Pharmaceuticals (Nasdaq: RTTR)</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5/18/2020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Timber Pharmaceuticals, Inc.</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BioPharmX Corporation (AMEX: BPMX)</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4/1/2020</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Curetis NV (Euronext: CURE)</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OpGen, Inc. (NasdaqCM: OPGN)</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1/9/2020</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Protara Therapeutics, Inc.</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Proteon Therapeutics, Inc. (NASDAQ: PRTO)</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12/30/2019</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NeuroBo Pharmaceuticals,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Gemphire Therapeutics Inc. (NASDAQ: GEMP)</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11/7/2019</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Venus Concept Ltd.</w:t>
            </w:r>
          </w:p>
        </w:tc>
        <w:tc>
          <w:tcPr>
            <w:tcW w:w="120" w:type="dxa"/>
            <w:tcBorders/>
            <w:vAlign w:val="bottom"/>
          </w:tcPr>
          <w:p>
            <w:pPr>
              <w:pStyle w:val="TableContents"/>
              <w:bidi w:val="0"/>
              <w:spacing w:before="0" w:after="283"/>
              <w:jc w:val="left"/>
              <w:rPr/>
            </w:pPr>
            <w:r>
              <w:rPr/>
              <w:t>  </w:t>
            </w:r>
          </w:p>
        </w:tc>
        <w:tc>
          <w:tcPr>
            <w:tcW w:w="4715" w:type="dxa"/>
            <w:tcBorders/>
          </w:tcPr>
          <w:p>
            <w:pPr>
              <w:pStyle w:val="TableContents"/>
              <w:bidi w:val="0"/>
              <w:spacing w:before="0" w:after="283"/>
              <w:jc w:val="left"/>
              <w:rPr/>
            </w:pPr>
            <w:r>
              <w:rPr/>
              <w:t>Restoration Robotics, Inc. (NASDAQ: HAIR)</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9/27/2019</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Ocugen, Inc.</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tcPr>
          <w:p>
            <w:pPr>
              <w:pStyle w:val="TableContents"/>
              <w:bidi w:val="0"/>
              <w:spacing w:before="0" w:after="283"/>
              <w:jc w:val="left"/>
              <w:rPr/>
            </w:pPr>
            <w:r>
              <w:rPr/>
              <w:t>Histogenics Corporation (NASDAQ: HSGX)</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8/31/2019</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Brickell Biotech, Inc.</w:t>
            </w:r>
          </w:p>
        </w:tc>
        <w:tc>
          <w:tcPr>
            <w:tcW w:w="120" w:type="dxa"/>
            <w:tcBorders/>
            <w:vAlign w:val="bottom"/>
          </w:tcPr>
          <w:p>
            <w:pPr>
              <w:pStyle w:val="TableContents"/>
              <w:bidi w:val="0"/>
              <w:spacing w:before="0" w:after="283"/>
              <w:jc w:val="left"/>
              <w:rPr/>
            </w:pPr>
            <w:r>
              <w:rPr/>
              <w:t>  </w:t>
            </w:r>
          </w:p>
        </w:tc>
        <w:tc>
          <w:tcPr>
            <w:tcW w:w="4715" w:type="dxa"/>
            <w:tcBorders/>
            <w:vAlign w:val="bottom"/>
          </w:tcPr>
          <w:p>
            <w:pPr>
              <w:pStyle w:val="TableContents"/>
              <w:bidi w:val="0"/>
              <w:spacing w:before="0" w:after="283"/>
              <w:jc w:val="left"/>
              <w:rPr/>
            </w:pPr>
            <w:r>
              <w:rPr/>
              <w:t>Vical Incorporated (NASDAQ: VICL)</w:t>
            </w:r>
          </w:p>
        </w:tc>
        <w:tc>
          <w:tcPr>
            <w:tcW w:w="120" w:type="dxa"/>
            <w:tcBorders/>
            <w:vAlign w:val="bottom"/>
          </w:tcPr>
          <w:p>
            <w:pPr>
              <w:pStyle w:val="TableContents"/>
              <w:bidi w:val="0"/>
              <w:spacing w:before="0" w:after="283"/>
              <w:jc w:val="left"/>
              <w:rPr/>
            </w:pPr>
            <w:r>
              <w:rPr/>
              <w:t>  </w:t>
            </w:r>
          </w:p>
        </w:tc>
        <w:tc>
          <w:tcPr>
            <w:tcW w:w="166"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4</w:t>
            </w:r>
          </w:p>
        </w:tc>
        <w:tc>
          <w:tcPr>
            <w:tcW w:w="60" w:type="dxa"/>
            <w:tcBorders/>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7/31/2019</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ESSA Pharma (NASDAQ: EPIX)</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vAlign w:val="bottom"/>
          </w:tcPr>
          <w:p>
            <w:pPr>
              <w:pStyle w:val="TableContents"/>
              <w:bidi w:val="0"/>
              <w:spacing w:before="0" w:after="283"/>
              <w:jc w:val="left"/>
              <w:rPr/>
            </w:pPr>
            <w:r>
              <w:rPr/>
              <w:t>Realm Therapeutics plc (NASDAQ: RLM)</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tcPr>
          <w:p>
            <w:pPr>
              <w:pStyle w:val="TableContents"/>
              <w:bidi w:val="0"/>
              <w:spacing w:before="0" w:after="283"/>
              <w:jc w:val="left"/>
              <w:rPr/>
            </w:pPr>
            <w:r>
              <w:rPr/>
              <w:t> </w:t>
            </w:r>
          </w:p>
        </w:tc>
        <w:tc>
          <w:tcPr>
            <w:tcW w:w="1054" w:type="dxa"/>
            <w:tcBorders/>
            <w:shd w:fill="CCEEFF" w:val="clear"/>
          </w:tcPr>
          <w:p>
            <w:pPr>
              <w:pStyle w:val="TableContents"/>
              <w:bidi w:val="0"/>
              <w:spacing w:before="0" w:after="283"/>
              <w:jc w:val="right"/>
              <w:rPr/>
            </w:pPr>
            <w:r>
              <w:rPr/>
              <w:t>1</w:t>
            </w:r>
          </w:p>
        </w:tc>
        <w:tc>
          <w:tcPr>
            <w:tcW w:w="60" w:type="dxa"/>
            <w:tcBorders/>
            <w:shd w:fill="CCEEFF" w:val="clear"/>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7/22/2019</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Salarius Pharmaceuticals, LLC</w:t>
            </w:r>
          </w:p>
        </w:tc>
        <w:tc>
          <w:tcPr>
            <w:tcW w:w="120" w:type="dxa"/>
            <w:tcBorders/>
            <w:vAlign w:val="bottom"/>
          </w:tcPr>
          <w:p>
            <w:pPr>
              <w:pStyle w:val="TableContents"/>
              <w:bidi w:val="0"/>
              <w:spacing w:before="0" w:after="283"/>
              <w:jc w:val="left"/>
              <w:rPr/>
            </w:pPr>
            <w:r>
              <w:rPr/>
              <w:t>  </w:t>
            </w:r>
          </w:p>
        </w:tc>
        <w:tc>
          <w:tcPr>
            <w:tcW w:w="4715" w:type="dxa"/>
            <w:tcBorders/>
            <w:vAlign w:val="bottom"/>
          </w:tcPr>
          <w:p>
            <w:pPr>
              <w:pStyle w:val="TableContents"/>
              <w:bidi w:val="0"/>
              <w:spacing w:before="0" w:after="283"/>
              <w:jc w:val="left"/>
              <w:rPr/>
            </w:pPr>
            <w:r>
              <w:rPr/>
              <w:t>Flex Pharma, Inc. (NASDAQ: FLKS)</w:t>
            </w:r>
          </w:p>
        </w:tc>
        <w:tc>
          <w:tcPr>
            <w:tcW w:w="120" w:type="dxa"/>
            <w:tcBorders/>
            <w:vAlign w:val="bottom"/>
          </w:tcPr>
          <w:p>
            <w:pPr>
              <w:pStyle w:val="TableContents"/>
              <w:bidi w:val="0"/>
              <w:spacing w:before="0" w:after="283"/>
              <w:jc w:val="left"/>
              <w:rPr/>
            </w:pPr>
            <w:r>
              <w:rPr/>
              <w:t>  </w:t>
            </w:r>
          </w:p>
        </w:tc>
        <w:tc>
          <w:tcPr>
            <w:tcW w:w="166"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4</w:t>
            </w:r>
          </w:p>
        </w:tc>
        <w:tc>
          <w:tcPr>
            <w:tcW w:w="60" w:type="dxa"/>
            <w:tcBorders/>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7/15/2019</w:t>
            </w:r>
          </w:p>
        </w:tc>
        <w:tc>
          <w:tcPr>
            <w:tcW w:w="120" w:type="dxa"/>
            <w:tcBorders/>
            <w:shd w:fill="CCEEFF" w:val="clear"/>
            <w:vAlign w:val="bottom"/>
          </w:tcPr>
          <w:p>
            <w:pPr>
              <w:pStyle w:val="TableContents"/>
              <w:bidi w:val="0"/>
              <w:spacing w:before="0" w:after="283"/>
              <w:jc w:val="left"/>
              <w:rPr/>
            </w:pPr>
            <w:r>
              <w:rPr/>
              <w:t>  </w:t>
            </w:r>
          </w:p>
        </w:tc>
        <w:tc>
          <w:tcPr>
            <w:tcW w:w="3305" w:type="dxa"/>
            <w:tcBorders/>
            <w:shd w:fill="CCEEFF" w:val="clear"/>
          </w:tcPr>
          <w:p>
            <w:pPr>
              <w:pStyle w:val="TableContents"/>
              <w:bidi w:val="0"/>
              <w:spacing w:before="0" w:after="283"/>
              <w:jc w:val="left"/>
              <w:rPr/>
            </w:pPr>
            <w:r>
              <w:rPr/>
              <w:t>NeuBase Therapeutics</w:t>
            </w:r>
          </w:p>
        </w:tc>
        <w:tc>
          <w:tcPr>
            <w:tcW w:w="120" w:type="dxa"/>
            <w:tcBorders/>
            <w:shd w:fill="CCEEFF" w:val="clear"/>
            <w:vAlign w:val="bottom"/>
          </w:tcPr>
          <w:p>
            <w:pPr>
              <w:pStyle w:val="TableContents"/>
              <w:bidi w:val="0"/>
              <w:spacing w:before="0" w:after="283"/>
              <w:jc w:val="left"/>
              <w:rPr/>
            </w:pPr>
            <w:r>
              <w:rPr/>
              <w:t>  </w:t>
            </w:r>
          </w:p>
        </w:tc>
        <w:tc>
          <w:tcPr>
            <w:tcW w:w="4715" w:type="dxa"/>
            <w:tcBorders/>
            <w:shd w:fill="CCEEFF" w:val="clear"/>
            <w:vAlign w:val="bottom"/>
          </w:tcPr>
          <w:p>
            <w:pPr>
              <w:pStyle w:val="TableContents"/>
              <w:bidi w:val="0"/>
              <w:spacing w:before="0" w:after="283"/>
              <w:jc w:val="left"/>
              <w:rPr/>
            </w:pPr>
            <w:r>
              <w:rPr/>
              <w:t>Ohr Pharmaceutical (NASDAQ: OHRP)</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tcPr>
          <w:p>
            <w:pPr>
              <w:pStyle w:val="TableContents"/>
              <w:bidi w:val="0"/>
              <w:spacing w:before="0" w:after="283"/>
              <w:jc w:val="left"/>
              <w:rPr/>
            </w:pPr>
            <w:r>
              <w:rPr/>
              <w:t> </w:t>
            </w:r>
          </w:p>
        </w:tc>
        <w:tc>
          <w:tcPr>
            <w:tcW w:w="1054" w:type="dxa"/>
            <w:tcBorders/>
            <w:shd w:fill="CCEEFF" w:val="clear"/>
          </w:tcPr>
          <w:p>
            <w:pPr>
              <w:pStyle w:val="TableContents"/>
              <w:bidi w:val="0"/>
              <w:spacing w:before="0" w:after="283"/>
              <w:jc w:val="right"/>
              <w:rPr/>
            </w:pPr>
            <w:r>
              <w:rPr/>
              <w:t>7</w:t>
            </w:r>
          </w:p>
        </w:tc>
        <w:tc>
          <w:tcPr>
            <w:tcW w:w="60" w:type="dxa"/>
            <w:tcBorders/>
            <w:shd w:fill="CCEEFF" w:val="cle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595" w:type="dxa"/>
        <w:jc w:val="center"/>
        <w:tblInd w:w="0" w:type="dxa"/>
        <w:tblLayout w:type="fixed"/>
        <w:tblCellMar>
          <w:top w:w="0" w:type="dxa"/>
          <w:left w:w="0" w:type="dxa"/>
          <w:bottom w:w="0" w:type="dxa"/>
          <w:right w:w="0" w:type="dxa"/>
        </w:tblCellMar>
      </w:tblPr>
      <w:tblGrid>
        <w:gridCol w:w="890"/>
        <w:gridCol w:w="120"/>
        <w:gridCol w:w="3380"/>
        <w:gridCol w:w="120"/>
        <w:gridCol w:w="4685"/>
        <w:gridCol w:w="120"/>
        <w:gridCol w:w="228"/>
        <w:gridCol w:w="992"/>
        <w:gridCol w:w="6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bottom"/>
          </w:tcPr>
          <w:p>
            <w:pPr>
              <w:pStyle w:val="TableContents"/>
              <w:bidi w:val="0"/>
              <w:spacing w:before="0" w:after="283"/>
              <w:jc w:val="left"/>
              <w:rPr/>
            </w:pPr>
            <w:r>
              <w:rPr/>
              <w:t>  </w:t>
            </w:r>
          </w:p>
        </w:tc>
        <w:tc>
          <w:tcPr>
            <w:tcW w:w="338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bottom"/>
          </w:tcPr>
          <w:p>
            <w:pPr>
              <w:pStyle w:val="TableContents"/>
              <w:bidi w:val="0"/>
              <w:spacing w:before="0" w:after="283"/>
              <w:jc w:val="left"/>
              <w:rPr/>
            </w:pPr>
            <w:r>
              <w:rPr/>
              <w:t>  </w:t>
            </w:r>
          </w:p>
        </w:tc>
        <w:tc>
          <w:tcPr>
            <w:tcW w:w="468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Delivered</w:t>
              <w:br/>
              <w:t>for Public</w:t>
              <w:br/>
              <w:t>Vehicle</w:t>
              <w:br/>
              <w:t>Net of Cash</w:t>
              <w:br/>
              <w:t>($M)</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6/10/2019</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Oncternal Therapeutics, Inc.</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GTx, Inc. (NASDAQ: GTXI)</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6/9/2019</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Edesa Biotech Inc.</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Stellar Biotechnologies, Inc. (NASDAQ: SBOT)</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5/9/2019</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Armata Pharmaceuticals (f.k.a C3J)</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Ampliphi Biosciences (NYSE: APHB)</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5/6/2019</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Adynxx, Inc.</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Alliqua BioMedical, Inc. (NASDAQ: ALQA)</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4/23/2019</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Mereo BioPharma (AIM: MPH)</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Oncomed Pharmaceuticals (NASDAQ: OMED)</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4/12/2019</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Immunic AG</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Vital Therapies, Inc. (NASDAQ: VTL)</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3/26/2019</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Enlivex Therapeutics Ltd.</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Bioblast Pharma Ltd. (NASDAQ: ORPN)</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3/18/2019</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PDS Biotechnology Corporation</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Edge Therapeutics, Inc. (NASDAQ: EDGE)</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3/13/2019</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X4 Pharmaceuticals, Inc.</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Arsanis, Inc. (NASDAQ: ASNS)</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1/24/2019</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Seelos Therapeutics, Inc.</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Apricus Biosciences, Inc. (NASDAQ: APRI)</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12/7/2018</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Millendo Therapeutics, Inc.</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OvaScience, Inc. (NASDAQ: OVAS)</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10/12/2018</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Aravive Biologics, Inc.</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Versartis, Inc. (NASDAQ: VSAR)</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2/13/2018</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Vaxart, Inc.</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Aviragen Therapeutics, Inc. (NASDAQ: AVIR)</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1/30/2018</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Innovate Biopharmaceuticals, Inc.</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Monster Digital, Inc. (NASDAQ: MSDI)</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1/17/2018</w:t>
            </w:r>
          </w:p>
        </w:tc>
        <w:tc>
          <w:tcPr>
            <w:tcW w:w="120" w:type="dxa"/>
            <w:tcBorders/>
            <w:shd w:fill="CCEEFF" w:val="clear"/>
            <w:vAlign w:val="bottom"/>
          </w:tcPr>
          <w:p>
            <w:pPr>
              <w:pStyle w:val="TableContents"/>
              <w:bidi w:val="0"/>
              <w:spacing w:before="0" w:after="283"/>
              <w:jc w:val="left"/>
              <w:rPr/>
            </w:pPr>
            <w:r>
              <w:rPr/>
              <w:t>  </w:t>
            </w:r>
          </w:p>
        </w:tc>
        <w:tc>
          <w:tcPr>
            <w:tcW w:w="3380" w:type="dxa"/>
            <w:tcBorders/>
            <w:shd w:fill="CCEEFF" w:val="clear"/>
          </w:tcPr>
          <w:p>
            <w:pPr>
              <w:pStyle w:val="TableContents"/>
              <w:bidi w:val="0"/>
              <w:spacing w:before="0" w:after="283"/>
              <w:jc w:val="left"/>
              <w:rPr/>
            </w:pPr>
            <w:r>
              <w:rPr/>
              <w:t>Evofem Biosciences, Inc.</w:t>
            </w:r>
          </w:p>
        </w:tc>
        <w:tc>
          <w:tcPr>
            <w:tcW w:w="120" w:type="dxa"/>
            <w:tcBorders/>
            <w:shd w:fill="CCEEFF" w:val="clear"/>
            <w:vAlign w:val="bottom"/>
          </w:tcPr>
          <w:p>
            <w:pPr>
              <w:pStyle w:val="TableContents"/>
              <w:bidi w:val="0"/>
              <w:spacing w:before="0" w:after="283"/>
              <w:jc w:val="left"/>
              <w:rPr/>
            </w:pPr>
            <w:r>
              <w:rPr/>
              <w:t>  </w:t>
            </w:r>
          </w:p>
        </w:tc>
        <w:tc>
          <w:tcPr>
            <w:tcW w:w="4685" w:type="dxa"/>
            <w:tcBorders/>
            <w:shd w:fill="CCEEFF" w:val="clear"/>
          </w:tcPr>
          <w:p>
            <w:pPr>
              <w:pStyle w:val="TableContents"/>
              <w:bidi w:val="0"/>
              <w:spacing w:before="0" w:after="283"/>
              <w:jc w:val="left"/>
              <w:rPr/>
            </w:pPr>
            <w:r>
              <w:rPr/>
              <w:t>Neothetics, Inc. (NASDAQ: NEOT)</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1/4/2018</w:t>
            </w:r>
          </w:p>
        </w:tc>
        <w:tc>
          <w:tcPr>
            <w:tcW w:w="12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Rocket Pharmaceuticals, Ltd</w:t>
            </w:r>
          </w:p>
        </w:tc>
        <w:tc>
          <w:tcPr>
            <w:tcW w:w="120" w:type="dxa"/>
            <w:tcBorders/>
            <w:vAlign w:val="bottom"/>
          </w:tcPr>
          <w:p>
            <w:pPr>
              <w:pStyle w:val="TableContents"/>
              <w:bidi w:val="0"/>
              <w:spacing w:before="0" w:after="283"/>
              <w:jc w:val="left"/>
              <w:rPr/>
            </w:pPr>
            <w:r>
              <w:rPr/>
              <w:t>  </w:t>
            </w:r>
          </w:p>
        </w:tc>
        <w:tc>
          <w:tcPr>
            <w:tcW w:w="4685" w:type="dxa"/>
            <w:tcBorders/>
          </w:tcPr>
          <w:p>
            <w:pPr>
              <w:pStyle w:val="TableContents"/>
              <w:bidi w:val="0"/>
              <w:spacing w:before="0" w:after="283"/>
              <w:jc w:val="left"/>
              <w:rPr/>
            </w:pPr>
            <w:r>
              <w:rPr/>
              <w:t>Inotek Pharmaceuticals Corp (NASDAQ: ITEK)</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summary set forth above does not purport to be a complete description of all the analyses performed by Lucid. The preparation of a fairness opinion involves various determinations as to the most appropriate and relevant methods of financial analysis and the application of these methods to the particular circumstances. Therefore, such an opinion is not readily susceptible to partial analysis or summary description. Lucid did not attribute any particular weight to any analysis or factor considered by it, but rather made qualitative judgments as to the significance and relevance of each analysis and factor. Accordingly, notwithstanding the separate factors summarized above, Lucid believes, and advised the Boundless Bio Board of Directors, that its analyses must be considered as a whole. Selecting portions of its analyses and the factors considered by it without considering all analyses and factors could create an incomplete view of the process underlying the Lucid Opinion. In performing its analyses, Lucid made numerous assumptions with respect to industry performance, business and economic conditions and other matters, many of which are beyond the control of Boundless Bio and Serapha. These analyses performed by Lucid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being based upon numerous factors or events beyond the control of the parties or their respective advisors. None of Boundless Bio, Serapha, Lucid or any other person assumes responsibility if future results are materially different from those projected. The analyses supplied by Lucid and the Lucid Opinion were among several factors taken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by the Boundless Bio Board of Directors in making its decision to enter into the Merger Agreement and should not be considered as determinative of such a decision. </w:t>
      </w:r>
    </w:p>
    <w:p>
      <w:pPr>
        <w:pStyle w:val="TextBody"/>
        <w:bidi w:val="0"/>
        <w:spacing w:before="240" w:after="0"/>
        <w:jc w:val="left"/>
        <w:rPr>
          <w:rFonts w:ascii="Times New Roman" w:hAnsi="Times New Roman"/>
          <w:sz w:val="20"/>
        </w:rPr>
      </w:pPr>
      <w:r>
        <w:rPr>
          <w:rFonts w:ascii="Times New Roman" w:hAnsi="Times New Roman"/>
          <w:sz w:val="20"/>
        </w:rPr>
        <w:t xml:space="preserve">Lucid was selected by the Boundless Bio Board of Directors to render an opinion to the Boundless Bio Board of Directors because Lucid is a nationally recognized investment banking firm and as part of its investment banking business, Lucid is continually engaged in the valuation of businesses and their securities in connection with mergers, negotiated underwritings, secondary distributions of listed and unlisted securities, private placements and valuations for corporate and other purposes. In addition, in the ordinary course of its business, Lucid and its affiliates may trade the equity securities of Boundless Bio for its own account and for the accounts of their customers, and, accordingly, may at any time hold a long or short position in such securities. In the two years preceding the date hereof, Lucid has not had a relationship with Boundless Bio or its affiliates and has not received any fees from Boundless Bio or any of its affiliates. In the two years preceding the date hereof, Lucid has not had a relationship with Serapha or any of its affiliates and has not received any fees from Serapha or any of its affiliates, including RTW Investments, LP (“RTW Investments”), RA Capital Management, L.P. (“RA Capital Management”) or any of their affiliates. Lucid and its affiliates may in the future seek to provide investment banking or financial advisory services to Boundless Bio and/or Serapha and/or certain of their respective affiliates and expect to receive fees for the rendering of these services.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Engagement Letter, as of the time the Merger Agreement was approved, if the Merger is consummated, Lucid will be entitled to receive a transaction fee of $1,300,000 payable in cash at the closing of the transaction. Lucid received a $25,000 upfront initial fee and a fee for the Lucid Opinion of $200,000 upon delivery of the Lucid Opinion, that is non-creditable to the $1,300,000 transaction fee and which is not contingent upon consummation of the Merger. Additionally, Boundless Bio has agreed to reimburse Lucid for its out-of-pocket expenses (up to $50,000) and has agreed to indemnify Lucid against certain liabilities, including liabilities under U.S. federal securities laws. The terms of the fee arrangement with Lucid, which are customary in transactions of this nature, were negotiated at arm’s length between Boundless Bio and Lucid, and the Boundless Bio Board of Directors was aware of the arrangement. </w:t>
      </w:r>
    </w:p>
    <w:p>
      <w:pPr>
        <w:pStyle w:val="TextBody"/>
        <w:bidi w:val="0"/>
        <w:spacing w:before="360" w:after="0"/>
        <w:jc w:val="left"/>
        <w:rPr>
          <w:rFonts w:ascii="Times New Roman" w:hAnsi="Times New Roman"/>
          <w:b/>
          <w:sz w:val="20"/>
        </w:rPr>
      </w:pPr>
      <w:bookmarkStart w:id="17" w:name="tx108148_603"/>
      <w:bookmarkEnd w:id="17"/>
      <w:r>
        <w:rPr>
          <w:rFonts w:ascii="Times New Roman" w:hAnsi="Times New Roman"/>
          <w:b/>
          <w:sz w:val="20"/>
        </w:rPr>
        <w:t xml:space="preserve">Interests of Boundless Bio’s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Boundless Bio Board of Directors with respect to approving the Nasdaq Stock Issuance Proposal, Nasdaq Reverse Split Proposal, Authorized Share Increase Proposal, Stock Plan Proposal, ESPP Proposal and Adjournment Proposal, stockholders should be aware that Boundless Bio’s current directors and officers and certain former directors and executive officers who were directors and officers at the time of entry to the Merger Agreement have interests in the Merger that are different from, or in addition to, the interests of Boundless Bio’s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Board of Directors was aware of these potential conflicts of interest and considered them, among other matters, in reaching its decision to approve the Merger Agreement and the Merger, and to recommend that Boundless Bio’s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 xml:space="preserve">Certain material payments to the current and/or former executives of Boundless Bio are factored into the calculation of Boundless Bio Net Cash as deductions, including any bonus, retention payments, severance, change in control payments or similar payment obligations (including payments with “single trigger” provisions triggered at and as of the consummation of the transactions contemplated hereby) that are due or payable to any director, officer, employee or consultant as a result of the consummation of the Contemplated Transactions or any Boundless Bio Legacy Transaction, together with any payroll taxes associated therewith. The amount of the Boundless Bio Pre-Closing Dividend payable to Boundless Bio stockholders is directly affected by the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made to Boundless Bio current and/or former executives at Closing. Any increase in such payments will reduce Boundless Bio Net Cash and, accordingly, reduce the aggregate amount of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As of August 21, 2026, Boundless Bio’s current non-employee directors and executive officers beneficially owned, in the aggregate, approximately 2.85% of the shares of Boundless Bio Common Stock, which for purposes of this subsection excludes any shares of Boundless Bio Common Stock issuable upon exercise of Boundless Bio Options held by such individuals.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Boundless Bio Options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Boundless Bio Options held as of August 21, 2026 by each of the individuals who are, or were at any point during the 2025 fiscal year, Boundless Bio’s executive officers and Boundless Bio’s non-employee directors. The number of shares of Boundless Bio Common Stock underlying such Boundless Bio Options and the applicable exercise prices of such Boundless Bio Options will be adjusted appropriately to reflect the Nasdaq Reverse Split and the Boundless Bio Pre-Closing Dividend. As noted above, all Boundless Bio Options became fully vested and exercisable immediately on the date of the signing of the Merger Agreement.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12"/>
        <w:gridCol w:w="456"/>
        <w:gridCol w:w="164"/>
        <w:gridCol w:w="2729"/>
        <w:gridCol w:w="60"/>
        <w:gridCol w:w="456"/>
        <w:gridCol w:w="682"/>
        <w:gridCol w:w="2765"/>
        <w:gridCol w:w="64"/>
      </w:tblGrid>
      <w:tr>
        <w:trPr/>
        <w:tc>
          <w:tcPr>
            <w:tcW w:w="2012"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456" w:type="dxa"/>
            <w:tcBorders/>
            <w:vAlign w:val="bottom"/>
          </w:tcPr>
          <w:p>
            <w:pPr>
              <w:pStyle w:val="TableContents"/>
              <w:bidi w:val="0"/>
              <w:spacing w:before="0" w:after="283"/>
              <w:jc w:val="left"/>
              <w:rPr/>
            </w:pPr>
            <w:r>
              <w:rPr/>
              <w:t>  </w:t>
            </w:r>
          </w:p>
        </w:tc>
        <w:tc>
          <w:tcPr>
            <w:tcW w:w="2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 Held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3447"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 Exercise Price</w:t>
            </w:r>
            <w:r>
              <w:rPr/>
              <w:br/>
            </w:r>
            <w:r>
              <w:rPr>
                <w:b/>
              </w:rPr>
              <w:t>of Options ($)</w:t>
            </w:r>
          </w:p>
        </w:tc>
        <w:tc>
          <w:tcPr>
            <w:tcW w:w="64"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45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7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276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Zachary D. Hornby(1)</w:t>
            </w:r>
          </w:p>
        </w:tc>
        <w:tc>
          <w:tcPr>
            <w:tcW w:w="45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right"/>
              <w:rPr/>
            </w:pPr>
            <w:r>
              <w:rPr/>
              <w:t>1,970,447</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2765" w:type="dxa"/>
            <w:tcBorders/>
            <w:vAlign w:val="bottom"/>
          </w:tcPr>
          <w:p>
            <w:pPr>
              <w:pStyle w:val="TableContents"/>
              <w:bidi w:val="0"/>
              <w:spacing w:before="0" w:after="283"/>
              <w:jc w:val="right"/>
              <w:rPr/>
            </w:pPr>
            <w:r>
              <w:rPr/>
              <w:t>2.92</w:t>
            </w:r>
          </w:p>
        </w:tc>
        <w:tc>
          <w:tcPr>
            <w:tcW w:w="64"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Abdollahian(2)</w:t>
            </w:r>
          </w:p>
        </w:tc>
        <w:tc>
          <w:tcPr>
            <w:tcW w:w="45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7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276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Robert Doebele, M.D., Ph.D. (1)</w:t>
            </w:r>
          </w:p>
        </w:tc>
        <w:tc>
          <w:tcPr>
            <w:tcW w:w="45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right"/>
              <w:rPr/>
            </w:pPr>
            <w:r>
              <w:rPr/>
              <w:t>410,000</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2765" w:type="dxa"/>
            <w:tcBorders/>
            <w:vAlign w:val="bottom"/>
          </w:tcPr>
          <w:p>
            <w:pPr>
              <w:pStyle w:val="TableContents"/>
              <w:bidi w:val="0"/>
              <w:spacing w:before="0" w:after="283"/>
              <w:jc w:val="right"/>
              <w:rPr/>
            </w:pPr>
            <w:r>
              <w:rPr/>
              <w:t>1.69</w:t>
            </w:r>
          </w:p>
        </w:tc>
        <w:tc>
          <w:tcPr>
            <w:tcW w:w="64"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Christian Hassig, Ph.D. (1)</w:t>
            </w:r>
          </w:p>
        </w:tc>
        <w:tc>
          <w:tcPr>
            <w:tcW w:w="45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729" w:type="dxa"/>
            <w:tcBorders/>
            <w:shd w:fill="CCEEFF" w:val="clear"/>
            <w:vAlign w:val="bottom"/>
          </w:tcPr>
          <w:p>
            <w:pPr>
              <w:pStyle w:val="TableContents"/>
              <w:bidi w:val="0"/>
              <w:spacing w:before="0" w:after="283"/>
              <w:jc w:val="right"/>
              <w:rPr/>
            </w:pPr>
            <w:r>
              <w:rPr/>
              <w:t>656,282</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2765" w:type="dxa"/>
            <w:tcBorders/>
            <w:shd w:fill="CCEEFF" w:val="clear"/>
            <w:vAlign w:val="bottom"/>
          </w:tcPr>
          <w:p>
            <w:pPr>
              <w:pStyle w:val="TableContents"/>
              <w:bidi w:val="0"/>
              <w:spacing w:before="0" w:after="283"/>
              <w:jc w:val="right"/>
              <w:rPr/>
            </w:pPr>
            <w:r>
              <w:rPr/>
              <w:t>2.58</w:t>
            </w:r>
          </w:p>
        </w:tc>
        <w:tc>
          <w:tcPr>
            <w:tcW w:w="64"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David Hinkle</w:t>
            </w:r>
          </w:p>
        </w:tc>
        <w:tc>
          <w:tcPr>
            <w:tcW w:w="45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right"/>
              <w:rPr/>
            </w:pPr>
            <w:r>
              <w:rPr/>
              <w:t>319,160</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2765" w:type="dxa"/>
            <w:tcBorders/>
            <w:vAlign w:val="bottom"/>
          </w:tcPr>
          <w:p>
            <w:pPr>
              <w:pStyle w:val="TableContents"/>
              <w:bidi w:val="0"/>
              <w:spacing w:before="0" w:after="283"/>
              <w:jc w:val="right"/>
              <w:rPr/>
            </w:pPr>
            <w:r>
              <w:rPr/>
              <w:t>2.35</w:t>
            </w:r>
          </w:p>
        </w:tc>
        <w:tc>
          <w:tcPr>
            <w:tcW w:w="64"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Jessica Oien, J.D.</w:t>
            </w:r>
          </w:p>
        </w:tc>
        <w:tc>
          <w:tcPr>
            <w:tcW w:w="45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729" w:type="dxa"/>
            <w:tcBorders/>
            <w:shd w:fill="CCEEFF" w:val="clear"/>
            <w:vAlign w:val="bottom"/>
          </w:tcPr>
          <w:p>
            <w:pPr>
              <w:pStyle w:val="TableContents"/>
              <w:bidi w:val="0"/>
              <w:spacing w:before="0" w:after="283"/>
              <w:jc w:val="right"/>
              <w:rPr/>
            </w:pPr>
            <w:r>
              <w:rPr/>
              <w:t>501,669</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2765" w:type="dxa"/>
            <w:tcBorders/>
            <w:shd w:fill="CCEEFF" w:val="clear"/>
            <w:vAlign w:val="bottom"/>
          </w:tcPr>
          <w:p>
            <w:pPr>
              <w:pStyle w:val="TableContents"/>
              <w:bidi w:val="0"/>
              <w:spacing w:before="0" w:after="283"/>
              <w:jc w:val="right"/>
              <w:rPr/>
            </w:pPr>
            <w:r>
              <w:rPr/>
              <w:t>2.37</w:t>
            </w:r>
          </w:p>
        </w:tc>
        <w:tc>
          <w:tcPr>
            <w:tcW w:w="64"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45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27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sz w:val="4"/>
                <w:szCs w:val="4"/>
              </w:rPr>
            </w:pPr>
            <w:r>
              <w:rPr>
                <w:sz w:val="4"/>
                <w:szCs w:val="4"/>
              </w:rPr>
            </w:r>
          </w:p>
        </w:tc>
        <w:tc>
          <w:tcPr>
            <w:tcW w:w="27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E. Lim, M.D.</w:t>
            </w:r>
          </w:p>
        </w:tc>
        <w:tc>
          <w:tcPr>
            <w:tcW w:w="45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729" w:type="dxa"/>
            <w:tcBorders/>
            <w:shd w:fill="CCEEFF" w:val="clear"/>
            <w:vAlign w:val="bottom"/>
          </w:tcPr>
          <w:p>
            <w:pPr>
              <w:pStyle w:val="TableContents"/>
              <w:bidi w:val="0"/>
              <w:spacing w:before="0" w:after="283"/>
              <w:jc w:val="right"/>
              <w:rPr/>
            </w:pPr>
            <w:r>
              <w:rPr/>
              <w:t>133,366</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2765" w:type="dxa"/>
            <w:tcBorders/>
            <w:shd w:fill="CCEEFF" w:val="clear"/>
            <w:vAlign w:val="bottom"/>
          </w:tcPr>
          <w:p>
            <w:pPr>
              <w:pStyle w:val="TableContents"/>
              <w:bidi w:val="0"/>
              <w:spacing w:before="0" w:after="283"/>
              <w:jc w:val="right"/>
              <w:rPr/>
            </w:pPr>
            <w:r>
              <w:rPr/>
              <w:t>4.25</w:t>
            </w:r>
          </w:p>
        </w:tc>
        <w:tc>
          <w:tcPr>
            <w:tcW w:w="64"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Christine Brennan, Ph.D.(3)</w:t>
            </w:r>
          </w:p>
        </w:tc>
        <w:tc>
          <w:tcPr>
            <w:tcW w:w="45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276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Kristina Burow(4)</w:t>
            </w:r>
          </w:p>
        </w:tc>
        <w:tc>
          <w:tcPr>
            <w:tcW w:w="45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729" w:type="dxa"/>
            <w:tcBorders/>
            <w:shd w:fill="CCEEFF" w:val="clear"/>
            <w:vAlign w:val="bottom"/>
          </w:tcPr>
          <w:p>
            <w:pPr>
              <w:pStyle w:val="TableContents"/>
              <w:bidi w:val="0"/>
              <w:spacing w:before="0" w:after="283"/>
              <w:jc w:val="right"/>
              <w:rPr/>
            </w:pPr>
            <w:r>
              <w:rPr/>
              <w:t>26,438</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2765" w:type="dxa"/>
            <w:tcBorders/>
            <w:shd w:fill="CCEEFF" w:val="clear"/>
            <w:vAlign w:val="bottom"/>
          </w:tcPr>
          <w:p>
            <w:pPr>
              <w:pStyle w:val="TableContents"/>
              <w:bidi w:val="0"/>
              <w:spacing w:before="0" w:after="283"/>
              <w:jc w:val="right"/>
              <w:rPr/>
            </w:pPr>
            <w:r>
              <w:rPr/>
              <w:t>16.00</w:t>
            </w:r>
          </w:p>
        </w:tc>
        <w:tc>
          <w:tcPr>
            <w:tcW w:w="64"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James Christensen, Ph.D.</w:t>
            </w:r>
          </w:p>
        </w:tc>
        <w:tc>
          <w:tcPr>
            <w:tcW w:w="45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right"/>
              <w:rPr/>
            </w:pPr>
            <w:r>
              <w:rPr/>
              <w:t>102,756</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2765" w:type="dxa"/>
            <w:tcBorders/>
            <w:vAlign w:val="bottom"/>
          </w:tcPr>
          <w:p>
            <w:pPr>
              <w:pStyle w:val="TableContents"/>
              <w:bidi w:val="0"/>
              <w:spacing w:before="0" w:after="283"/>
              <w:jc w:val="right"/>
              <w:rPr/>
            </w:pPr>
            <w:r>
              <w:rPr/>
              <w:t>4.97</w:t>
            </w:r>
          </w:p>
        </w:tc>
        <w:tc>
          <w:tcPr>
            <w:tcW w:w="64"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Lew</w:t>
            </w:r>
          </w:p>
        </w:tc>
        <w:tc>
          <w:tcPr>
            <w:tcW w:w="45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729" w:type="dxa"/>
            <w:tcBorders/>
            <w:shd w:fill="CCEEFF" w:val="clear"/>
            <w:vAlign w:val="bottom"/>
          </w:tcPr>
          <w:p>
            <w:pPr>
              <w:pStyle w:val="TableContents"/>
              <w:bidi w:val="0"/>
              <w:spacing w:before="0" w:after="283"/>
              <w:jc w:val="right"/>
              <w:rPr/>
            </w:pPr>
            <w:r>
              <w:rPr/>
              <w:t>102,756</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2765" w:type="dxa"/>
            <w:tcBorders/>
            <w:shd w:fill="CCEEFF" w:val="clear"/>
            <w:vAlign w:val="bottom"/>
          </w:tcPr>
          <w:p>
            <w:pPr>
              <w:pStyle w:val="TableContents"/>
              <w:bidi w:val="0"/>
              <w:spacing w:before="0" w:after="283"/>
              <w:jc w:val="right"/>
              <w:rPr/>
            </w:pPr>
            <w:r>
              <w:rPr/>
              <w:t>4.86</w:t>
            </w:r>
          </w:p>
        </w:tc>
        <w:tc>
          <w:tcPr>
            <w:tcW w:w="64"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Nancy Whiting, Pharm.D.</w:t>
            </w:r>
          </w:p>
        </w:tc>
        <w:tc>
          <w:tcPr>
            <w:tcW w:w="45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right"/>
              <w:rPr/>
            </w:pPr>
            <w:r>
              <w:rPr/>
              <w:t>102,756</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2765" w:type="dxa"/>
            <w:tcBorders/>
            <w:vAlign w:val="bottom"/>
          </w:tcPr>
          <w:p>
            <w:pPr>
              <w:pStyle w:val="TableContents"/>
              <w:bidi w:val="0"/>
              <w:spacing w:before="0" w:after="283"/>
              <w:jc w:val="right"/>
              <w:rPr/>
            </w:pPr>
            <w:r>
              <w:rPr/>
              <w:t>4.97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Hornby and Drs. Doebele and Hassig’s employment with Boundless Bio terminated effective July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Abdollahian’s employment with Boundless Bio terminated effective January 10,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Brennan resigned from the Boundless Bio Board of Directors effective March 3,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Burow did not stand for re-election at the 2026 annual meeting of Boundless Bio’s stockholders and ceased to serve on the Boundless Bio Board of Directors effective June 15,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Separation Agreements and Consulting Agreements with Zachary D. Hornby, Robert Doebele, M.D., Ph.D. and Christian Hassig, Ph.D. </w:t>
      </w:r>
    </w:p>
    <w:p>
      <w:pPr>
        <w:pStyle w:val="TextBody"/>
        <w:bidi w:val="0"/>
        <w:spacing w:before="120" w:after="0"/>
        <w:jc w:val="left"/>
        <w:rPr>
          <w:rFonts w:ascii="Times New Roman" w:hAnsi="Times New Roman"/>
          <w:sz w:val="20"/>
        </w:rPr>
      </w:pPr>
      <w:r>
        <w:rPr>
          <w:rFonts w:ascii="Times New Roman" w:hAnsi="Times New Roman"/>
          <w:sz w:val="20"/>
        </w:rPr>
        <w:t xml:space="preserve">Effective July 1, 2026, Zachary D. Hornby ceased serving as Boundless Bio’s President and Chief Executive Officer, Robert Doebele, M.D., Ph.D. ceased serving as Boundless Bio’s Chief Medical Officer, and Christian Hassig, Ph.D. ceased serving as Boundless Bio’s Chief Scientific Officer. In connection with their departures, each of Mr. Hornby and Drs. Doebele and Hassig entered into a separation agreement with Boundless Bio (the “Boundless Bio Separation Agreements”). Subject to Mr. Hornby and Drs. Doebele and Hassig’s execution and non-revocation of a release of claims and continued compliance with post-termination obligations, the Boundless Bio Separation Agreements provide for the following severance benefits: (i) a lump sum cash severance payment in an amount representing nine months’ (twelve months’ for Mr. Hornby) base salary, (ii) subject to and conditioned upon the occurrence of the Merger, an additional true-up severance payment in an amount representing twelve months’ (eighteen months’ for Mr. Hornby) base salary plus 1.0 times (1.5 times for Mr. Hornby) their respective target bonuses for 2026 less the amount of cash severance previously paid, payable in a lump sum upon the closing of the Merger, and (iii) up to nine months (twelve months for Mr. Hornby) of COBRA premium payments (increased to twelve months (eighteen months for Mr. Hornby) in the event of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effective July 2, 2026, each of Mr. Hornby and Drs. Doebele and Hassig entered into a consulting agreement with Boundless Bio, pursuant to which they will provide limited transitional services to Boundless Bio.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Offer Letters with Jessica Oien, J.D. and David Hinkle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effective July 1, 2026, each of Jessica Oien and David Hinkle entered into an amended and restated offer letter with Boundless Bio, which governs the terms of their employment with Boundless Bio as its Chief Legal Officer, Corporate Secretary and “principal executive officer” and its Senior Vice President, Finance, Controller, Treasurer, and “principal financial and accounting officer”, respectively (the “A&amp;R Offer Letters”). The A&amp;R Offer Letters provide for, among others, the following additional compensation: (i) in addition to receiving their current base salaries ($480,000 for Ms. Oien and $394,400 for Mr. Hinkle), additional monthly compensation of $50,000 for Ms. Oien and $25,000 for Mr. Hinkle, (ii) a transaction bonus accruing in the amount of $50,000 for Ms. Oien and $25,000 for Mr. Hinkle for each month of employment following July 1, 2026 (provided, that, the transaction bonuses will be capped at $500,000 for Ms. Oien and $250,000 for Mr. Hinkle) (each, a “Transaction Bonus”), and (iii) for Ms. Oien, an additional one-time bonus of $50,000 in the event the Merger Agreement is terminated and Boundless Bio enters into a binding term sheet with a new counterparty to effectuate a similar transaction. The Transaction Bonuses will be payable to Ms. Oien and Mr. Hinkle upon the closing of the Merger, or, if earlier, upon a termination of their employment by Boundless Bio without “cause”, their resignation for “good reason,” or their death or “disability” (as such terms are defined below). Neither Ms. Oien nor Mr. Hinkle will be eligible to earn any annual performance bonus for 2026 or thereafter.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Ms. Oien and Mr. Hinkle remain entitled to their existing severance benefits under Boundless Bio’s Severance and Change in Control Severance Plan, which severance benefits will be paid upon the closing of the Merger, or if earlier, upon certain qualifying terminations or employment, as modified by the terms of the A&amp;R Offer Letters. Upon the closing of a “change in control” (as defined below), Ms. Oien and Mr. Hinkle’s employment with Boundless Bio will automatically terminate and they will be entitled to the following severance payments and benefits: (i) a cash severance payment in an amount representing twelve months’ base salary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times their respective target bonuses for 2026, (ii) twelve months of COBRA premium payments plus a tax gross-up amount to cover any federal and state income and employment taxes arising therefrom, and (iii) any accrued Transaction Bonus through the date of termination, in each case, payable in a lump sum no later than the date of the closing of the change in control. In the event that Ms. Oien or Mr. Hinkle’s employment with Boundless Bio terminates as a result of Boundless Bio’s termination of their employment without cause or their resignation for good reason, in either case, prior to the occurrence of a change in control, they will be entitled to the following severance payments and benefits: (i) a cash severance payment in an amount representing nine months’ base salary, (ii) subject to and conditioned upon the occurrence of a change in control on or prior to March 15 of the calendar year following the calendar year in which their termination date occurs (a “Qualifying CIC”), an additional true-up severance payment in an amount representing twelve months’ base salary plus 1.0 times their respective target bonuses for 2026 less the amount of cash severance previously paid, (iii) nine months of COBRA premium payments (increased to twelve months in the event of a Qualifying CIC) plus a tax gross-up amount to cover any federal and state income and employment taxes arising therefrom, and (iv) any accrued Transaction Bonus through the date of termination, in each case, payable in a lump sum. Ms. Oien and Mr. Hinkle’s eligibility to receive the severance benefits described in this paragraph are subject to their execution and non-revocation of a release of claims and continued compliance with post-termination obligations. Ms. Oien and Mr. Hinkle are also eligible for outplacement services valued at up to $3,000 each.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“cause” means any of the following: (i) their commission of an act of fraud, embezzlement, or dishonesty, or the commission of some other illegal act by them, that has a demonstrable adverse impact on Boundless Bio or on any of its successors or affiliates; (ii) their conviction of, or plea of “guilty” or “no contest” to, a felony or any crime involving fraud, dishonesty, or moral turpitude under the laws of the United States or any state thereof; (iii) any intentional, unauthorized use or disclosure by them of Boundless Bio’s confidential information or trade secrets or those of any of its successors or affiliates; (iv) their gross negligence, insubordination, or material violation of any duty of loyalty to Boundless Bio or to any of its successors or affiliates, or any other demonstrable material misconduct on their part; (v) their ongoing and repeated failure or refusal to perform or neglect of their duties as required by any offer or employment letter with Boundless Bio or their ongoing and repeated failure or refusal to comply with the lawful instructions given to them by Boundless Bio’s chief executive officer or, with respect to the chief executive officer, the Boundless Bio Board of Directors, which failure, refusal, or neglect continues for 15 days following receipt of written notice from the Boundless Bio Board of Directors stating with specificity the nature of such failure, refusal, or neglect; or (vi) their willful, material breach of any of Boundless Bio’s policies or any material provision of any offer or employment letter or any confidential information agreement, proprietary information and inventions agreement. Prior to the determination that “cause” under clauses (iv), (v) or (vi) has occurred, Boundless Bio shall (A) provide to them in writing, in reasonable detail, the reasons for the determination that such “cause” exists, (B) afford them a reasonable opportunity to remedy any such conditions, if capable of being cured, (C) provide them an opportunity to be heard prior to the final decision to terminate their employment hereunder for such “cause” and (D) make any decision that such “cause” exists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“change in control” has the meaning set forth in the Boundless Bio 2024 Plan.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“disability” means total and permanent disability as defined in Section 22(e)(3) of the Code.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“good reason” means the occurrence of any of the following events or conditions without their written consent: (i) a material diminution in their authority, duties, or responsibilities; (ii) a material diminution in their base compensation, unless such a reduction is imposed across-the-board to all Boundless Bio senior management; (iii) a material change in the geographic location at which they must perform their duties from the location that was designated as their primary location immediately prior to such change (they and Boundless Bio agree that a change of more than 35 miles shall be material for this purpose); or (iv) any other action or inaction that constitutes a material breach by Boundless Bio or by any of its successors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affiliates of its obligations to them under any agreement between them and Boundless Bio or any of its affiliates. They must provide written notice to Boundless Bio of the occurrence of any of the foregoing events or conditions without their written consent within 60 days of the occurrence of such event. Boundless Bio or any of its successors or affiliates shall have a period of 30 days to cure such event or condition after receipt of written notice of such event. Their termination of employment by reason of resignation from employment with Boundless Bio for “good reason” must occur within 30 days following the expiration of the foregoing 30-day cure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Prior to the Effective Time, the Boundless Bio Board of Directors expects to declare the Boundless Bio Pre-Closing Dividend to holders of record of shares of Boundless Bio Common Stock outstanding prior to the Effective Time equal in the aggregate to Boundless Bio’s reasonable, good faith approximation of the amount by which Boundless Bio Net Cash will exceed $0 as of the Closing, and any of Boundless Bio’s directors and executive officers that are also Boundless Bio stockholders will share in any such Boundless Bio Pre-Closing Dividend proportionally to their ownership of Boundless Bio Common Stock as of that record date (please see the section titled “</w:t>
      </w:r>
      <w:r>
        <w:rPr>
          <w:rFonts w:ascii="Times New Roman" w:hAnsi="Times New Roman"/>
          <w:i/>
          <w:sz w:val="20"/>
        </w:rPr>
        <w:t>Principal Stockholders of Boundless Bio</w:t>
      </w:r>
      <w:r>
        <w:rPr>
          <w:rFonts w:ascii="Times New Roman" w:hAnsi="Times New Roman"/>
          <w:sz w:val="20"/>
        </w:rPr>
        <w:t xml:space="preserve">” beginning on page 382 of this proxy statement/prospectus for additional information regarding Boundless Bio’s directors’ and officers’ holdings of Boundless Bio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Boundless Bio Charter and the Boundless Bio Bylaws, Boundless Bio has entered into indemnification agreements with each of its directors and officers. These agreements provide for the indemnification of Boundless Bio’s directors and executive officers and, at times, their affiliates to the fullest extent permitted by Delaware law. Boundless Bio will advance expenses, including attorney’s fees, incurred in connection with any action or proceeding brought against Boundless Bio’s directors and executive officers arising from that person’s services as a director or officer brought on behalf of Boundless Bio or in furtherance of Boundless Bio’s rights, and certain of Boundless Bio’s directors or officers may have certain rights to advancement of expenses or insurance provided by their affiliates or other third parties, which indemnification relates to and might apply to the same proceedings arising out of such director’s or executive officer’s services to Boundless Bio. Boundless Bio believes that these provisions in the Boundless Bio Charter and the Boundless Bio Bylaws and the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bookmarkStart w:id="18" w:name="tx108148_651"/>
      <w:bookmarkStart w:id="19" w:name="tx108148_604"/>
      <w:bookmarkEnd w:id="18"/>
      <w:bookmarkEnd w:id="19"/>
      <w:r>
        <w:rPr>
          <w:rFonts w:ascii="Times New Roman" w:hAnsi="Times New Roman"/>
          <w:b/>
          <w:sz w:val="20"/>
        </w:rPr>
        <w:t xml:space="preserve">Interests of Serapha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Serapha Board of Directors with respect to approving the Nasdaq Stock Issuance Proposal, Nasdaq Reverse Split Proposal, Authorized Share Increase Proposal, Stock Plan Proposal, ESPP Proposal and Adjournment Proposal, stockholders should be aware that Serapha’s directors and executive officers have interests in the Merger that are different from, or in addition to, the interests of Serapha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Serapha Board of Directors was aware of these potential conflicts of interest and considered them, among other matters, in reaching its decision to approve the Merger Agreement and the Merger, and to recommend that Serapha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 xml:space="preserve">As of July 31, 2026, Serapha’s current non-employee directors and executive officers beneficially owned, in the aggregate, approximately 40.8% of the shares of Serapha Capital Stock, which for purposes of this subsection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excludes any shares of Serapha Common Stock issuable upon exercise or settlement of Serapha Options and Serapha RSUs held by such individuals. Each of Serapha’s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RTW Investments, an affiliate of Piratip Pratumsuwan and Paul Lu, each a Serapha director, RA Capital Management, an affiliate of Laura Tadvalkar and Matthew Hammond, each a Serapha director, and Decheng Capital, an affiliate of Victor Tong, a Serapha director, also currently hold shares of Serapha Capital Stock. The table below sets forth the ownership of Serapha Capital Stock by RTW Investments, RA Capital Management and Decheng Capital as of July 31, 2026. RTW Investments, RA Capital Management and Decheng Capital have also agreed to purchase shares of Serapha Common Stock and Serapha Pre-Funded Warrants in the Serapha Pre-Closing Financing. For a more detailed discussion of these relationships, please see the section titled “</w:t>
      </w:r>
      <w:r>
        <w:rPr>
          <w:rFonts w:ascii="Times New Roman" w:hAnsi="Times New Roman"/>
          <w:i/>
          <w:sz w:val="20"/>
        </w:rPr>
        <w:t>Certain Relationships and Related Party Transactions of the Combined Company — Serapha Transactions</w:t>
      </w:r>
      <w:r>
        <w:rPr>
          <w:rFonts w:ascii="Times New Roman" w:hAnsi="Times New Roman"/>
          <w:sz w:val="20"/>
        </w:rPr>
        <w:t xml:space="preserve">” beginning on page 349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68"/>
        <w:gridCol w:w="378"/>
        <w:gridCol w:w="72"/>
        <w:gridCol w:w="1463"/>
        <w:gridCol w:w="358"/>
      </w:tblGrid>
      <w:tr>
        <w:trPr/>
        <w:tc>
          <w:tcPr>
            <w:tcW w:w="4668"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6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378"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Capital Stock</w:t>
            </w:r>
            <w:r>
              <w:rPr/>
              <w:br/>
            </w:r>
            <w:r>
              <w:rPr>
                <w:b/>
              </w:rPr>
              <w:t>Held</w:t>
            </w:r>
          </w:p>
        </w:tc>
        <w:tc>
          <w:tcPr>
            <w:tcW w:w="358" w:type="dxa"/>
            <w:tcBorders/>
            <w:vAlign w:val="bottom"/>
          </w:tcPr>
          <w:p>
            <w:pPr>
              <w:pStyle w:val="TableContents"/>
              <w:bidi w:val="0"/>
              <w:spacing w:before="0" w:after="283"/>
              <w:jc w:val="left"/>
              <w:rPr/>
            </w:pPr>
            <w:r>
              <w:rPr/>
              <w:t> </w:t>
            </w:r>
          </w:p>
        </w:tc>
      </w:tr>
      <w:tr>
        <w:trPr/>
        <w:tc>
          <w:tcPr>
            <w:tcW w:w="4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RTW Holdings X, LLC</w:t>
            </w:r>
          </w:p>
        </w:tc>
        <w:tc>
          <w:tcPr>
            <w:tcW w:w="37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10,767,111</w:t>
            </w:r>
          </w:p>
        </w:tc>
        <w:tc>
          <w:tcPr>
            <w:tcW w:w="358" w:type="dxa"/>
            <w:tcBorders/>
            <w:shd w:fill="CCEEFF" w:val="clear"/>
            <w:vAlign w:val="bottom"/>
          </w:tcPr>
          <w:p>
            <w:pPr>
              <w:pStyle w:val="TableContents"/>
              <w:bidi w:val="0"/>
              <w:spacing w:before="0" w:after="283"/>
              <w:jc w:val="left"/>
              <w:rPr/>
            </w:pPr>
            <w:r>
              <w:rPr/>
              <w:t>(1) </w:t>
            </w:r>
          </w:p>
        </w:tc>
      </w:tr>
      <w:tr>
        <w:trPr/>
        <w:tc>
          <w:tcPr>
            <w:tcW w:w="466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w:t>
            </w:r>
          </w:p>
        </w:tc>
        <w:tc>
          <w:tcPr>
            <w:tcW w:w="37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9,862,867</w:t>
            </w:r>
          </w:p>
        </w:tc>
        <w:tc>
          <w:tcPr>
            <w:tcW w:w="358" w:type="dxa"/>
            <w:tcBorders/>
            <w:vAlign w:val="bottom"/>
          </w:tcPr>
          <w:p>
            <w:pPr>
              <w:pStyle w:val="TableContents"/>
              <w:bidi w:val="0"/>
              <w:spacing w:before="0" w:after="283"/>
              <w:jc w:val="left"/>
              <w:rPr/>
            </w:pPr>
            <w:r>
              <w:rPr/>
              <w:t>(2) </w:t>
            </w:r>
          </w:p>
        </w:tc>
      </w:tr>
      <w:tr>
        <w:trPr/>
        <w:tc>
          <w:tcPr>
            <w:tcW w:w="4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w:t>
            </w:r>
          </w:p>
        </w:tc>
        <w:tc>
          <w:tcPr>
            <w:tcW w:w="37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3,333,555</w:t>
            </w:r>
          </w:p>
        </w:tc>
        <w:tc>
          <w:tcPr>
            <w:tcW w:w="358" w:type="dxa"/>
            <w:tcBorders/>
            <w:shd w:fill="CCEEFF" w:val="clear"/>
            <w:vAlign w:val="bottom"/>
          </w:tcPr>
          <w:p>
            <w:pPr>
              <w:pStyle w:val="TableContents"/>
              <w:bidi w:val="0"/>
              <w:spacing w:before="0" w:after="283"/>
              <w:jc w:val="left"/>
              <w:rPr/>
            </w:pPr>
            <w:r>
              <w:rPr/>
              <w:t>(3)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4,100,000 shares of Serapha Common Stock and 6,667,111 shares of Serapha Preferred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1,862,334 shares of Serapha Common Stock and 8,000,533 shares of Serapha Preferred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3,333,555 shares of Serapha Preferred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Serapha Options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outstanding and unexercised Serapha Option will be converted into a Boundless Bio Option on the existing terms and conditions, with necessary adjustments to reflect the Exchange Ratio. Boundless Bio will assume the Serapha Equity Incentive Plan and each such outstanding Serapha Option in accordance with the terms (as in effect as of the date of the Merger Agreement) of the Serapha Equity Incentive Plan and the terms of the stock option agreement by which such Serapha Option is evidenced. In connection with the Merger, Boundless Bio will change its corporate name to “Serapha Bio, Inc.” and all Serapha Options it assumed in the Merger will be options to purchase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Serapha Options held as of     , 2026 by each of Serapha’s current executive officers. The number of shares of common stock underlying such options and the exercise price will be adjusted appropriately to reflect the Exchange Ratio.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94"/>
        <w:gridCol w:w="391"/>
        <w:gridCol w:w="565"/>
        <w:gridCol w:w="565"/>
        <w:gridCol w:w="60"/>
        <w:gridCol w:w="391"/>
        <w:gridCol w:w="170"/>
        <w:gridCol w:w="984"/>
        <w:gridCol w:w="60"/>
        <w:gridCol w:w="391"/>
        <w:gridCol w:w="857"/>
        <w:gridCol w:w="857"/>
        <w:gridCol w:w="60"/>
        <w:gridCol w:w="391"/>
        <w:gridCol w:w="217"/>
        <w:gridCol w:w="1267"/>
        <w:gridCol w:w="68"/>
      </w:tblGrid>
      <w:tr>
        <w:trPr/>
        <w:tc>
          <w:tcPr>
            <w:tcW w:w="2094"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0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9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Vested</w:t>
            </w:r>
            <w:r>
              <w:rPr/>
              <w:br/>
            </w:r>
            <w:r>
              <w:rPr>
                <w:b/>
              </w:rPr>
              <w:t>Options</w:t>
            </w:r>
            <w:r>
              <w:rPr/>
              <w:br/>
            </w:r>
            <w:r>
              <w:rPr>
                <w:b/>
              </w:rPr>
              <w:t>Held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br/>
              <w:t>of Vested</w:t>
              <w:br/>
              <w:t>Options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Options Held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br/>
              <w:t>of Unvested</w:t>
              <w:br/>
              <w:t>Options ($)</w:t>
            </w:r>
          </w:p>
        </w:tc>
        <w:tc>
          <w:tcPr>
            <w:tcW w:w="68" w:type="dxa"/>
            <w:tcBorders/>
            <w:vAlign w:val="bottom"/>
          </w:tcPr>
          <w:p>
            <w:pPr>
              <w:pStyle w:val="TableContents"/>
              <w:bidi w:val="0"/>
              <w:spacing w:before="0" w:after="283"/>
              <w:jc w:val="left"/>
              <w:rPr/>
            </w:pPr>
            <w:r>
              <w:rPr/>
              <w:t> </w:t>
            </w:r>
          </w:p>
        </w:tc>
      </w:tr>
      <w:tr>
        <w:trPr/>
        <w:tc>
          <w:tcPr>
            <w:tcW w:w="20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39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6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094" w:type="dxa"/>
            <w:tcBorders/>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6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094" w:type="dxa"/>
            <w:tcBorders/>
            <w:shd w:fill="CCEEFF" w:val="clear"/>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094" w:type="dxa"/>
            <w:tcBorders/>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6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094" w:type="dxa"/>
            <w:tcBorders/>
            <w:shd w:fill="CCEEFF" w:val="clear"/>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 RSUs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Serapha RSU will be converted into an Assumed RSU on the existing terms and conditions, with necessary adjustments to reflect the Exchange Ratio. Boundless Bio will assume the Serapha Equity Incentive Plan and each such outstanding Serapha RSU in accordance with the terms (as in effect as of the date of the Merger Agreement) of the Serapha Equity Incentive Plan and the terms of the restricted stock unit agreement by which such Serapha RSU is evidenced. In connection with the Merger, Boundless Bio will change its corporate name to “Serapha Bio, Inc.” and all Serapha RSUs it assumed in the Merger will be restricted stock unit awards covering shares of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Serapha RSUs held as of     , 2026 by each of Serapha’s current executive officers. The number of shares of common stock underlying such restricted stock unit awards will be adjusted appropriately to reflect the Exchange Ratio.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35"/>
        <w:gridCol w:w="729"/>
        <w:gridCol w:w="126"/>
        <w:gridCol w:w="1586"/>
        <w:gridCol w:w="63"/>
      </w:tblGrid>
      <w:tr>
        <w:trPr/>
        <w:tc>
          <w:tcPr>
            <w:tcW w:w="4435" w:type="dxa"/>
            <w:tcBorders/>
            <w:vAlign w:val="center"/>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729"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Restricted Stock</w:t>
              <w:br/>
              <w:t>Units Held (#)</w:t>
            </w:r>
          </w:p>
        </w:tc>
        <w:tc>
          <w:tcPr>
            <w:tcW w:w="63"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72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283"/>
              <w:jc w:val="left"/>
              <w:rPr>
                <w:sz w:val="4"/>
                <w:szCs w:val="4"/>
              </w:rPr>
            </w:pPr>
            <w:r>
              <w:rPr>
                <w:sz w:val="4"/>
                <w:szCs w:val="4"/>
              </w:rPr>
            </w:r>
          </w:p>
        </w:tc>
        <w:tc>
          <w:tcPr>
            <w:tcW w:w="72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283"/>
              <w:jc w:val="left"/>
              <w:rPr>
                <w:sz w:val="4"/>
                <w:szCs w:val="4"/>
              </w:rPr>
            </w:pPr>
            <w:r>
              <w:rPr>
                <w:sz w:val="4"/>
                <w:szCs w:val="4"/>
              </w:rPr>
            </w:r>
          </w:p>
        </w:tc>
        <w:tc>
          <w:tcPr>
            <w:tcW w:w="72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344 of this proxy statement/prospectus, certain of Serapha’s directors and executive officers are expected to become the directors and executive officers of the Combined Company upon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Executive Compensation </w:t>
      </w:r>
    </w:p>
    <w:p>
      <w:pPr>
        <w:pStyle w:val="TextBody"/>
        <w:bidi w:val="0"/>
        <w:spacing w:before="120" w:after="0"/>
        <w:jc w:val="left"/>
        <w:rPr>
          <w:rFonts w:ascii="Times New Roman" w:hAnsi="Times New Roman"/>
          <w:sz w:val="20"/>
        </w:rPr>
      </w:pPr>
      <w:r>
        <w:rPr>
          <w:rFonts w:ascii="Times New Roman" w:hAnsi="Times New Roman"/>
          <w:sz w:val="20"/>
        </w:rPr>
        <w:t>The current compensatory arrangements for the executive officer of Serapha are described in the section captioned “</w:t>
      </w:r>
      <w:r>
        <w:rPr>
          <w:rFonts w:ascii="Times New Roman" w:hAnsi="Times New Roman"/>
          <w:i/>
          <w:sz w:val="20"/>
        </w:rPr>
        <w:t>Serapha Executive Compensation</w:t>
      </w:r>
      <w:r>
        <w:rPr>
          <w:rFonts w:ascii="Times New Roman" w:hAnsi="Times New Roman"/>
          <w:sz w:val="20"/>
        </w:rPr>
        <w:t xml:space="preserve">” beginning on page 227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Liability,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Serapha Charter and the Serapha Bylaws, Serapha has entered into indemnification agreements with each of its directors and officers. These agreements provide for the indemnification of Serapha’s directors and executive officers for reasonable expenses and liabilities incurred in connection with any action or proceeding brought against them by reason of the fact that they are or were agents of Serapha. Serapha believes that the Serapha Charter provisions, Serapha Bylaws provisions and indemnification agreements are necessary to attract and retain qualified persons as directors and officers. </w:t>
      </w:r>
    </w:p>
    <w:p>
      <w:pPr>
        <w:pStyle w:val="TextBody"/>
        <w:bidi w:val="0"/>
        <w:spacing w:before="240" w:after="0"/>
        <w:jc w:val="left"/>
        <w:rPr>
          <w:rFonts w:ascii="Times New Roman" w:hAnsi="Times New Roman"/>
          <w:sz w:val="20"/>
        </w:rPr>
      </w:pPr>
      <w:r>
        <w:rPr>
          <w:rFonts w:ascii="Times New Roman" w:hAnsi="Times New Roman"/>
          <w:sz w:val="20"/>
        </w:rPr>
        <w:t>For a discussion of the indemnification and insurance provisions related to the Serapha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206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Effective Time, Merger Sub will merge with and into Serapha, with Serapha continuing as a wholly owned subsidiary of Boundless Bio and the surviving corporation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(i) each then-outstanding share of Serapha Capital Stock (including any shares of Serapha Capital Stock issued in the Serapha Pre-Closing Financing), excluding any shares of Serapha Capital Stock to be cancelled pursuant to the Merger Agreement, will be converted into the right to receive a number of shares of Boundless Bio Common Stock equal to the Exchange Ratio, (ii) each then-outstanding Serapha Option will be converted into and become an Assumed Option, subject to adjustment in accordance with the Merger Agreement, (iii) each then-outstanding Serapha RSU will be converted into and become an Assumed RSU, subject to adjustment in accordance with the Merger Agreement, and (iv) each then-outstanding and unexercised Serapha Warrant (including any Serapha Pre-Funded Warrants) will be converted into an Assumed Warrant, in each case subject to the terms of the Merger Agreement.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Serapha Capital Stock may designate in writing to Boundless Bio and Serapha, at least 10 business days prior to the Closing, a Beneficial Ownership Limitation of between 0% and 19.99% of the shares of Boundless Bio Common Stock outstanding immediately after giving effect to the issuance of the Merger Consideration. A holder that does not make such a designation will be subject to a Beneficial Ownership Limitation of 9.99%. If the aggregate number of shares of Boundless Bio Common Stock that would otherwise be issued to a holder at the Effective Time, when aggregated with all securities then beneficially owned by such holder and its affiliates (calculated in accordance with Section 13(d) of the Exchange Act and Rule 13d-3 thereunder),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Effective Time, a holder may reset its Beneficial Ownership Limitation to a higher or lower percentage, not to exceed 19.99%, upon written notice to the surviving corporation, except that any increase will not take effect until the 61st day after such notice is delivered. Once a holder changes its Beneficial Ownership Limitation, it may not further change it without again providing the notice required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Boundless Bio Common Stock will be issued in connection with the Merger, and no certificates or scrip for any such fractional shares will be issued. Any fractional shares of Boundless Bio Common Stock resulting from the conversion of shares of Serapha Capital Stock (including any shares of Serapha Capital Stock issued in the Serapha Pre-Closing Financing) shall be issued as follows: (i) one share of Boundless Bio Common Stock if the aggregate amount of fractional shares of Boundless Bio Common Stock such holder of Serapha Capital Stock would otherwise be entitled to is equal to or exceeds 0.50; or (ii) no shares of Boundless Bio Common Stock if the aggregate amount of fractional shares of Boundless Bio Common Stock such holder of Serapha Capital Stock would otherwise be entitled to is less than 0.50,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Serapha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Boundless Bio and Serapha will jointly select an exchange agent and, at the Effective Time, Boundless Bio will deposit with the exchange agent evidence of book-entry shares representing the shares of Boundless Bio Capital Stock issuable pursuant to the terms of the Merger Agreement in exchange for shares of Serapha Capital Stock (including shares of Serapha Capital Stock issued in the Serapha Pre-Closing Financing or the Series A Financing) (excluding any shares to be cancelled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after the Effective Time, Boundless Bio and Serapha will cause the exchange agent to mail to each record holder of Serapha Capital Stock (including shares of Serapha Capital Stock issued in the Serapha Pre-Closing Financing or the Series A Financing (excluding any shares to be cancelled pursuant to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number of whole shares of Boundless Bio Capital Stock issuable to such holder pursuant to the Merger Agreement and any dividends or other distributions payable pursuant to the Merger Agreement. The surrendered certificates representing shares of Serapha Capital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or book-entry share representing Serapha Capital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SERAPHA CAPITAL STOCK SHOULD NOT SEND IN THEIR SERAPHA STOCK CERTIFICATES UNTIL THEY RECEIVE A LETTER OF TRANSMITTAL FROM THE EXCHANGE AGENT WITH INSTRUCTIONS FOR THE SURRENDER OF SERAPHA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Serapha stockholders and the approval by Boundless Bio stockholders of Boundless Bio Stockholder Matters, other than those conditions that by their nature are to be satisfied at the Closing. The Merger will become effective upon the filing of a Certificate of Merger, with the Secretary of State of the State of Delaware or at such later time as is agreed by Boundless Bio and Serapha and specified in the Certificate of Merger. Neither Boundless Bio nor Serapha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Boundless Bio must comply with applicable federal and state securities laws and the rules and regulations of Nasdaq in connection with the issuance of shares of Boundless Bio Common Stock to Serapha’s stockholders in connection with the Contemplated Transactions and the filing of this proxy statement/prospectus with the SEC. Boundless Bio and Serapha have not yet determined whether any filing under the HSR Act or any other antitrust or competition law is required in connection with the Contemplated Transactions, or whether any regulatory approval from antitrust authorities will be required to consummate the transactions. </w:t>
      </w:r>
    </w:p>
    <w:p>
      <w:pPr>
        <w:pStyle w:val="TextBody"/>
        <w:bidi w:val="0"/>
        <w:spacing w:before="360" w:after="0"/>
        <w:jc w:val="left"/>
        <w:rPr>
          <w:rFonts w:ascii="Times New Roman" w:hAnsi="Times New Roman"/>
          <w:b/>
          <w:sz w:val="20"/>
        </w:rPr>
      </w:pPr>
      <w:bookmarkStart w:id="20" w:name="tx108148_706"/>
      <w:bookmarkEnd w:id="20"/>
      <w:r>
        <w:rPr>
          <w:rFonts w:ascii="Times New Roman" w:hAnsi="Times New Roman"/>
          <w:b/>
          <w:sz w:val="20"/>
        </w:rPr>
        <w:t xml:space="preserve">Material 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Merger that are generally applicable to U.S. Holders (as defined below) of Serapha Capital Stock.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Neither Serapha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nor Boundless Bio has sought or will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Serapha Capital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Serapha Capital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Serapha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passthroughs,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Serapha Capital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Serapha Capital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Serapha Capital Stock as “qualified small business stock” within the meaning of Section 1202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Serapha Capital Stock, the tax treatment of a partner in the partnership will depend on the status of the partner, the activities of the partnership, and certain determinations made at the partner level. Accordingly, a partnership holding Serapha Capital Stock and each partner in such partnership are urged to consult their tax advisors regarding the U.S. federal income tax considerations to them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Serapha Capital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assumptions, qualifications and limitations described herein, the Merger is intended to qualify as (1) a “reorganization” within the meaning of Section 368(a) of the Code and/or (2) an exchange of shares of Serapha Capital Stock for Boundless Bio Common Stock under Section 351(a) of the Code. Assuming the Merger so qualifies, a U.S. Holder will not recognize gain or loss upon the exchange of its Serapha Capital Stock for Boundless Bio Common Stock. A U.S. Holder will have the same aggregate basis in its Boundless Bio Common Stock after the Merger as such U.S. Holder had in the corresponding Serapha Capital Stock immediately prior to the Merger. A U.S. Holder’s holding period in the Boundless Bio Common Stock immediately following the Merger will include such U.S. Holder’s holding period in the corresponding Serapha Capital Stock immediately prior to the Merger. If a U.S. Holder holds different blocks of Serapha Capital Stock (generally, Serapha Capital Stock acquired on different dates or at different prices), such U.S. Holder is urged to consult its tax advisor with respect to the determination of the tax bases and/or holding periods of the shares of Boundless Bio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is urged to consult its tax advisor regarding the U.S. federal income tax considerations of the Merger in light of its personal circumstances and the considerations to such U.S. Holder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who receives Boundless Bio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Under Treasury Regulations Section 1.368-3(b), each U.S. Holder who owned immediately before the Merger at least one percent (by vote or value) of the total outstanding Serapha Capital Stock or who owned Serapha Capital Stock with a basis of $1,000,000 or more is required to attach a statement to its tax return for the year in which the Merger is consummated that contains the information listed in Treasury Regulations Section 1.368-3(b). Similarly, under Treasury Regulations Section 1.351-3(a), each U.S. Holder who owned immediately after the Merger at least five percent (by vote or value) of the total outstanding Boundless Bio Common Stock is required to attach a statement to its tax return for the year in which the Merger is consummated that contains the information listed in Treasury Regulation Sections 1.351-3(a). Such statements must include the U.S. Holder’s tax basis in such U.S. Holder’s Serapha Capital Stock surrendered in the Merger, the fair market value of such Serapha Capital Stock, the date of the Merger, and the name and employer identification number of each of Serapha and Boundless Bio. Each U.S. Holder is urged to consult with its tax advisor to comply with these rules. </w:t>
      </w:r>
    </w:p>
    <w:p>
      <w:pPr>
        <w:pStyle w:val="TextBody"/>
        <w:bidi w:val="0"/>
        <w:spacing w:before="360" w:after="0"/>
        <w:jc w:val="left"/>
        <w:rPr>
          <w:rFonts w:ascii="Times New Roman" w:hAnsi="Times New Roman"/>
          <w:b/>
          <w:sz w:val="20"/>
        </w:rPr>
      </w:pPr>
      <w:bookmarkStart w:id="21" w:name="tx108148_720"/>
      <w:bookmarkEnd w:id="21"/>
      <w:r>
        <w:rPr>
          <w:rFonts w:ascii="Times New Roman" w:hAnsi="Times New Roman"/>
          <w:b/>
          <w:sz w:val="20"/>
        </w:rPr>
        <w:t xml:space="preserve">Material U.S. Federal Income Tax Considerations of the 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receipt of the Boundless Bio Pre-Closing Dividend that are generally applicable to U.S. Holders (as defined below) of Boundless Bio Common Stock.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Boundless Bio has not sought and will not seek any rulings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the IRS regarding the matters discussed below. There can be no assurance the IRS or a court will not take a contrary position to that discussed below regarding the tax considerations of the receipt of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Boundless Bio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Boundless Bio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passthroughs,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Boundless Bio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Boundless Bio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Boundless Bio Common Stock as “qualified small business stock” within the meaning of Section 1202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Boundless Bio Common Stock, the tax treatment of a partner in the partnership will depend on the status of the partner, the activities of the partnership, and certain determinations made at the partner level. Accordingly, a partnership holding Boundless Bio Common Stock and each partner in such partnership are urged to consult their tax advisors regarding the U.S. federal income tax considerations to them of the receipt of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Boundless Bio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Boundless Bio Pre-Closing Dividend arising under U.S. federal estate or gift tax laws, the laws of any state, local or non-U.S. taxing jurisdiction or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Boundless Bio Pre-Closing Dividend generally will be included in a U.S. Holder’s income as ordinary dividend income to the extent of Boundless Bio’s current or accumulated earnings and profits. Distributions in excess of Boundless Bio’s current and accumulated earnings and profits will be treated as a tax-free return of capital to the extent of a U.S. Holder’s tax basis in Boundless Bio Common Stock and thereafter as capital gain from the sale or exchange of such common stock. Dividends received by a corporate U.S. Holder may be eligible for a dividends-received deduction, subject to applicable limitations. Dividends received by certain individuals and other non-corporate U.S. Holders generally are subject to a reduced rate of U.S. federal income tax, provided certain holding period and other requirements are satisfied. Each U.S. Holder is urged to consult its tax advisor with respect to the U.S. federal income tax considerations to it of the receipt of the Boundless Bio Pre-Closing Dividend. </w:t>
      </w:r>
    </w:p>
    <w:p>
      <w:pPr>
        <w:pStyle w:val="TextBody"/>
        <w:bidi w:val="0"/>
        <w:spacing w:before="360" w:after="0"/>
        <w:jc w:val="left"/>
        <w:rPr>
          <w:rFonts w:ascii="Times New Roman" w:hAnsi="Times New Roman"/>
          <w:b/>
          <w:sz w:val="20"/>
        </w:rPr>
      </w:pPr>
      <w:bookmarkStart w:id="22" w:name="tx108148_230"/>
      <w:bookmarkEnd w:id="22"/>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Boundless Bio Common Stock are currently listed on Nasdaq under the symbol “BOLD.” Boundless Bio has agreed to use commercially reasonable efforts to (a) maintain its listing on Nasdaq until the Effective Time and to obtain approval of the listing of the Combined Company on Nasdaq; (b) to the extent required by the rules and regulations of Nasdaq, prepare and submit to Nasdaq a notification form for the listing of the shares of Boundless Bio Common Stock to be issued in connection with the Merger and transactions contemplated thereunder, and to cause such shares to be approved for listing (subject to official notice of issuance); (c) prepare and timely submit to Nasdaq a notification form for the Nasdaq Reverse Split (if required) and to submit a copy of the amendment to the Boundless Bio Charter effecting the Nasdaq Reverse Split, certified by the Secretary of State of the State of Delaware, to Nasdaq on the Closing Date; and (d) to the extent required by Nasdaq Marketplace Rule 5110, assist Serapha in preparing and filing an initial listing application for the Boundless Bio Common Stock issued to Serapha stockholders (the “Nasdaq Listing Application”) and to cause such Nasdaq Listing Application to be conditionally approved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Boundless Bio’s and Serapha’s obligation to complete the Merger is subject to the satisfaction or waiver by each of the parties, at or prior to the Closing, of various conditions, including that the Nasdaq Listing Application shall have been approved.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approved, Boundless Bio anticipates that the Combined Company common stock will be listed on Nasdaq following the Closing under the trading symbol “AATD.” In order for the Nasdaq Listing Application to be accepted, among other requirements, the Combined Company must maintain a bid price of $4.00 or higher for a certain period of time following the Nasdaq Reverse Split. </w:t>
      </w:r>
    </w:p>
    <w:p>
      <w:pPr>
        <w:pStyle w:val="TextBody"/>
        <w:bidi w:val="0"/>
        <w:spacing w:before="360" w:after="0"/>
        <w:jc w:val="left"/>
        <w:rPr>
          <w:rFonts w:ascii="Times New Roman" w:hAnsi="Times New Roman"/>
          <w:b/>
          <w:sz w:val="20"/>
        </w:rPr>
      </w:pPr>
      <w:bookmarkStart w:id="23" w:name="tx108148_231"/>
      <w:bookmarkEnd w:id="23"/>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treated by Boundless Bio as a reverse merger and will be accounted for as an in-substance reverse recapitalization of Boundless Bio by Serapha in accordance with U.S. GAAP as, at close, the transaction is, in essence, the issuance of equity by Serapha for Boundless Bio’s net assets, consisting of nominal assets and liabilities before the Merger. For accounting purposes, Serapha is considered to be acquiring the assets and liabilities of Boundless Bio in this transaction based on the terms of the Merger Agreement and other factors, including: (i) Serapha’s equity holders will own a substantial majority of the voting rights in the Combined Company; (ii) Serapha’s largest stockholder will retain the largest interest in the Combined Company; (iii) Serapha will designate all of the initial members of the board of directors of the Combined Company; and (iv) certain members of Serapha’s executive management team will become the management of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 The Combined Company will be named Serapha Bio, Inc. In addition, Serapha concluded that any in-process research and development assets of Boundless Bio at the closing of the Merger would be de-minimis. Accordingly, upon the closing of the Merger, Boundless Bio is expected to have no or nominal operations for accounting purposes and the Merger is expected to be treated as the equivalent of Serapha issuing stock to acquire the net assets of Boundless Bio. As a result of the Merger, the net assets of Boundless Bio will be stated at fair value, which approximates carrying value, with no goodwill or other intangible assets recorded, and the historical results of operations prior to the Merger will be those of Serapha.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bookmarkStart w:id="24" w:name="tx108148_635"/>
      <w:bookmarkEnd w:id="24"/>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Boundless Bio stockholders are not entitled to appraisal rights in connection with the Merger. Serapha stockholders are entitled to appraisal rights in connection with the Merger under Section 262 of the DGCL. However, in order to perfect appraisal rights under Section 262 of the DGCL, a stockholder must not have consented to the Merger in writing, and so, accordingly, Serapha stockholders who execute and deliver the Serapha Stockholder Written Consents adopting and approving the Merger Agreement and the Contemplated Transactions will be deemed to have waived, and will not be entitled to exercise, appraisal rights under Section 262 with respect to their shares.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Serapha’s stockholders’ appraisal rights under Delaware law and is qualified in its entirety by reference to the text of the relevant provisions of Delaware law, which are attached as </w:t>
      </w:r>
      <w:r>
        <w:rPr>
          <w:rFonts w:ascii="Times New Roman" w:hAnsi="Times New Roman"/>
          <w:i/>
          <w:sz w:val="20"/>
        </w:rPr>
        <w:t>Annex F</w:t>
      </w:r>
      <w:r>
        <w:rPr>
          <w:rFonts w:ascii="Times New Roman" w:hAnsi="Times New Roman"/>
          <w:sz w:val="20"/>
        </w:rPr>
        <w:t xml:space="preserve"> in this proxy statement/prospectus. Stockholders intending to exercise appraisal rights should carefully review </w:t>
      </w:r>
      <w:r>
        <w:rPr>
          <w:rFonts w:ascii="Times New Roman" w:hAnsi="Times New Roman"/>
          <w:i/>
          <w:sz w:val="20"/>
        </w:rPr>
        <w:t>Annex F</w:t>
      </w:r>
      <w:r>
        <w:rPr>
          <w:rFonts w:ascii="Times New Roman" w:hAnsi="Times New Roman"/>
          <w:sz w:val="20"/>
        </w:rPr>
        <w:t xml:space="preserve">. Failure to follow precisely any of the statutory procedures set forth in </w:t>
      </w:r>
      <w:r>
        <w:rPr>
          <w:rFonts w:ascii="Times New Roman" w:hAnsi="Times New Roman"/>
          <w:i/>
          <w:sz w:val="20"/>
        </w:rPr>
        <w:t>Annex F</w:t>
      </w:r>
      <w:r>
        <w:rPr>
          <w:rFonts w:ascii="Times New Roman" w:hAnsi="Times New Roman"/>
          <w:sz w:val="20"/>
        </w:rPr>
        <w:t xml:space="preserve"> may result in a termination or waiver of these rights. This summary does not constitute legal or other advice, nor does it constitute a recommendation that Serapha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Serapha will notify its stockholders that the Merger has been approved, the effective date of the Merger and that appraisal rights are available to any stockholder who has not approved the Merger. Holders of shares of Serapha Capital Stock who desire to exercise their appraisal rights must deliver a written demand for appraisal to Serapha within 20 days after the date of mailing of that notice, and that stockholder must not have delivered a written consent approving the Merger. A demand for appraisal must reasonably inform Serapha of the identity of the stockholder and that such stockholder intends thereby to demand appraisal of the shares of Serapha Capital Stock held by such stockholder. Failure to deliver a written consent approving the Merger will not in and of itself constitute a written demand for appraisal satisfying the requirements of Section 262. All demands for appraisal should be addressed to c/o Serapha Bio, Inc., 40 10th Avenue, Floor 7, New York, NY 10014, and should be executed by, or on behalf of, the record holder of shares of Serapha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SERAPHA WITHIN 20 DAYS AFTER THE DATE SERAPHA MAILS A NOTICE TO ITS STOCKHOLDERS NOTIFYING THEM THAT THE MERGER HAS BEEN APPROVED, THE EFFECTIVE DATE OF THE MERGER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Serapha Capital Stock as provided for in the Merger Agreement, but you will have no appraisal rights with respect to your shares of Serapha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effective, a demand for appraisal by a holder of shares of Serapha Capital Stock must be made by, or in the name of, the registered stockholder, fully and correctly, as the stockholder’s name appears on the stockholder’s stock certificate(s). Beneficial owners who do not also hold the shares of record may not directly make appraisal demands to Serapha.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Serapha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Serapha. If, following a demand for appraisal, you have withdrawn your demand for appraisal in accordance with Section 262, you will have the right to receive the Merger consideration for your shares of Serapha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Boundless Bio,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Serapha Capital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08148_11"/>
      <w:bookmarkEnd w:id="25"/>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are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Boundless Bio, Serapha,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Boundless Bio and Merger Sub, on the one hand, and Serapha,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Boundless Bio and Serapha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Boundless Bio or Serapha, because they were made as of specific dates, may be intended merely as a risk allocation mechanism between Boundless Bio, Merger Sub and Serapha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Closing, Merger Sub, a wholly owned subsidiary of Boundless Bio, will merge with and into Serapha, with Serapha surviving the Merger as a wholly owned subsidiary of Boundless Bio.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Serapha stockholders and the approval by Boundless Bio stockholders of the Boundless Bio Stockholder Matters, other than those conditions that by their nature are to be satisfied at the Closing. The Merger will become effective upon the filing of the Certificate of Merger with the Secretary of State of the State of Delaware or at such later time as specified in the Certificate of Merger with the consent of Boundless Bio and Serapha. Neither Boundless Bio nor Serapha can predict the exact timing of the consummation of the Merger. </w:t>
      </w:r>
    </w:p>
    <w:p>
      <w:pPr>
        <w:pStyle w:val="TextBody"/>
        <w:bidi w:val="0"/>
        <w:spacing w:before="360" w:after="0"/>
        <w:jc w:val="left"/>
        <w:rPr>
          <w:rFonts w:ascii="Times New Roman" w:hAnsi="Times New Roman"/>
          <w:b/>
          <w:sz w:val="20"/>
        </w:rPr>
      </w:pPr>
      <w:bookmarkStart w:id="26" w:name="tx108148_607"/>
      <w:bookmarkEnd w:id="26"/>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each share of Serapha Capital Stock (including shares of Serapha Common Stock issued in the Serapha Pre-Closing Financing or the Series A Financing) outstanding immediately prior to the Effective Time (excluding any shares to be cancelled pursuant to the Merger Agreement), will be converted into the right to receive a number of shares of Boundless Bio Common Stock equal to the Exchange Ratio. No fractional shares of Boundless Bio Common Stock will be issued in connection with the Merger, and no certificates or scrip for any such fractional shares will be issued. Any fractional shares of Boundless Bio Common Stock resulting from the conversion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Capital Stock (including shares of Serapha Common Stock issued in the Serapha Pre-Closing Financing or the Series A Financing) shall be issued as follows: (i) one share of Boundless Bio Common Stock if the aggregate amount of fractional shares of Boundless Bio Common Stock such holder of Serapha Capital Stock would otherwise be entitled to is equal to or exceeds 0.50; or (ii) no shares of Boundless Bio Common Stock if the aggregate amount of fractional shares of Boundless Bio Common Stock such holder of Serapha Capital Stock would otherwise be entitled to is less than 0.50, with no cash being paid for any fractional share eliminated by such rounding. </w:t>
      </w:r>
    </w:p>
    <w:p>
      <w:pPr>
        <w:pStyle w:val="TextBody"/>
        <w:bidi w:val="0"/>
        <w:spacing w:before="360" w:after="0"/>
        <w:jc w:val="left"/>
        <w:rPr>
          <w:rFonts w:ascii="Times New Roman" w:hAnsi="Times New Roman"/>
          <w:b/>
          <w:sz w:val="20"/>
        </w:rPr>
      </w:pPr>
      <w:bookmarkStart w:id="27" w:name="tx108148_701"/>
      <w:bookmarkEnd w:id="27"/>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Boundless Bio and Serapha securityholders a percentage of the Combined Company. Based on Boundless Bio’s and Serapha’s capitalization as of August 21, 2026, the Exchange Ratio was estimated to be equal to approximately 8.6737 shares of Boundless Bio Common Stock for each share of Serapha Capital Stock. This estimate is subject to adjustment prior to the closing of the Merger for Boundless Bio Net Cash as of the Cash Determination Time (and as a result, Boundless Bio securityholders could own less, and Serapha securityholders (including, for this purpose, investors in the Serapha Pre-Closing Financing) could own more, or vice versa, of the Combined Company). Boundless Bio management currently anticipates that Boundless Bio Net Cash as of Closing will be approximately $0, after giving effect to the Boundless Bio Pre-Closing Dividend, which is expected to be approximately $44 million to $48 million.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Serapha Pre-Closing Financing, and certain other assumptions, immediately following the completion of the Merger, Boundless Bio securityholders would own approximately 3.7% of the capital stock of the Combined Company post-Merger on a fully-diluted basis (after taking into account the 2026 Stock Plan and 2026 ESPP), and Serapha securityholders, including shares of Serapha Common Stock and Serapha Pre-Funded Warrants purchased in the Serapha Pre-Closing Financing, would own approximately 96.3% of the capital stock of the Combined Company post-Merger on a fully-diluted basis (after taking into account the 2026 Stock Plan and 2026 ESPP). Under certain circumstances further described in the Merger Agreement, the ownership percentages may be adjusted up or down including, but not limited to, if Boundless Bio Net Cash as of Closing is lower than $0. Boundless Bio management currently anticipates Boundless Bio Net Cash as of Closing will be approximately $0, after giving effect to the Boundless Bio Pre-Closing Dividend, which is expected to be approximately $44 million to $48 million, and the currently estimated ownership percentages reflect this projection. Certain material payments to the executives of Boundless Bio are factored into the calculation of Boundless Bio Net Cash as deductions, including any bonus, retention payments, severance, change-in-control payments or similar payment obligations (including payments with “single-trigger” provisions triggered at and as of the consummation of the Contemplated Transactions) that are due or payable to any director, officer, employee or consultant as a result of the consummation of the Contemplated Transactions or any Boundless Bio Legacy Transaction, together with any payroll taxes associated therewith. There can be no assurance that any of these assumptions will be accurate at Closing when the final Exchange Ratio is determined. For more information on the Serapha Pre-Closing Financing,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Serapha Capital Stock used to calculate the Exchange Ratio, and therefore the relative ownership of the Combined Company, includes shares of Serapha Series A-1 Preferred Stock issuable upon exercise of the YolTech Warrant. The YolTech Warrant was issued to YolTech on June 12, 2026 in connection with the YolTech License Agreement and entitles YolTech to acquire a number of shares of Serapha Series A-1 Preferred Stock representing approximately 19.9% of Serapha’s fully-diluted capitalization measured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capitalization of the Combined Company (after taking into account the 2026 Stock Plan and 2026 ESPP). For purposes of determining the Serapha Outstanding Shares, and therefore the Exchange Ratio, the Serapha Series A-1 Preferred Stock issuable upon exercise of the YolTech Warrant is included up to the Serapha Series A-1 Preferred Stock Initial Amount (up to 11,688,455 shares) but excludes a number of such shares equal to the Serapha Series A-1 Preferred Stock Remeasurement Maximum Amount (up to 5,888,538 shares). Like other shares of Serapha Capital Stock, the shares of Serapha Series A-1 Preferred Stock underlying the YolTech Warrant will be converted into shares of Boundless Bio Common Stock in the Merger in accordance with the Exchange Ratio, which will further dilute the ownership interests of Boundless Bio securityholders and other Serapha securityholders in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number of Serapha Merger Shares by the Serapha Outstanding Shares,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Aggregate Valuation” means the sum of (i) the Serapha Valuation and (ii) the Boundless Bio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Boundless Bio Allocation Percentage” means the quotient (expressed as a percentage and rounded to four decimal places) determined by dividing (i) the Boundless Bio Valuation by (ii)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Boundless Bio Outstanding Shares” means, without duplication, (including, without limitation, the effects of the Nasdaq Reverse Split, if completed) the total number of shares of Boundless Bio Capital Stock outstanding immediately prior to the Effective Time expressed on a fully-diluted basis and as converted to Boundless Bio Common Stock basis and assuming, without limitation or duplication, the issuance of shares of Boundless Bio Common Stock in respect of all Boundless Bio Continuing Option, warrants or other rights or commitments to receive shares of Boundless Bio Common Stock or Boundless Bio Preferred Stock (or securities convertible or exercisable into shares of Boundless Bio Common Stock or Boundless Bio Preferred Stock, but excluding any Boundless Bio Capital Stock issuable in accordance with the Merger Agreement), whether conditional or unconditional, that are outstanding as of immediately prior to the Effective Time. Notwithstanding any of the foregoing, no Boundless Bio Cancelled Option will be included in the total number of shares of Boundless Bio Common Stock outstanding for purposes of determining the Boundless Bio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Boundless Bio Valuation” means (i) $12,500,000, </w:t>
            </w:r>
            <w:r>
              <w:rPr>
                <w:rFonts w:ascii="Times New Roman" w:hAnsi="Times New Roman"/>
                <w:i/>
                <w:sz w:val="20"/>
              </w:rPr>
              <w:t>minus</w:t>
            </w:r>
            <w:r>
              <w:rPr>
                <w:rFonts w:ascii="Times New Roman" w:hAnsi="Times New Roman"/>
                <w:sz w:val="20"/>
              </w:rPr>
              <w:t xml:space="preserve"> (ii) the Boundless Bio Net Cash Deficiency (if any), </w:t>
            </w:r>
            <w:r>
              <w:rPr>
                <w:rFonts w:ascii="Times New Roman" w:hAnsi="Times New Roman"/>
                <w:i/>
                <w:sz w:val="20"/>
              </w:rPr>
              <w:t>plus</w:t>
            </w:r>
            <w:r>
              <w:rPr>
                <w:rFonts w:ascii="Times New Roman" w:hAnsi="Times New Roman"/>
                <w:sz w:val="20"/>
              </w:rPr>
              <w:t xml:space="preserve"> (iii) the Boundless Bio Net Cash Surplus (if any); provided, that in no event will the Boundless Bio Valuation exceed $15,000,000. For the avoidance of doubt, the Serapha Pre-Closing Financing Proceeds will not be included in the calculation or determination of the Boundless Bio Valuation or any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Boundless Bio Net Cash Deficiency” means, if Boundless Bio Net Cash is less than $0, then the amount, if any, that $0 exceeds the Boundless Bio Net Cash, calculated as of the Cash Determination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Boundless Bio Net Cash Surplus” means, if Boundless Bio Net Cash is greater than $0, then the amount, if any, that the Boundless Bio Net Cash exceeds $0, calculated as of the Cash Determination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Post-Closing Boundless Bio Shares” means the quotient determined by dividing (i) the Boundless Bio Outstanding Shares by (ii) the Boundless Bio Allocation Percentage. The estimated Exchange Ratio for purposes of the unaudited pro forma condensed combined financial information was derived on a fully-diluted basis as of      , 2026 using a stipulated value of Serapha of approximately $    million (excluding the Serapha Pre-Closing Financing) and of Boundless Bio of approximately $    million. For more information, see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Serapha Allocation Percentage” means the quotient (expressed as a percentage and rounded to four decimal places) determined by dividing (i) the Serapha Valuation by (ii) the Aggregate Valuation.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Serapha Equity Value” means $73,700,000.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Merger Shares” means the product determined by multiplying (i) the Post-Closing Boundless Bio Shares by (ii) the Serapha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Outstanding Shares” means, without duplication, the total number of shares of Serapha Capital Stock outstanding immediately prior to the Effective Time (including any shares of Serapha Common Stock or Serapha Preferred Stock that are issued in, or issuable upon the exercise or conversion of securities issued in, the Serapha Pre-Closing Financing, Serapha Series A-1 Preferred Stock equal to the Serapha Series A-1 Preferred Stock Initial Amount or any additional Serapha Series A-1 Preferred Stock in excess of the Serapha Series A-1 Preferred Stock Remeasurement Maximum Amount), expressed on a fully diluted and as converted to Serapha Common Stock basis assuming, without limitation or duplication, the exercise and/or settlement (as applicable) of all Serapha Options, Serapha RSUs, Serapha Warrants or other rights or commitments to receive shares of Serapha Common Stock or Serapha Preferred Stock (or securities convertible or exercisable into shares of Serapha Common Stock or Serapha Preferred Stock), whether conditional or unconditional or vested or unvested, that are outstanding as of immediately prior to the Effective Time, provided that “Serapha Outstanding Shares” shall exclude a number of Serapha Series A-1 Preferred Stock issued or issuable upon the exercise of the YolTech Warrant equal to the Serapha Series A-1 Preferred Stock Remeasurement Maximum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Pre-Closing Financing Proceeds” means the aggregate gross cash proceeds actually received by Serapha from the Serapha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Serapha Series A-1 Preferred Stock Initial Amount” means a number of shares of Serapha Series A-1 Preferred Stock underlying the YolTech Warrant equal to up to 11,688,455 shares, representing the Share Number (as defined in the YolTech Warrant) determined pursuant to the terms of the YolTech Warrant in connection with the consummation of the Series A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Series A-1 Preferred Stock Remeasurement Maximum Amount” means a number of shares of Serapha Series A-1 Preferred Stock underlying the YolTech Warrant equal to up to 5,888,538 shares, representing the number of shares added to the Serapha Series A-1 Preferred Stock Initial Amount pursuant to the adjustment mechanics set forth in the YolTech Warrant in connection with the consummation of subsequent Remeasurement Events prior to the expiration of the Anti-Dilution Period (each as defined in the YolTech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Serapha Valuation” means the sum of the Serapha Equity Value plus the Serapha Pre-Closing Financing Proceeds.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of Boundless Bio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“Boundless Bio Net Cash” means, as of 11:59 p.m. on the business day prior to the anticipated closing date,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Boundless Bio’s SEC filings and Boundless Bio’s balance sheet, including any proceeds actually received from a Boundless Bio Legacy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prepaid expenses, accounts, interests, other receivables and deposits (excluding any tax refunds) as set forth in Boundless Bio’s disclosure letter;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minus </w:t>
      </w:r>
      <w:r>
        <w:rPr>
          <w:rFonts w:ascii="Times New Roman" w:hAnsi="Times New Roman"/>
          <w:sz w:val="20"/>
        </w:rPr>
        <w:t xml:space="preserve">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unpaid consolidated short term and long term contractual obligations and liabilities accrued by Boundless Bio as of the Closing Date, in each case determined in accordance with GAAP and, to the extent in accordance with GAAP, in a manner consistent with the manner in which such items were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historically determined and in accordance with the financial statements (including any related notes) contained or incorporated by reference in Boundless Bio’s SEC filings and Boundless Bio’s balance sheet;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(without duplication) of all fees and expenses incurred by Boundless Bio prior to the Effective Time in connection with the negotiation, execution and delivery of the Merger Agreement and the Contemplated Transactions or any Boundless Bio Legacy Transaction,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fees and expenses of legal counsel, accountants, financial advisors, investment bankers, brokers, consultants, tax advisors, and other professional advisors of Boundless Bio in connection with the Contemplated Transactions or any Boundless Bio Legacy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paid to the SEC in connection with filing this registration statement and any amendments and supplements thereto,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and expenses in connection with the printing, mailing and distribution of this proxy statement and any amendments and supplements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bonus, retention payments, severance, change in control payments or similar payment obligations (including payments with “single trigger” provisions triggered at and as of the consummation of the Contemplated Transactions) that are due or payable to any director, officer, employee or consultant as a result of the consummation of the Contemplated Transactions or any Boundless Bio Legacy Transaction, together with any payroll taxes associated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obtaining the D&amp;O tail policy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Pre-Closing Dividend (to the extent declared and unpaid) and all costs and expenses associated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remaining rent payments and fees and expenses associated with terminating Boundless Bio’s real estate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accrued and unpaid taxes of Boundless Bio and its subsidiaries for tax periods (or portions thereof) ending on or before the Closing Date,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relating to the winding down of Boundless Bio’s legacy business, including the sale, license or other disposition of any or all of Boundless Bio’s legacy business to the extent unpaid as of the Closing (including, without limitation, the out of pocket expense to be incurred by Boundless Bio as a result of the continued maintenance of employee plans, if any),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Pre-Closing Dividend amount, to the extent not declared and paid prior to delivery of the Boundless Bio net cash schedule and without double-counting; </w:t>
            </w:r>
          </w:p>
        </w:tc>
      </w:tr>
    </w:tbl>
    <w:p>
      <w:pPr>
        <w:pStyle w:val="TextBody"/>
        <w:bidi w:val="0"/>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 for each month, or portion thereof, after November 22, 2026 by which Closing is delayed primarily as a result of Serapha’s failure to provide the required Form S-4 information, which amount will begin accruing on November 23,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seven business days prior to the earlier of (i) the anticipated date for the Boundless Bio Special Meeting or (ii) the intended declaration of the Boundless Bio Pre-Closing Dividend, in each case as mutually agreed in good faith by Boundless Bio and Serapha, Boundless Bio will deliver to Serapha a net cash schedule setting forth, in reasonable detail, Boundless Bio’s good faith estimated calculation the components of the Boundless Bio Net Cash as of 11:59 p.m. on the business day prior to the anticipated closing date (referred to herein as the “Determination Time”), prepared and certified, via certificate in the form reasonably acceptable to Serapha, by Boundless Bio’s chief financial officer (or if there is no chief financial officer, the principal financial and accounting officer), as the case may be, and, if requested, the relevant work papers and back-up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or useful in preparing the net cash schedule. No later than three business days after delivery of such net cash schedule (the last day of such period referred to as the response date), Serapha will have the right to dispute any part of the net cash schedule by delivering a written notice to that effect to Boundless Bio (referred to herein as a “dispute notice”). Any dispute notice will identify, in reasonable detail and, to the extent known, the nature and amounts of any proposed revisions to the Boundless Bio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Serapha disputes the net cash schedule, the parties will attempt in good faith to resolve the disputed items and negotiate an agreed-upon determination of Boundless Bio Net Cash. If the parties are unable to negotiate an agreed-upon determination of the disputed items or component thereof within three days after the delivery of the dispute notice, any remaining disagreements will be referred to an independent auditor of recognized national standing jointly selected by Boundless Bio and Serapha. The determination of the amount of Boundless Bio Net Cash made by such auditor will be final and binding on Boundless Bio and Serapha. </w:t>
      </w:r>
    </w:p>
    <w:p>
      <w:pPr>
        <w:pStyle w:val="TextBody"/>
        <w:bidi w:val="0"/>
        <w:spacing w:before="240" w:after="0"/>
        <w:jc w:val="left"/>
        <w:rPr>
          <w:rFonts w:ascii="Times New Roman" w:hAnsi="Times New Roman"/>
          <w:sz w:val="20"/>
        </w:rPr>
      </w:pPr>
      <w:r>
        <w:rPr>
          <w:rFonts w:ascii="Times New Roman" w:hAnsi="Times New Roman"/>
          <w:sz w:val="20"/>
        </w:rPr>
        <w:t xml:space="preserve">Boundless Bio Net Cash balance is subject to numerous factors, some of which are outside of Boundless Bio’s control. The actual amount of Boundless Bio Net Cash will depend significantly on the timing of the Closing. In addition, the Closing could be delayed if Boundless Bio and Serapha are not able to agree upon the amount of Boundless Bio Net Cash as of the Determination Time. </w:t>
      </w:r>
    </w:p>
    <w:p>
      <w:pPr>
        <w:pStyle w:val="TextBody"/>
        <w:bidi w:val="0"/>
        <w:spacing w:before="360" w:after="0"/>
        <w:jc w:val="left"/>
        <w:rPr>
          <w:rFonts w:ascii="Times New Roman" w:hAnsi="Times New Roman"/>
          <w:b/>
          <w:sz w:val="20"/>
        </w:rPr>
      </w:pPr>
      <w:bookmarkStart w:id="28" w:name="tx108148_608"/>
      <w:bookmarkEnd w:id="28"/>
      <w:r>
        <w:rPr>
          <w:rFonts w:ascii="Times New Roman" w:hAnsi="Times New Roman"/>
          <w:b/>
          <w:sz w:val="20"/>
        </w:rPr>
        <w:t xml:space="preserve">Treatment of Serapha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Boundless Bio will assume the Serapha Equity Incentive Plan and each Serapha Option that is outstanding and unexercised immediately prior to the Effective Time, whether or not vested, will be assumed and converted into an option to purchase shares of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outstanding Serapha Option assumed by Boundless Bio may be exercised solely for shares of Boundless Bio Common Stock; (ii) the number of shares of Boundless Bio Common Stock subject to each outstanding Serapha Option assumed by Boundless Bio will be determined by multiplying (A) the number of shares of Serapha Common Stock that were subject to such Serapha Option assumed by Boundless Bio, as in effect immediately prior to the Effective Time, by (B) the Exchange Ratio, and rounding the resulting number down to the nearest whole number of shares of Boundless Bio Common Stock; and (iii) the per share exercise price of each Serapha Option assumed by Boundless Bio will be determined by dividing (A) the per share exercise price of such Serapha Option, as in effect immediately prior to the Effective Time, by (B) the Exchange Ratio, and rounding the resulting exercise price up to the nearest whole cent. Each Serapha Option assumed by Boundless Bio will otherwise continue in full force and effect and the term, exercisability, vesting schedule, acceleration rights and other terms and conditions of such Serapha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Serapha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sz w:val="20"/>
        </w:rPr>
      </w:pPr>
      <w:bookmarkStart w:id="29" w:name="tx108148_608a"/>
      <w:bookmarkEnd w:id="29"/>
      <w:r>
        <w:rPr>
          <w:rFonts w:ascii="Times New Roman" w:hAnsi="Times New Roman"/>
          <w:b/>
          <w:sz w:val="20"/>
        </w:rPr>
        <w:t xml:space="preserve">Treatment of Serapha RSUs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Boundless Bio will assume the Serapha Equity Incentive Plan and each Serapha RSU that is outstanding immediately prior to the Effective Time, whether or not vested, will be assumed and converted into a restricted stock unit award covering shares of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outstanding Serapha RSU assumed by Boundless Bio may be settled solely for shares of Boundless Bio Common Stock; and (ii) the number of shares of Boundless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 Common Stock subject to each outstanding Serapha RSU assumed by Boundless Bio will be determined by multiplying (A) the number of shares of Serapha Common Stock that were subject to such Serapha RSU assumed by Boundless Bio, as in effect immediately prior to the Effective Time, by (B) the Exchange Ratio, and rounding the resulting number down to the nearest whole number of shares of Boundless Bio Common Stock. Each Serapha RSU assumed by Boundless Bio will otherwise continue in full force and effect and the term, vesting schedule, acceleration rights and other terms and conditions of such Serapha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Serapha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sz w:val="20"/>
        </w:rPr>
      </w:pPr>
      <w:bookmarkStart w:id="30" w:name="tx108148_609"/>
      <w:bookmarkEnd w:id="30"/>
      <w:r>
        <w:rPr>
          <w:rFonts w:ascii="Times New Roman" w:hAnsi="Times New Roman"/>
          <w:b/>
          <w:sz w:val="20"/>
        </w:rPr>
        <w:t xml:space="preserve">Treatment of Serapha Warrants and Serapha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each Serapha Warrant (including any Serapha Pre-Funded Warrants issued pursuant to the Serapha Pre-Closing Financing), whether vested or unvested, that is outstanding and unexercised immediately prior to the Effective Time, will be converted into an Assumed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Assumed Warrant may be exercised solely for shares of Boundless Bio Common Stock; (ii) the number of shares of Boundless Bio Common Stock subject to each outstanding Assumed Warrant will be determined by multiplying (A) the number of shares of Serapha Common Stock subject to each Assumed Warrant immediately prior to the Effective Time (determined on an as-converted basis for any Serapha Warrant representing the right to acquire Serapha Preferred Stock), by (B) the Exchange Ratio (rounded up to the next whole share of Boundless Bio Common Stock to the extent the aggregate amount of fractional shares of Boundless Bio Common Stock such holder would otherwise be entitled to is equal to or exceeds 0.50, and otherwise rounded down); and (iii) such Assumed Warrant will have an exercise price per share (rounded up to the nearest whole cent) equal to dividing (A) the exercise price per share of Serapha Common Stock otherwise purchasable pursuant to such Assumed Warrant immediately prior to the Effective Time, by (B) the Exchange Ratio. Each Assumed Warrant will otherwise continue in full force and effect and on the same terms and conditions (including any vesting provisions and any provisions providing for accelerated vesting upon events) as were applicable under such Assumed Warrant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an Assumed Warrant in accordance with the terms of the Merger Agreement, such Assumed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Boundless Bio Board of Directors or a committee thereof will succeed to the authority and responsibility of the Serapha Board of Directors or any committee thereof with respect to each Assumed Warrant in accordance with the terms of the Merger Agreement. </w:t>
      </w:r>
    </w:p>
    <w:p>
      <w:pPr>
        <w:pStyle w:val="TextBody"/>
        <w:bidi w:val="0"/>
        <w:spacing w:before="360" w:after="0"/>
        <w:jc w:val="left"/>
        <w:rPr>
          <w:rFonts w:ascii="Times New Roman" w:hAnsi="Times New Roman"/>
          <w:b/>
          <w:sz w:val="20"/>
        </w:rPr>
      </w:pPr>
      <w:bookmarkStart w:id="31" w:name="tx108148_609a"/>
      <w:bookmarkEnd w:id="31"/>
      <w:r>
        <w:rPr>
          <w:rFonts w:ascii="Times New Roman" w:hAnsi="Times New Roman"/>
          <w:b/>
          <w:sz w:val="20"/>
        </w:rPr>
        <w:t xml:space="preserve">Treatment of Boundless Bio Common Stock and Boundless Bio Options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Boundless Bio Common Stock described in Proposal No. 3 of this proxy statement/prospectus and the Nasdaq Reverse Split described in Proposal No. 2 of this proxy statement/prospectus, Boundless Bio Common Stock will remain unaffected by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Continuing Option to reflect the Boundless Bio Pre-Closing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Serapha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Boundless Bio and Serapha will jointly select an exchange agent and, at the Effective Time, Boundless Bio will deposit with the exchange agent evidence of book-entry shares representing the shares of Boundless Bio Capital Stock issuable pursuant to the terms of the Merger Agreement in exchange for shares of Serapha Capital Stock (including shares of Serapha Capital Stock issued in the Serapha Pre-Closing Financing or the Series A Financing) (excluding any shares to be cancelled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Boundless Bio and Serapha will cause the exchange agent to mail to each record holder of Serapha Capital Stock (including shares of Serapha Capital Stock issued in the Serapha Pre-Closing Financing or the Series A Financing) (excluding any shares to be cancelled pursuant to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number of whole shares of Boundless Bio Capital Stock issuable to such holder pursuant to the Merger Agreement and any dividends or other distributions payable pursuant to the Merger Agreement. The surrendered certificates representing shares of Serapha Capital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or book-entry share representing Serapha Capital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SERAPHA CAPITAL STOCK SHOULD NOT SEND IN THEIR SERAPHA STOCK CERTIFICATES UNTIL THEY RECEIVE A LETTER OF TRANSMITTAL FROM THE EXCHANGE AGENT WITH INSTRUCTIONS FOR THE SURRENDER OF SERAPHA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Boundless Bio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Boundless Bio who are not to continue as officers or directors of Boundless Bio will resign effective as of the Closing and the Boundless Bio Board of Directors will thereafter consist of a total of    new directors. Serapha has designated    to serve as members of the Boundless Bio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Closing, Kenneth Mills will serve as President and Chief Executive Officer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Boundless Bio Charter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agreed to amend the Boundless Bio Charter to (i) change the name of Boundless Bio to a name designated by Serapha at least five days prior to the Effective Time, (ii) effect the Nasdaq Reverse Split (to the extent applicable and necessary), (iii) increase the number of shares of Boundless Bio Capital Stock as described in the Authorized Share Increase Proposal, and (iv) make such other changes as are mutually agreeable to Boundless Bio and Serapha.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Boundless Bio and Merger Sub, on one hand, and Serapha, on the other hand, for a transaction of this type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subsidiaries and similar corporate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Boundless Bio Special Meeting and that will be the subject of the Serapha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or result in any encumbrances on the parties’ assets or require the consent of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Boundless Bio, documents filed with the SEC and the accuracy of information contained in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including the validity of material contracts to which the parties or their subsidiaries are a party and any default of such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owed to financial advisors and similar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payments and use of corporate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control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Serapha, ownership of Boundless Bio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Boundless Bio, the valid issuance in the Merger of Boundless Bio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Pre-Closing Financing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Boundless Bio and Serapha form the basis of certain of the conditions to the obligations of Boundless Bio and Serapha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agreed that, except as contemplated or permitted by the Merger Agreement, as required by law, or unless Serapha has provided written consent, during the period commencing on the date of the Merger Agreement and continuing until the earlier to occur of the Effective Time and the termination of the Merger Agreement, Boundless Bio will, and will cause its subsidiaries to, use commercially reasonable efforts to conduct their business and operations in the ordinary course consistent with past practices and in material compliance with all applicable laws, regulations and certain material contracts and continue to pay material outstanding accounts payable and other material current liabilities (including payroll) when due and payable. Boundless Bio has also agreed that, subject to certain limited exceptions and except as contemplated or permitted by the Merger Agreement, as required by law, or unless Serapha has provided written consent, during the period commencing on the date of the Merger Agreement and continuing until the earlier to occur of the Effective Time and the termination of the Merger Agreement, it will not, and will not cause or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(other than the Boundless Bio Pre-Closing Dividend) or make any other distribution in respect of any shares of its capital stock; or repurchase, redeem or otherwise reacquire any shares of capital stock or other securities (except for shares of Boundless Bio Common Stock from terminated employees, directors or consultants of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Boundless Bio Common Stock issued upon the valid exercise of outstanding Boundless Bio Options),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in excess of $25,000;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cause or permit any such agreement, plan or arrangement to be amended other than as required by law or in order to make amendments for purposes of Section 409A of the Code; pay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any officer, employee or consultant;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abandon, allow to lapse, license, sublicense or otherwise dispose of any intellectual property rights of Boundless Bio (other than pursuant to non-exclusive licenses in the ordinary course of business, pursuant to patent prosecution in the ordinary course of business or pursuant to the consummation of any Boundless Bio Legacy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or tax accounting period; enter into any material tax closing agreement or settle or compromise any material tax claim or assessment; consent to any extension or waiver of the limitation period applicable to or relating to any material tax claim or assessment; surrender any material claim for refund; or initiate or enter into any voluntary disclosure or similar agreement with, request any ruling from, or otherwise voluntarily disclose information to, any governmental authority with respect to any material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Boundless Bio or any of its subsidiaries, other than waivers, settlements or agreements for an amount not in excess of $1,000,000 in the aggregate (excluding amounts to be paid under existing insurance policies or renewals thereof); that do not impose any material restrictions on the operations or businesses of Boundless Bio or its subsidiaries, taken as a whole, or any equitable relief on, or the admission of wrongdoing by Boundless Bio or any of its subsidiaries; and that do not cause Boundless Bio Net Cash at Closing to drop below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Boundless Bio or any of its subsidiaries to its customers or licensees; or agree to materially change pricing or royalties or other payments set or charged by persons who have licensed intellectual property to Boundless Bio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Boundless Bio or terminate any Boundless Bio material contract outside of the ordinary course of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does not give Serapha the right, directly or indirectly, to control or direct the operations of Boundless Bio prior to the Effective Time. Prior to the Effective Time, Boundless Bio will exercise, consistent with the terms and conditions of the Merger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Boundless Bio is expressly permitted to engage in a Boundless Bio Legacy Transaction and is expressly permitted to declare and pay the Boundless Bio Pre-Closing Dividend, up to an amount equal in the aggregate to Boundless Bio’s reasonable, good faith approximation of the amount by which Boundless Bio Net Cash will exceed $0. </w:t>
      </w:r>
    </w:p>
    <w:p>
      <w:pPr>
        <w:pStyle w:val="TextBody"/>
        <w:bidi w:val="0"/>
        <w:spacing w:before="240" w:after="0"/>
        <w:jc w:val="left"/>
        <w:rPr>
          <w:rFonts w:ascii="Times New Roman" w:hAnsi="Times New Roman"/>
          <w:sz w:val="20"/>
        </w:rPr>
      </w:pPr>
      <w:r>
        <w:rPr>
          <w:rFonts w:ascii="Times New Roman" w:hAnsi="Times New Roman"/>
          <w:sz w:val="20"/>
        </w:rPr>
        <w:t xml:space="preserve">Serapha has agreed that, except as contemplated or permitted by the Merger Agreement or the Securities Purchase Agreement, as required by law, or unless Boundless Bio has provided its written consent,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commencing on the date of the Merger Agreement and continuing until the earlier to occur of the Effective Time and the termination of the Merger Agreement, Serapha will use commercially reasonable efforts to conduct its business and operations in the ordinary course consistent with past practices and in material compliance with all applicable laws, regulations and certain contracts and continue to pay material current liabilities when due and payable. Serapha has also agreed that, subject to certain limited exceptions without the consent of Boundless Bio, during the period commencing on the date of the Merger Agreement and continuing until the earlier to occur of the Effective Time and the termination of the Merger Agreement, it will not, and will not cause or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Serapha Common Stock from terminated employees, directors or consultants of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any of the foregoing actions with respect to more than 25% of the shares of Serapha Capital Stock outstanding as of the date of the Merger Agreement: any capital stock or other security of Serapha (except for shares of outstanding Serapha Common Stock issued upon the valid exercise and/or settlement (as applicable) of Serapha Options or Serapha RSUs); any option, warrant or right to acquire any capital stock or any other security; or any instrument convertible into or exchangeable for any capital stock or other security of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equity interest or other interest in any other entity or enter into a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or guarantee any debt securities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irrevocably dispose of any of its assets or properties, or grant any lien with respect to such assets or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abandon, allow to lapse, license, sublicense or otherwise dispose of any material intellectual property of Serapha, other than pursuant to non-exclusive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Serapha, other than waivers, settlements or agreements (i) for an amount not in excess of $100,000 in the aggregate (excluding amounts to be paid under existing insurance policies or renewals thereof) and (ii) that do not impose any material restrictions on the operations or businesses of Serapha or any equitable relief on, or the admission of wrongdoing by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Serapha or terminate any Serapha material contract, including the YolTech License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bookmarkStart w:id="32" w:name="tx108148_611"/>
      <w:bookmarkEnd w:id="32"/>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Boundless Bio and Serapha have agreed that, except as described below, Boundless Bio and Serapha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(as defined below) or Acquisition Inquiry (as defined below) or take any action that could reasonably be expected to lead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(other than Serapha or Boundless Bio) in connection with or in response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(as defined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non-public information (other than an inquiry, indication of interest or request for information made or submitted by Serapha, on the one hand, or Boundless Bio, on the other hand, to the other party) that could reasonably be expected to lead to an Acquisition Proposal; provided, that “Acquisition Inquiry” will not include any inquiry, indication of interest or request for information relating to any Boundless Bio Legacy Transaction.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(other than an offer or proposal made or submitted by or on behalf of Serapha or any of its affiliates, on the one hand, or by or on behalf of Boundless Bio or any of its affiliates, on the other hand, to the other party) contemplating or otherwise relating to any Acquisition Transaction with such party; provided, that “Acquisition Proposal” will not include any offer or proposal relating to any Boundless Bio Legacy Transaction.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any Boundless Bio Legacy Transaction or the Serapha Pre-Closing Financing) involving: </w:t>
      </w:r>
    </w:p>
    <w:p>
      <w:pPr>
        <w:pStyle w:val="TextBody"/>
        <w:bidi w:val="0"/>
        <w:spacing w:before="24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(A)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(B)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compliance with the Merger Agreement, prior to the approval of the Boundless Bio Stockholder Matters by the Required Boundless Bio Stockholder Vote, Boundless Bio may furnish non-public information regarding Boundless Bio and its subsidiaries to, and enter into discussions or negotiations with, any person in response to a bona fide written Acquisition Proposal by such person, which the Boundless Bio Board of Directors determines in good faith, after consultation with Boundless Bio’s financial advisors and outside legal counsel, constitutes or is reasonably likely to result in a Superior Offer (and is not withdrawn),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Acquisition Proposal was not obtained or made as a result of a breach of the foregoing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concludes in good faith based on the advice of outside legal counsel, that the failure to take such action would reasonably be expected to be inconsistent with the Boundless Bio Board of Directors’ fiduciary duties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48 hours prior to initially furnishing any such nonpublic information to, or entering into discussions with, such person, Boundless Bio gives Serapha written notice of the identity of such person (unless such disclosure is prohibited pursuant to the terms of any confidentiality agreement with such person or group that is in effect as of the date of the Merger Agreement), and of Boundless Bio’s intention to furnish nonpublic information to, or enter into discussions with,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receives from such person an executed confidentiality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such nonpublic information to such person, Boundless Bio furnishes such nonpublic information to Serapha (to the extent not previously furnished by Boundless Bio to Serapha).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contrary to the Merger Agreement, Boundless Bio and its representatives may, in any event, contact any person to (i) seek to clarify the terms of any Acquisition Proposal made by such person to determine whether such Acquisition Proposal constitutes a Superior Offer and (ii) inform such person that has made such Acquisition Proposal of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(i) was not obtained or made as a direct or indirect result of a breach of the Merger Agreement, (ii) is on terms and conditions that the Boundless Bio Board of Directors or the Serapha Board of Directors, as applicable, determines in good faith, based on such matters that it deems relevant (including the likelihood of consummation thereof and the financing terms thereof and any termination or break up fees and conditions to consummation), as well as any written offer by the other party to amend the terms of the Merger Agreement, and following consultation with its outside legal counsel and financial advisors, if any, are more favorable, from a financial point of view, to Boundless Bio stockholders or Serapha stockholders, as applicable, than the terms of the Contemplated Transactions, (iii) is not subject to any financing conditions (and if financing is required, such financing is then fully committed to the third party) and (iv) is reasonably capable of being completed on the terms proposed.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24 hours after such party receives any such Acquisition Proposal or Acquisition Inquiry) advise the other party in writing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bookmarkStart w:id="33" w:name="tx108148_612"/>
      <w:bookmarkEnd w:id="33"/>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Serapha and Boundless Bio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and adoption of the Merger Agreement by the Required Boundless Bio Stockholder Vote, if (i) Boundless Bio receives a bona fide written Acquisition Proposal that the Boundless Bio Board of Directors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Acquisition Transaction or the consequences thereof, or (B) the fact, in and of itself, that Boundless Bio meets or exceeds internal budgets, plans or forecasts of its revenues, earnings or other financial performance or results of operations, or (C) any Boundless Bio Legacy Transaction) that affects the business, assets or operations of Boundless Bio and occurs or arises after the date of the Merger Agreement (a “Boundless Bio Intervening Event”), the Boundless Bio Board of Directors may amend, withdraw, or modify its recommendation in a manner adverse to Serapha.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 Superior Offer, the Boundless Bio Board of Directors must first: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Serapha in good faith to make such adjustments to the terms and conditions of the Merger Agreement so that such Acquisition Proposal ceases to constitute a Superior Offer, during the required four business day notice period and provide Serapha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Serapha delivers a written offer to alter the terms or conditions of the Merger Agreement during the required four business day notice period, the Boundless Bio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 Boundless Bio Intervening Event, the Boundless Bio Board of Directors must first promptly notify Serapha, in writing, at least four business days before making a change in its recommendation, stating the material facts and circumstances related to the applicable material development or change in circumstance and that the Boundless Bio Board of Directors intends to make a change in its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 Special Meeting and Written Consent of Serapha’s Stockholders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obligated under the Merger Agreement to take all action necessary under applicable law to call, give notice of and hold a meeting of the holders of Boundless Bio Common Stock for the purpose of considering and voting to approve the Boundless Bio Stockholder Matters, as further described herein (the “Required Boundless Bio Stockholder Vote”). The Boundless Bio Special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Promptly after this registration statement on Form S-4 has been declared effective, and no later than two business days thereafter, Serapha is required to obtain the approval by written consent from the holders of a majority of the outstanding shares of Serapha Capital Stock, voting together as a single class on an as-converted basis, and the holders of a majority of the outstanding shares of Serapha Series A Preferred Stock, voting as a separate class, to (i) adopt and approve the Merger Agreement and Contemplated Transactions (including the Merger), (ii) acknowledge that the approval given thereby is irrevocable and that such stockholders are aware of their rights to demand appraisal for their shares pursuant to Section 262 of the DGCL, and that such stockholder has received and read a copy of Section 262 of the DGCL and (iii) acknowledge that by their approval of the Merger, they are not entitled to appraisal rights with respect to their shares in connection with the Merger and thereby waive any rights to receive payment of the fair value of their capital stock under the DGCL (the “Required Serapha Stockholder Vote”). Serapha stockholders who do not execute such written consents may be entitled to appraisal rights under Section 262 of the DGCL, as described in the section titled “</w:t>
      </w:r>
      <w:r>
        <w:rPr>
          <w:rFonts w:ascii="Times New Roman" w:hAnsi="Times New Roman"/>
          <w:i/>
          <w:sz w:val="20"/>
        </w:rPr>
        <w:t>The Merger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Appraisal Rights and Dissenters’ Rights</w:t>
      </w:r>
      <w:r>
        <w:rPr>
          <w:rFonts w:ascii="Times New Roman" w:hAnsi="Times New Roman"/>
          <w:sz w:val="20"/>
        </w:rPr>
        <w:t xml:space="preserve">.” Reasonably promptly following receipt of the Required Serapha Stockholder Vote, Serapha will prepare and mail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reasonable best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Boundless Bio and Serapha have not yet determined whether any filing under the HSR Act or any other antitrust or competition law is required in connection with the Contemplated Transactions, or whether any regulatory approval from antitrust authorities will be required to consummate the transactions. </w:t>
      </w:r>
    </w:p>
    <w:p>
      <w:pPr>
        <w:pStyle w:val="TextBody"/>
        <w:bidi w:val="0"/>
        <w:spacing w:before="360" w:after="0"/>
        <w:jc w:val="left"/>
        <w:rPr>
          <w:rFonts w:ascii="Times New Roman" w:hAnsi="Times New Roman"/>
          <w:b/>
          <w:sz w:val="20"/>
        </w:rPr>
      </w:pPr>
      <w:bookmarkStart w:id="34" w:name="tx108148_695"/>
      <w:bookmarkEnd w:id="34"/>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on which the Effective Time occurs, Boundless Bio and the Surviving Corporation will indemnify and hold harmless each person who is now, or has been at any time prior to the date of the Merger Agreement, or who becomes prior to the Effective Time, a director or officer of Boundless Bio or Serapha,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Boundless Bio or Serapha (including in connection with the Merger Agreement, any of the Contemplated Transactions or Boundless Bio’s initial public offering of shares of Boundless Bio Common Stock), whether asserted or claimed prior to, at or after the Effective Time, in each case, to the fullest extent permitted under the DGCL. From and after the Effective Time, Boundless Bio and the Surviving Corporation will also fulfill Boundless Bio’s and Serapha’s indemnity obligations, respectively, to each person who is, has been, or who becomes prior to the Effective Time, a director or officer of Boundless Bio or Serapha.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of the Surviving Corporation will contain provisions no less favorable with respect to indemnification, advancement of expenses and exculpation of present and former directors and officers as those presently set forth in the Boundless Bio Charter and the Boundless Bio Bylaws. The provisions of the certificate of incorporation and bylaws of Boundless Bio and the Surviving Corporation with respect to indemnification, advancement of expenses and exculpation of present and former directors and officers shall not be amended, modified or repealed for a period of six years from the Effective Time in a manner that would adversely affect the rights thereunder of any indemnified officer or director, unless such amendment, modification or repeal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Boundless Bio will maintain directors’ and officers’ liability insurance policies, with an effective date as of the Closing Date, on commercially available terms and conditions and with coverage limits customary for U.S. public companies similarly situated to Boundless Bio. In addition, Boundless Bio will secure and purchase a six-year “tail policy” on Boundless Bio’s existing directors’ and officers’ liability insurance policy with an effective date as of the Closing Date.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expects to pay the Boundless Bio Pre-Closing Dividend to the holders of record of outstanding shares of Boundless Bio Common Stock as of a record date prior to the Effective Time, to be determined by the Boundless Bio Board of Directors, which is intended to be implemented and performed such that Boundless Bio Net Cash, after taking into account such Boundless Bio Pre-Closing Dividend, shall be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than $0 as of the Closing. The Boundless Bio Pre-Closing Dividend is expected to be approximately $44 to $48 million in the aggregate. The ex-dividend date in respect of such Boundless Bio Pre-Closing Dividend (i.e., the date on which shares of Boundless Bio Common Stock shall trade without the right to receive the Boundless Bio Pre-Closing Dividend) will be determined by Nasdaq. Boundless Bio stockholders of record who continue to hold their eligible shares of Boundless Bio Common Stock until market open on the ex-dividend date will be entitled to payment of the Boundless Bio Pre-Closing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Boundless Bio and Serapha has agreed to use its reasonable best efforts to take, or to cause to be taken, all actions necessary to consummate the Contemplated Transactions. In connection therewith, each party has agreed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Contemplated Transactions or for such contract to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Contemplated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Boundless Bio and Serapha have further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keep Serapha reasonably informed regarding any litigation or material developments in connection with any litigation against Boundless Bio and/or the Boundless Bio Board of Directors relating to the Merger Agreement or the Contemplated Transactions. Boundless Bio will have the right to control the defense of such litigation, but will reasonably consult with Serapha and consider in good faith any advice from Serapha and its representatives with respect to such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will promptly advise Boundless Bio of any initiation of or material developments in connection with any legal proceeding against Serapha and/or the Serapha Board of Directors relating to the Merger Agreement or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will cooperate with the other party in the defense of any such litigation, including by providing access to relevant documents and making its officers and other representatives reasonably available;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use its commercially reasonable efforts to maintain its listing on Nasdaq and cause the shares of Boundless Bio Common Stock being issued in connection with the Contemplated Transactions to be approved for listing on Nasdaq at or prior to the Effective Time. </w:t>
            </w:r>
          </w:p>
        </w:tc>
      </w:tr>
    </w:tbl>
    <w:p>
      <w:pPr>
        <w:pStyle w:val="TextBody"/>
        <w:bidi w:val="0"/>
        <w:spacing w:before="360" w:after="0"/>
        <w:jc w:val="left"/>
        <w:rPr>
          <w:rFonts w:ascii="Times New Roman" w:hAnsi="Times New Roman"/>
          <w:b/>
          <w:sz w:val="20"/>
        </w:rPr>
      </w:pPr>
      <w:bookmarkStart w:id="35" w:name="tx108148_610"/>
      <w:bookmarkEnd w:id="35"/>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Contemplated Transactions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Contemplated Transactions illegal;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will have obtained the Required Serapha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have obtained the Required Boundless Bio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Boundless Bio Common Stock on Nasdaq will have been approved by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regulatory waiting periods under the HSR Act will have expired or otherwise been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YolTech License Agreement will be in full force and effect and will not have been modified or amended in any manner that would have a materially adverse impact on the Surviving Corporation or Boundless Bio without Boundless Bio’s prior written consent;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Securities Purchase Agreement and the Series A Financing Agreement will be in full force and effect and Serapha will have received, or will receive substantially contemporaneously with the Closing, aggregate gross cash proceeds of not less than the Company Pre-Closing Financing Minimum Amount specified in the Merger Agreement in connection with the consummation of the Serapha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Serapha’s obligation to complete the Merger, certain Serapha investor agreements will have been terminated (or will be terminated as of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Boundless Bio’s obligation to complete the Merger, if Boundless Bio declares the Boundless Bio Pre-Closing Dividend, then such amount will have been deposited by Boundless Bio with Boundless Bio’s transfer agent for distribution to holders of Boundless Bio Common Stock as of the record date of the Boundless Bio Pre-Closing Dividend. </w:t>
            </w:r>
          </w:p>
        </w:tc>
      </w:tr>
    </w:tbl>
    <w:p>
      <w:pPr>
        <w:pStyle w:val="TextBody"/>
        <w:bidi w:val="0"/>
        <w:spacing w:before="360" w:after="0"/>
        <w:jc w:val="left"/>
        <w:rPr>
          <w:rFonts w:ascii="Times New Roman" w:hAnsi="Times New Roman"/>
          <w:b/>
          <w:sz w:val="20"/>
        </w:rPr>
      </w:pPr>
      <w:bookmarkStart w:id="36" w:name="tx108148_622"/>
      <w:bookmarkEnd w:id="36"/>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bookmarkStart w:id="37" w:name="tx108148_621"/>
      <w:bookmarkEnd w:id="37"/>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Effective Time, whether before or after the required stockholder approvals to complete the Merger have been obtained,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Boundless Bio and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Boundless Bio or Serapha, if the Merger has not been consummated by March 23, 2027 (the “End Date”) (subject to possible extension as provided in the Merger Agreement); provided, however, that this right to terminate the Merger Agreement will not be available to any party whose action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failure to act has been a principal cause of the failure of the Merger to occur on or before the End Date and such action or failure to act constitutes a breach of the Merger Agreement; provided, further, that if the SEC has not declared this registration statement on Form S-4 effective by the date that is 90 days prior to the End Date, then either party may extend the End Date for an additional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Boundless Bio or Serapha, if a court of competent jurisdiction or governmental entity has issued a final and non-appealable order, or has taken any other action, having the effect of permanently restraining, enjoining or otherwise prohibiting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if the Required Serapha Stockholder Vote has not been obtained and evidence thereof has not been delivered to Boundless Bio within two business days of the registration statement on Form S-4, of which this proxy statement/prospectus is a part, becoming effective; provided that this right to terminate the Merger Agreement will not be available to Boundless Bio once Serapha obtains the Required Serapha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Boundless Bio or Serapha, if (i) the Boundless Bio Special Meeting has been held and completed and Boundless Bio stockholders have taken a final vote on the Boundless Bio Stockholder Matters, and (ii) the Boundless Bio Stockholder Matters have not been approved at the Boundless Bio Special Meeting; provided that this right to terminate the Merger Agreement will not be available to Boundless Bio if the failure to obtain the Required Boundless Bio Stockholder Vote was caused by Boundless Bio’s action or failure to act and such action or failure to act constitutes a breach by Boundless Bio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Serapha, at any time prior to obtaining the approval of the Boundless Bio Stockholder Matters, if any of the following circumstances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fails to include in this proxy statement/prospectus the Boundless Bio Board of Directors’ recommendation that Boundless Bio stockholders vote to approve the Boundless Bio Stockholder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or any committee thereof, makes a board recommendation change in a manner adverse to Serapha (or publicly proposes to do so), or adopts, approves or recommends any Acquisition Proposal (or publicly proposes to do so);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at any time prior to obtaining the Required Serapha Stockholder Vote, if any of the following circumstances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makes a board recommendation change in a manner adverse to Boundless 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or any committee thereof, publicly approves, endorses or recommends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enters into any letter of intent or similar document or any contract relating to any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Serapha, if a Form 25 has been filed with respect to shares of Boundless Bio Common Stock by Boundless Bio or Nasdaq or any other cessation of listing of Boundless Bio Common Stock on Nasdaq; provided that this right to terminate the Merger Agreement will not be available to Serapha if such delisting event was primarily caused by Serapha’s refusal or unreasonable delay in consenting to reasonable actions by Boundless Bio to maintain the listing of Boundless Bio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Serapha, if Boundless Bio or Merger Sub have breached any of their representations, warranties, covenants or agreements contained in the Merger Agreement or if any representation or warranty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Boundless Bio or Merger Sub has become inaccurate, in either case such that the conditions to the Closing would not be satisfied as of the time of such breach or inaccuracy; provided that Serapha is not then in material breach of any representation, warranty, covenant or agreement under the Merger Agreement; provided, further, if such breach or inaccuracy is curable, then Serapha will not be permitted to terminate the Merger Agreement pursuant to this paragraph as a result of a particular breach or inaccuracy until the earlier of (i) the expiration of a 30-day period after delivery of written notice of such breach or inaccuracy from Serapha to Boundless Bio or Merger Sub and Serapha’s intention to terminate pursuant to this paragraph and (ii) Boundless Bio and Merger Sub (as applicable) ceasing to exercise commercially reasonable efforts to cure such breach following delivery of such written notice (it being understood that Serapha will not be permitted to terminate the Merger Agreement pursuant to this paragraph as a result of such particular breach or inaccuracy if such breach by Boundless Bio or Merger Sub is cured prior to such termination becoming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if Serapha has breached any of its representations, warranties, covenants or agreements contained in the Merger Agreement or if any representation or warranty of Serapha has become inaccurate, in either case such that the conditions to the Closing would not be satisfied as of the time of such breach or inaccuracy; provided that Boundless Bio is not then in material breach of any representation, warranty, covenant or agreement under the Merger Agreement; provided, further, if such breach or inaccuracy is curable, then Boundless Bio will not be permitted to terminate the Merger Agreement pursuant to this paragraph as a result of a particular breach or inaccuracy until the earlier of (i) the expiration of a 30-day period after delivery of written notice of such breach or inaccuracy from Boundless Bio to Serapha and Boundless Bio’s intention to terminate pursuant to this paragraph and (ii) Serapha ceasing to exercise commercially reasonable efforts to cure such breach following delivery of such written notice (it being understood that the Merger Agreement will not terminate pursuant to this paragraph as a result of such particular breach or inaccuracy if such breach by Serapha is cured prior to such termination becoming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(at any time prior to obtaining the Required Boundless Bio Stockholder Vote), upon Boundless Bio entering into a definitive agreement for a Superior Offer, subject to certain conditions;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if (i) closing conditions were satisfied or waived, (ii) Serapha failed to consummate the Closing on the date on which Serapha is required to consummate the Closing under the Merger Agreement, (iii) Boundless Bio has, at least two business days prior to seeking to terminate the Merger Agreement, irrevocably confirmed in a written notice to Serapha that Boundless Bio is ready, willing and able to consummate the Closing and (iv) Serapha has not consummated the Closing by the earlier of (x) the End Date and (y) the end of the second business day following delivery of Boundless Bio’s written confirmation referred to in clause (iii).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Boundless Bio </w:t>
      </w:r>
    </w:p>
    <w:p>
      <w:pPr>
        <w:pStyle w:val="TextBody"/>
        <w:bidi w:val="0"/>
        <w:spacing w:before="120" w:after="0"/>
        <w:jc w:val="left"/>
        <w:rPr>
          <w:rFonts w:ascii="Times New Roman" w:hAnsi="Times New Roman"/>
          <w:sz w:val="20"/>
        </w:rPr>
      </w:pPr>
      <w:r>
        <w:rPr>
          <w:rFonts w:ascii="Times New Roman" w:hAnsi="Times New Roman"/>
          <w:sz w:val="20"/>
        </w:rPr>
        <w:t xml:space="preserve">Boundless Bio must pay Serapha a termination fee of $1.0 million if (i) the Merger Agreement is terminated by Boundless Bio or Serapha pursuant to clause (v) above or by Serapha pursuant to clause (vi) above (and the Required Boundless Bio Stockholder Vote has not been obtained by Boundless Bio), (ii) at any time after the date of the Merger Agreement and prior to the Boundless Bio Special Meeting, an Acquisition Proposal with respect to Boundless Bio will have been publicly announced, disclosed or otherwise communicated to the Boundless Bio Board of Directors (and will not have been withdrawn), and (iii) within 12 months after the date of such termination, Boundless Bio enters into a definitive agreement with respect to a subsequent transaction or consummates a subsequent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Serapha </w:t>
      </w:r>
    </w:p>
    <w:p>
      <w:pPr>
        <w:pStyle w:val="TextBody"/>
        <w:bidi w:val="0"/>
        <w:spacing w:before="120" w:after="0"/>
        <w:jc w:val="left"/>
        <w:rPr>
          <w:rFonts w:ascii="Times New Roman" w:hAnsi="Times New Roman"/>
          <w:sz w:val="20"/>
        </w:rPr>
      </w:pPr>
      <w:r>
        <w:rPr>
          <w:rFonts w:ascii="Times New Roman" w:hAnsi="Times New Roman"/>
          <w:sz w:val="20"/>
        </w:rPr>
        <w:t xml:space="preserve">Serapha must pay Boundless Bio a termination fee of $1.0 million if (i) the Merger Agreement is terminated by Boundless Bio pursuant to clause (iv) or (vii) above, or (ii) the Merger Agreement is terminated by Boundless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 pursuant to clause (xii) above and at any time after the date of the Merger Agreement and before obtaining the Required Serapha Stockholder Vote, an Acquisition Proposal with respect to Serapha will have been publicly announced, disclosed or otherwise communicated to the Serapha Board of Directors (and will not have been withdrawn), and within 12 months after the date of such termination, Serapha enters into a definitive agreement with respect to a subsequent transaction or consummates a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Serapha must reimburse Boundless Bio for up to $1.0 million of documented and reasonable expenses incurred by Boundless Bio in connection with the Contemplated Transactions if the Merger Agreement is terminated by Serapha or Boundless Bio pursuant to clause (ii) above due to the failure of the Closing to occur on or prior to the End Date, and such failure is primarily caused by Serapha’s inability to timely provide the required Form S-4 information reasonably requested by Boundless Bio for inclusion in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Contemplated Transactions will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208 of this proxy statement/prospectus, and except that Boundless Bio and Serapha will share equally in any fees and expenses incurred in relation to (i) the filings with the SEC of the registration statement on Form S-4 (including any financial statements and exhibits) and any related amendments or supplements and paid to a financial printer or the SEC and (ii) the printing, mailing and distribution of the proxy statement/prospectus and any amendments and supplements.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x108148_12"/>
      <w:bookmarkEnd w:id="38"/>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39" w:name="tx108148_623"/>
      <w:bookmarkEnd w:id="39"/>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Decheng Capital Global Life Sciences Fund V-A, L.P., Decheng Capital Global Life Sciences Fund V-B, L.P., Decheng Capital Global Life Sciences Fund V, L.P., RA Capital Healthcare Fund, L.P., RA Capital Nexus Fund IV, L.P. and RTW Holdings X, LLC (solely in their respective capacities as Serapha stockholders) holding approximately 65% of the outstanding shares of Serapha Capital Stock, have entered into support agreements with Serapha and Boundless Bio to vote all of their shares of Serapha Capital Stock in favor of the adoption and approval of the Merger Agreement, the other Contemplated Transactions and the other actions contemplated by the Merger Agreement and against any alternative Acquisition Proposal. Certain executive officers and directors of Boundless Bio holding approximately 1.7% of the outstanding shares of Boundless Bio Capital Stock have entered into support agreements with Boundless Bio and Serapha to vote all of their shares of Boundless Bio Capital Stock in favor of approving the Contemplated Transactions, including the Boundless Bio Stockholder Matters and the other actions contemplated by the Merger Agreement and against any alternative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Boundless Bio Support Agreements and Serapha Support Agreements does not purport to be complete and is qualified in its entirety by the full text of the form of Boundless Bio Support Agreement and the form of Serapha Support Agreement, which are attached hereto as </w:t>
      </w:r>
      <w:r>
        <w:rPr>
          <w:rFonts w:ascii="Times New Roman" w:hAnsi="Times New Roman"/>
          <w:i/>
          <w:sz w:val="20"/>
        </w:rPr>
        <w:t>Annex G</w:t>
      </w:r>
      <w:r>
        <w:rPr>
          <w:rFonts w:ascii="Times New Roman" w:hAnsi="Times New Roman"/>
          <w:sz w:val="20"/>
        </w:rPr>
        <w:t xml:space="preserve"> and </w:t>
      </w:r>
      <w:r>
        <w:rPr>
          <w:rFonts w:ascii="Times New Roman" w:hAnsi="Times New Roman"/>
          <w:i/>
          <w:sz w:val="20"/>
        </w:rPr>
        <w:t>H</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bookmarkStart w:id="40" w:name="tx108148_624"/>
      <w:bookmarkEnd w:id="40"/>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Serapha’s executive officers and directors will enter into lock-up agreements, pursuant to which such parties will agree not to, except in limited circumstances, offer, pledge, sell, contract to sell, sell any option or contract to purchase, purchase any option or contract to sell, grant any option, right or warrant to purchase, lend or otherwise transfer or dispose of, directly or indirectly, any shares of Boundless Bio Common Stock or any securities convertible into or exercisable or exchangeable for Boundless Bio Common Stock, currently or thereafter owned, but excluding, as applicable, shares purchased by existing Serapha stockholders in the Serapha Pre-Closing Financing (including any shares of Boundless Bio Common Stock issuable upon exercise of Assumed Warrants issued in exchange for Serapha Pre-Funded Warrants sold in the Serapha Pre-Closing Financing and the Boundless Bio Pre-Funded Warrants),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lock-up agreements does not purport to be complete and is qualified in its entirety by the full text of the form of lock-up agreement, which is attached hereto as </w:t>
      </w:r>
      <w:r>
        <w:rPr>
          <w:rFonts w:ascii="Times New Roman" w:hAnsi="Times New Roman"/>
          <w:i/>
          <w:sz w:val="20"/>
        </w:rPr>
        <w:t>Annex I</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1" w:name="tx108148_225"/>
      <w:bookmarkEnd w:id="41"/>
      <w:r>
        <w:rPr>
          <w:rFonts w:ascii="Times New Roman" w:hAnsi="Times New Roman"/>
          <w:b/>
          <w:sz w:val="20"/>
        </w:rPr>
        <w:t xml:space="preserve">Series A Financing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institutional and accredited investors of Serapha entered into the Series A Financing Agreement, pursuant to which such investors invested in a private placement of Serapha Series A Preferred Stock for an aggregate purchase price of approximately $138 million.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A Financing Agreement contains customary representations and warranties of Serapha and also contains customary representations and warranties of the purchaser parties thereto. </w:t>
      </w:r>
    </w:p>
    <w:p>
      <w:pPr>
        <w:pStyle w:val="TextBody"/>
        <w:bidi w:val="0"/>
        <w:spacing w:before="360" w:after="0"/>
        <w:jc w:val="left"/>
        <w:rPr>
          <w:rFonts w:ascii="Times New Roman" w:hAnsi="Times New Roman"/>
          <w:b/>
          <w:sz w:val="20"/>
        </w:rPr>
      </w:pPr>
      <w:bookmarkStart w:id="42" w:name="tx108148_226"/>
      <w:bookmarkStart w:id="43" w:name="tx108148_703"/>
      <w:bookmarkEnd w:id="42"/>
      <w:bookmarkEnd w:id="43"/>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institutional and accredited investors entered into the Securities Purchase Agreement with Serapha, pursuant to which such investors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agreed to purchase, immediately prior to the Merger, shares of Serapha Common Stock or, in lieu thereof, Serapha Pre-Funded Warrants, representing an aggregate commitment of approximately $92 million in the Serapha Pre-Closing Financing. Under the Securities Purchase Agreement, the number of shares of Serapha Common Stock or Serapha Pre-Funded Warrants, as applicable, shall be determined at a purchase price per share or pre-funded warrant equal to (i) a valuation for Serapha equal to approximately $303.7 million (which represents the sum of the Serapha Equity Value of approximately $73.7 million and approximately $230 million of aggregate cash proceeds of the Serapha Pre-Closing Financing), (ii) divided by the number of fully diluted shares of Serapha Common Stock outstanding immediately prior to the Effective Time (including the securities being issued under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Serapha Pre-Funded Warrants will have an exercise price per share equal to $0.00001 (as adjusted from time to time as provided in the form of pre-funded warrant) and may be exercised at any time and from time to time after the original issue date. The Serapha Pre-Funded Warrants do not expire. The foregoing description of the form of pre-funded warrant does not purport to be complete and is qualified in its entirety by the full text of the form of pre-funded warrant, which is filed as Exhibit 4.4 to the registration statement of which this proxy statement/prospectus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Serapha Common Stock and Serapha Pre-Funded Warrants that are issued in the Serapha Pre-Closing Financing will be or will have the right to be, respectively, converted into shares of Boundless Bio Common Stock in the Merger. Accordingly, by approving Proposal No. 1 relating to the Merger, Boundless Bio stockholders will also be approving the issuance of shares of Boundless Bio Common Stock to be issued in exchange for all shares of Serapha Common Stock and upon exercise of Serapha Pre-Funded Warrants that are sold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Serapha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Serapha Common Stock and/or Serapha Pre-Funded Warrants from Serapha pursuant to the Securities Purchase Agreement is subject to the satisfaction or waiver of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representations and warranties in the Securities Purchase Agreement being true and correct in all respects as of the effective date of the Securities Purchase Agreement and true and correct in all material respects as of the closing date for the Serapha Pre-Closing Financing,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performed and complied in all material respects with the obligations and conditions required to be performed or complied with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regulation, order, judgment, injunction, decree or other restriction of a governmental authority having been issued prohibiting the consummation of the Serapha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has occurred that is continuing, since the date of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federal, state and local laws regarding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breaches, outages, or unauthorized uses of or accesses to Serapha’s information technology assets that would require notification under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furnished all required materials to the transfer agent to reflect issuance of the shares at closing of the Serapha Pre-Closing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Serapha’s counsel, dated as of closing of the Serapha Pre 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delivered the registration rights agreement required by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become effective under the Securities Act, no stop order suspending the effectiveness of this registration statement shall have been issued and no proceeding for that purpose shall have been initiated or threatened in writing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Serapha Pre-Closing Financing and other than those conditions which, by their nature, are to be satisfied at the Closing of the transactions contemplated by the Merger) and the Closing being set to occur substantially concurrently with the closing of the Serapha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Serapha’s obligation to sell shares of Serapha Common Stock or Serapha Pre-Funded Warrants, as applicable, to each purchaser pursuant to the Securities Purchase Agreement is subject to the satisfaction or waiver of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closing date of the Serapha Pre-Closing Financing,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obligations and conditions required to be performed or complied with by each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Serapha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received payment in full from each investor as required by the Securities Purchase Agreement,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Securities Purchase Agreement does not purport to be complete and is qualified in its entirety by the full text of the form of Securities Purchase Agreement, which is attached hereto as </w:t>
      </w:r>
      <w:r>
        <w:rPr>
          <w:rFonts w:ascii="Times New Roman" w:hAnsi="Times New Roman"/>
          <w:i/>
          <w:sz w:val="20"/>
        </w:rPr>
        <w:t>Annex J</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4" w:name="tx108148_227"/>
      <w:bookmarkStart w:id="45" w:name="tx108148_702"/>
      <w:bookmarkEnd w:id="44"/>
      <w:bookmarkEnd w:id="45"/>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Purchase Agreement contemplates Serapha and the investors participating in the Serapha Pre-Closing Financing entering into the Registration Rights Agreement at the closing of the Serapha Pre-Closing Financing, pursuant to which, among other things, the Combined Company will agree to provide for the registration and resale of shares of Boundless Bio Common Stock issued in exchange for shares of Serapha Common Stock sold in the Serapha Pre-Closing Financing or Assumed Warrants issued upon conversion of the Serapha Pre-Funded Warrants sold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Combined Company will agree to prepare and file a resale registration statement covering the resale of the Boundless Bio Common Stock within 45 calendar days of the closing of the Serapha Pre-Closing Financing pursuant to Rule 415 and to use its commercially reasonable efforts to keep such registration statement continuously effective under the Securities Act until the earlier of the date that all registrable securities covered by such registration statement (i) have been sold thereunder or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Rule 144 of the Securities Act (“Rule 144”), (ii) may be sold without volume or manner-of-sale restrictions pursuant to Rule 144 and without the requirement for the Combined Company to be in compliance with the current public information requirement under Rule 144, (iii) have been exchanged for unrestricted shares of Boundless Bio Common Stock under an effective registration statement on Form S-4, if available, or if unavailable, another appropriate form filed with the SEC, subject to certain exceptions, and (iv)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4.5 to this registration statement on Form S-4 of which this proxy statement/prospectus is a part, and the foregoing description of the Registration Rights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12, 2026, Serapha entered into an exclusive sub-licensable, royalty-bearing license agreement (the “YolTech License Agreement”) with YolTech Therapeutics Co., Ltd. (“YolTech”), under which Serapha obtained worldwide rights, excluding Greater China, to develop, manufacture and commercialize SERP-01 and other SERPINA1-directed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warrant to purchase shares of non-voting Serapha Series A-1 Preferred Stock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(after taking into account the 2026 Stock Plan and 2026 ESPP). YolTech is also eligible to receive up to approximately $167.0 million in certain development and regulatory milestone payments and up to approximately $1.88 billion in sales-based milestone payments, as well as tiered royalties of a percentage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SERPINA1-directed gene therapies, subject to customary acquisition-related exceptions. Serapha may terminate the agreement for convenience on prior notice, and each 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YolTech License Agreement does not purport to be complete and is qualified in its entirety by the full text of the YolTech License Agreement, a copy of which is filed as Exhibit 10.5 to the registration statement of which this proxy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x108148_13"/>
      <w:bookmarkEnd w:id="46"/>
      <w:r>
        <w:rPr>
          <w:rFonts w:ascii="Times New Roman" w:hAnsi="Times New Roman"/>
          <w:b/>
          <w:sz w:val="20"/>
        </w:rPr>
        <w:t xml:space="preserve">BOUNDLESS BIO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named executive officers (“NEOs”) for 2025, which consist of the individual who served as Boundless Bio’s principal executive officer during 2025 and its next two most highly compensated executive officers who were serving as executive officers as of December 31, 2025,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Zachary D. Hornby, former Chief Executive Officer, President, and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Robert Doebele, M.D., Ph.D., former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Christian Hassig, Ph.D., former Chief Scientific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primary elements of compensation for Boundless Bio’s NEOs are base salary, annual performance bonuses, and equity awards. Boundless Bio’s NEOs also participate in employee benefit plans and programs that it offers to its other employees, as described below. The following table presents summary information regarding the compensation that was awarded to, earned by, or paid to Boundless Bio’s NEOs for services rendered during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4"/>
        <w:gridCol w:w="139"/>
        <w:gridCol w:w="60"/>
        <w:gridCol w:w="507"/>
        <w:gridCol w:w="60"/>
        <w:gridCol w:w="139"/>
        <w:gridCol w:w="60"/>
        <w:gridCol w:w="800"/>
        <w:gridCol w:w="60"/>
        <w:gridCol w:w="139"/>
        <w:gridCol w:w="60"/>
        <w:gridCol w:w="982"/>
        <w:gridCol w:w="60"/>
        <w:gridCol w:w="139"/>
        <w:gridCol w:w="102"/>
        <w:gridCol w:w="1403"/>
        <w:gridCol w:w="60"/>
        <w:gridCol w:w="139"/>
        <w:gridCol w:w="136"/>
        <w:gridCol w:w="1288"/>
        <w:gridCol w:w="60"/>
        <w:gridCol w:w="139"/>
        <w:gridCol w:w="60"/>
        <w:gridCol w:w="982"/>
        <w:gridCol w:w="67"/>
      </w:tblGrid>
      <w:tr>
        <w:trPr/>
        <w:tc>
          <w:tcPr>
            <w:tcW w:w="256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39"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($)(2)</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($)(3)</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7" w:type="dxa"/>
            <w:tcBorders/>
            <w:vAlign w:val="bottom"/>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Zachary D. Hornby(4)</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638,000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628,350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333,355</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1,603,205</w:t>
            </w:r>
          </w:p>
        </w:tc>
        <w:tc>
          <w:tcPr>
            <w:tcW w:w="67" w:type="dxa"/>
            <w:tcBorders/>
            <w:shd w:fill="CCEEFF" w:val="clear"/>
            <w:vAlign w:val="bottom"/>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President, Chief Executive Officer, and Director</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594,558</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5,175,279</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281,586</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3,450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6,054,873</w:t>
            </w:r>
          </w:p>
        </w:tc>
        <w:tc>
          <w:tcPr>
            <w:tcW w:w="67" w:type="dxa"/>
            <w:tcBorders/>
            <w:shd w:fill="CCEEFF" w:val="clear"/>
            <w:vAlign w:val="bottom"/>
          </w:tcPr>
          <w:p>
            <w:pPr>
              <w:pStyle w:val="TableContents"/>
              <w:bidi w:val="0"/>
              <w:spacing w:before="0" w:after="283"/>
              <w:jc w:val="left"/>
              <w:rPr/>
            </w:pPr>
            <w:r>
              <w:rPr/>
              <w:t> </w:t>
            </w:r>
          </w:p>
        </w:tc>
      </w:tr>
      <w:tr>
        <w:trPr/>
        <w:tc>
          <w:tcPr>
            <w:tcW w:w="2564" w:type="dxa"/>
            <w:tcBorders/>
          </w:tcPr>
          <w:p>
            <w:pPr>
              <w:pStyle w:val="TableContents"/>
              <w:bidi w:val="0"/>
              <w:spacing w:before="0" w:after="0"/>
              <w:jc w:val="left"/>
              <w:rPr>
                <w:rFonts w:ascii="Times New Roman" w:hAnsi="Times New Roman"/>
                <w:sz w:val="20"/>
              </w:rPr>
            </w:pPr>
            <w:r>
              <w:rPr>
                <w:rFonts w:ascii="Times New Roman" w:hAnsi="Times New Roman"/>
                <w:sz w:val="20"/>
              </w:rPr>
              <w:t>Robert Doebele, M.D., Ph.D.(5)</w:t>
            </w:r>
          </w:p>
          <w:p>
            <w:pPr>
              <w:pStyle w:val="TableContents"/>
              <w:bidi w:val="0"/>
              <w:spacing w:before="0" w:after="20"/>
              <w:jc w:val="left"/>
              <w:rPr>
                <w:rFonts w:ascii="Times New Roman" w:hAnsi="Times New Roman"/>
                <w:sz w:val="20"/>
              </w:rPr>
            </w:pPr>
            <w:r>
              <w:rPr>
                <w:rFonts w:ascii="Times New Roman" w:hAnsi="Times New Roman"/>
                <w:sz w:val="20"/>
              </w:rPr>
              <w:t>Former Chief Medical Officer</w:t>
            </w:r>
          </w:p>
        </w:tc>
        <w:tc>
          <w:tcPr>
            <w:tcW w:w="13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7"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458,508</w:t>
            </w:r>
          </w:p>
        </w:tc>
        <w:tc>
          <w:tcPr>
            <w:tcW w:w="60" w:type="dxa"/>
            <w:tcBorders/>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2" w:type="dxa"/>
            <w:tcBorders/>
          </w:tcPr>
          <w:p>
            <w:pPr>
              <w:pStyle w:val="TableContents"/>
              <w:bidi w:val="0"/>
              <w:spacing w:before="0" w:after="283"/>
              <w:jc w:val="right"/>
              <w:rPr/>
            </w:pPr>
            <w:r>
              <w:rPr/>
              <w:t>333,000</w:t>
            </w:r>
          </w:p>
        </w:tc>
        <w:tc>
          <w:tcPr>
            <w:tcW w:w="60" w:type="dxa"/>
            <w:tcBorders/>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1403" w:type="dxa"/>
            <w:tcBorders/>
          </w:tcPr>
          <w:p>
            <w:pPr>
              <w:pStyle w:val="TableContents"/>
              <w:bidi w:val="0"/>
              <w:spacing w:before="0" w:after="283"/>
              <w:jc w:val="right"/>
              <w:rPr/>
            </w:pPr>
            <w:r>
              <w:rPr/>
              <w:t>183,333</w:t>
            </w:r>
          </w:p>
        </w:tc>
        <w:tc>
          <w:tcPr>
            <w:tcW w:w="60" w:type="dxa"/>
            <w:tcBorders/>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c>
          <w:tcPr>
            <w:tcW w:w="1288" w:type="dxa"/>
            <w:tcBorders/>
          </w:tcPr>
          <w:p>
            <w:pPr>
              <w:pStyle w:val="TableContents"/>
              <w:bidi w:val="0"/>
              <w:spacing w:before="0" w:after="283"/>
              <w:jc w:val="right"/>
              <w:rPr/>
            </w:pPr>
            <w:r>
              <w:rPr/>
              <w:t>3,500</w:t>
            </w:r>
          </w:p>
        </w:tc>
        <w:tc>
          <w:tcPr>
            <w:tcW w:w="60" w:type="dxa"/>
            <w:tcBorders/>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2" w:type="dxa"/>
            <w:tcBorders/>
          </w:tcPr>
          <w:p>
            <w:pPr>
              <w:pStyle w:val="TableContents"/>
              <w:bidi w:val="0"/>
              <w:spacing w:before="0" w:after="283"/>
              <w:jc w:val="right"/>
              <w:rPr/>
            </w:pPr>
            <w:r>
              <w:rPr/>
              <w:t>978,341</w:t>
            </w:r>
          </w:p>
        </w:tc>
        <w:tc>
          <w:tcPr>
            <w:tcW w:w="67" w:type="dxa"/>
            <w:tcBorders/>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Christian Hassig, Ph.D.(6)</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478,300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202,350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191,200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875,350</w:t>
            </w:r>
          </w:p>
        </w:tc>
        <w:tc>
          <w:tcPr>
            <w:tcW w:w="67" w:type="dxa"/>
            <w:tcBorders/>
            <w:shd w:fill="CCEEFF" w:val="clear"/>
            <w:vAlign w:val="bottom"/>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Chief Scientific Officer</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453,118</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1,541,030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158,276</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3,450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2,155,874</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option awards in 2025, the amounts disclosed represent the aggregate grant date fair value of the options granted in 2025 as calculated in accordance with Financial Accounting Standards Board Accounting Standards Codification Topic 718 (“ASC 718”). With respect to the option awards in 2024, the amounts disclosed represent the aggregate grant date fair value of the options granted in 2024 as calculated in accordance with ASC 718 and also include the following incremental fair value associated with the modification of the exercise prices of Boundless Bio’s NEOs’ options in connection with its option repricing in August 2024, also calculated in accordance with ASC 718: $235,666 for Mr. Hornby and $70,290 for Dr. Hassig. All options are also subject to vesting acceleration under certain circumstances as more fully described in the section titled “Severance and Change in Control Severance Plan.” The amounts in this column do not correspond to the actual value that may be recognized by the NEOs upon vesting of the applicable awards. For a discussion of the assumptions used in calculating the grant date fair value of the awards and the incremental fair value reported in this column, see Notes 2 and 10 to the financial statements included in Boundless Bio’s Annual Report on Form 10-K for the year ended December 31, 2025 filed with the SEC on March 9,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annual performance cash bonuses earned with respect to the applicable year.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matching contributions earned by the NEOs under Boundless Bio’s 401(k) plan ($3,500 for 2025 and $3,450 for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Hornby ceased his role as President, Chief Executive Officer and as a member of the Boundless Bio Board of Directors effective July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Doebele commenced employment with Boundless Bio on February 3, 2025. Dr. Doebele ceased his role as Chief Medical Officer effective July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Hassig ceased his role as Chief Scientific Officer effective July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pays its NEOs a base salary to compensate them for their performance of services rendered to Boundless Bio. The base salary payable to each NEO is intended to provide a fixed component of compensation reflecting the executive’s skill set, experience, role, and responsibilities. Base salaries for Boundless Bio’s NEOs have generally been set at levels deemed necessary to attract and retain individuals with superior talent. Boundless Bio expects that base salaries for its NEOs will be reviewed periodically by its Compensation Committee, with adjustments expected to be made generally in accordance with the considerations described above and to maintain base salaries at competitive levels. </w:t>
      </w:r>
    </w:p>
    <w:p>
      <w:pPr>
        <w:pStyle w:val="TextBody"/>
        <w:bidi w:val="0"/>
        <w:spacing w:before="240" w:after="0"/>
        <w:jc w:val="left"/>
        <w:rPr>
          <w:rFonts w:ascii="Times New Roman" w:hAnsi="Times New Roman"/>
          <w:sz w:val="20"/>
        </w:rPr>
      </w:pPr>
      <w:r>
        <w:rPr>
          <w:rFonts w:ascii="Times New Roman" w:hAnsi="Times New Roman"/>
          <w:sz w:val="20"/>
        </w:rPr>
        <w:t xml:space="preserve">The annual base salaries for Boundless Bio’s NEOs for 2025 were established in early 2025 by its Compensation Committee in connection with its standard annual review. </w:t>
      </w:r>
    </w:p>
    <w:p>
      <w:pPr>
        <w:pStyle w:val="TextBody"/>
        <w:bidi w:val="0"/>
        <w:spacing w:before="240" w:after="0"/>
        <w:jc w:val="left"/>
        <w:rPr>
          <w:rFonts w:ascii="Times New Roman" w:hAnsi="Times New Roman"/>
          <w:sz w:val="20"/>
        </w:rPr>
      </w:pPr>
      <w:r>
        <w:rPr>
          <w:rFonts w:ascii="Times New Roman" w:hAnsi="Times New Roman"/>
          <w:sz w:val="20"/>
        </w:rPr>
        <w:t xml:space="preserve">Effective January 1, 2025, Boundless Bio’s NEOs’ annual base salaries were increased as follows: Mr. Hornby, from $620,000 to $638,000, and Dr. Hassig, from $460,000 to $478,000. Dr. Doebele’s annual base salary for 2025 was $500,000 and was established in connection with his commencement of employment with Boundless Bio in February 2025. </w:t>
      </w:r>
    </w:p>
    <w:p>
      <w:pPr>
        <w:pStyle w:val="TextBody"/>
        <w:bidi w:val="0"/>
        <w:spacing w:before="360" w:after="0"/>
        <w:jc w:val="left"/>
        <w:rPr>
          <w:rFonts w:ascii="Times New Roman" w:hAnsi="Times New Roman"/>
          <w:b/>
          <w:sz w:val="20"/>
        </w:rPr>
      </w:pPr>
      <w:r>
        <w:rPr>
          <w:rFonts w:ascii="Times New Roman" w:hAnsi="Times New Roman"/>
          <w:b/>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base salaries, Boundless Bio’s NEOs are eligible to receive annual performance-based cash bonuses, which are designed to provide appropriate incentives to its executives to achieve annual corporate goals and to reward its executives for individual achievement towards these goals. The annual performance-based bonus each NEO is eligible to receive is based on the extent to which Boundless Bio achieves the corporate goals that the Boundless Bio Board of Directors establishes each year. At the end of the year, the Boundless Bio Board of Directors reviews Boundless Bio’s performance against each corporate goal and determines the extent to which Boundless Bio achieved each of its corporate goals. </w:t>
      </w:r>
    </w:p>
    <w:p>
      <w:pPr>
        <w:pStyle w:val="TextBody"/>
        <w:bidi w:val="0"/>
        <w:spacing w:before="240" w:after="0"/>
        <w:jc w:val="left"/>
        <w:rPr>
          <w:rFonts w:ascii="Times New Roman" w:hAnsi="Times New Roman"/>
          <w:sz w:val="20"/>
        </w:rPr>
      </w:pPr>
      <w:r>
        <w:rPr>
          <w:rFonts w:ascii="Times New Roman" w:hAnsi="Times New Roman"/>
          <w:sz w:val="20"/>
        </w:rPr>
        <w:t xml:space="preserve">For 2025, Mr. Hornby was eligible to receive a target annual bonus equal to 55% of his annual base salary, and Boundless Bio’s other NEOs were eligible to receive target annual bonuses equal to 40% of their respective annual base salaries. Dr. Doebele’s annual bonus was prorated based on his partial year of employment with Boundless Bio.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goals the Boundless Bio Board of Directors established for 2025 related to product development and pipeline goals, as well as corporate development and operational goals. Bonuses are usually determined and paid in the first quarter of the following year. Based on Boundless Bio’s performance against the approved company objectives, Boundless Bio’s Compensation Committee determined to fund the 2025 bonus plan at 100% of the target level for each of its NEOs other than Mr. Hornby and at 95% of the target level for Mr. Hornby. </w:t>
      </w:r>
    </w:p>
    <w:p>
      <w:pPr>
        <w:pStyle w:val="TextBody"/>
        <w:bidi w:val="0"/>
        <w:spacing w:before="240" w:after="0"/>
        <w:jc w:val="left"/>
        <w:rPr>
          <w:rFonts w:ascii="Times New Roman" w:hAnsi="Times New Roman"/>
          <w:sz w:val="20"/>
        </w:rPr>
      </w:pPr>
      <w:r>
        <w:rPr>
          <w:rFonts w:ascii="Times New Roman" w:hAnsi="Times New Roman"/>
          <w:sz w:val="20"/>
        </w:rPr>
        <w:t xml:space="preserve">Actual amounts paid to each NEO for 2025 performance are set forth in the “Non-equity incentive plan compensation” column of the “Summary Compensation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equity-based incentive awards are designed to align its interests and the interests of its stockholders with those of its employees and consultants, including its NEOs. The Boundless Bio Board of Directors and Compensation Committee are responsible for approving equity grants. Boundless Bio typically grants equity awards to new hires upon their commencing employment with Boundless Bio. Generally, Boundless Bio’s equity awards vest over four years, subject to the employee’s continued employment with Boundless Bio on each vesting date. Option awards are eligible for accelerated vesting on the terms provided in the “Severance and Change in Control Severance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granted its NEOs stock options during 2025 as part of their total compensation packages.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Boundless Bio granted Mr. Hornby and Dr. Hassig options to purchase 295,000 and 95,000 shares of Boundless Bio Common Stock, respectively, under the Boundless Bio 2024 Plan. The options were granted with an exercise price of $2.57 per share and vest over a period of four years in equal monthly installments beginning on the first monthly anniversary of the vesting commencement date, subject to the NEO’s continuous service with Boundless Bio as of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2025, in connection with his commencement of employment with Boundless Bio, it granted Dr. Doebele options to purchase 180,000 shares of Boundless Bio Common Stock under the Boundless Bio 2024 Plan. The options were granted with an exercise price of $2.23 per share and vest over a period of four years, with 25% of the options vesting on the first anniversary of Dr. Doebele’s commencement of employment with Boundless Bio, and the remaining options vesting in equal monthly installments thereafter, subject to his continuous service with Boundless Bio as of each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All of Boundless Bio’s current NEOs are eligible to participate in its employee benefit plans, including its medical, dental, vision, disability, and life insurance plans, in each case on the same basis as all of its other employees. Boundless Bio generally does not provide perquisites or personal benefits to its NEOs, except in limited circumstances. The Boundless Bio Board of Directors may elect to adopt qualified or non-qualified benefit plans in the future if it determines that doing so is in Boundless Bio’s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NEOs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The 401(k) plan provides for discretionary matching and profit-sharing contributions. In 2025, Boundless Bio provided matching contributions equal to 25% of the first 4% of eligible contributions deferred by its employees, not to exceed 1% of an employee’s eligible compensation. The Boundless Bio Board of Directors may elect to adopt qualified or nonqualified retirement plans in the future, if it determines that doing so is in its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maintain nonqualified defined contribution plans or other nonqualified deferred compensation plans. The Boundless Bio Board of Directors may elect to provide its officers and other employees with nonqualified defined contribution or other nonqualified deferred compensation benefits in the future if it determines that doing so is in its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adopted a Policy for Recovery of Erroneously Awarded Compensation (also known as a clawback policy) that is compliant with the Nasdaq listing rules, as required by the Dodd-Frank Act, and can be accessed in Boundless Bio’s Annual Report on Form 10-K for the year ended December 31, 2025 filed with the SEC on March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Equity Award Grant Practices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had no program, plan, or practice pertaining to the timing of stock option grants to NEOs coinciding with the release of material non-public information (“MNPI”). Annual grants of stock options to employees are typically approved by Boundless Bio’s Compensation Committee or its president and chief executive officer pursuant to a delegation of authority from its Compensation Committee in the first quarter of each year as part of its annual compensation cycle. The Boundless Bio Board of Directors or Compensation Committee may also approve grants at other times as they deem appropriate. The timing of any equity grants to newly-hired employees, or in connection with promotions or other non-routine grants, is generally tied to the event giving rise to the award, although non-executive new hire stock option awards are generally approved at the beginning of the calendar month following the individual’s commencement of employment. Boundless Bio does not grant equity awards in anticipation of the release of MNPI, and it does not time the release of MNPI for the purpose of affecting the value of executive compensation. For all stock option awards, the exercise price is no less than the closing price of Boundless Bio Common Stock on the date of the grant (or if the grant date is not a trading day, then on the immediately preceding trading day). During 2025, Boundless Bio did not grant stock options, stock appreciation rights, or similar option-like instruments to its NEOs during the four business days prior to or the one business day following the filing of its periodic reports or the filing or furnishing of a Form 10-K, 10-Q, or Form 8-K that discloses MNPI.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outstanding stock options held by each of Boundless Bio’s NEOs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8"/>
        <w:gridCol w:w="147"/>
        <w:gridCol w:w="60"/>
        <w:gridCol w:w="1001"/>
        <w:gridCol w:w="354"/>
        <w:gridCol w:w="93"/>
        <w:gridCol w:w="82"/>
        <w:gridCol w:w="1521"/>
        <w:gridCol w:w="60"/>
        <w:gridCol w:w="147"/>
        <w:gridCol w:w="85"/>
        <w:gridCol w:w="1141"/>
        <w:gridCol w:w="60"/>
        <w:gridCol w:w="147"/>
        <w:gridCol w:w="97"/>
        <w:gridCol w:w="1312"/>
        <w:gridCol w:w="60"/>
        <w:gridCol w:w="147"/>
        <w:gridCol w:w="96"/>
        <w:gridCol w:w="726"/>
        <w:gridCol w:w="60"/>
        <w:gridCol w:w="147"/>
        <w:gridCol w:w="60"/>
        <w:gridCol w:w="995"/>
        <w:gridCol w:w="69"/>
      </w:tblGrid>
      <w:tr>
        <w:trPr/>
        <w:tc>
          <w:tcPr>
            <w:tcW w:w="1538"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53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5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9" w:type="dxa"/>
            <w:tcBorders/>
            <w:vAlign w:val="bottom"/>
          </w:tcPr>
          <w:p>
            <w:pPr>
              <w:pStyle w:val="TableContents"/>
              <w:bidi w:val="0"/>
              <w:spacing w:before="0" w:after="283"/>
              <w:jc w:val="left"/>
              <w:rPr/>
            </w:pPr>
            <w:r>
              <w:rPr/>
              <w:t> </w:t>
            </w:r>
          </w:p>
        </w:tc>
      </w:tr>
      <w:tr>
        <w:trPr/>
        <w:tc>
          <w:tcPr>
            <w:tcW w:w="153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35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9" w:type="dxa"/>
            <w:tcBorders/>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Zachary D. Hornby</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6/10/2020</w:t>
            </w:r>
          </w:p>
        </w:tc>
        <w:tc>
          <w:tcPr>
            <w:tcW w:w="35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6/10/2020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128,205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3.12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6/9/2030</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6/7/2021</w:t>
            </w:r>
          </w:p>
        </w:tc>
        <w:tc>
          <w:tcPr>
            <w:tcW w:w="35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6/7/2021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256,410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6/6/2031</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6/13/2023</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6/13/2023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294,542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176,740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6/12/2033</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2/15/2024</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2/15/2024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117,876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139,331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2/14/2034</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3/27/2024</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3/27/2024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71,025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91,318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3/26/2034</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1/22/2025</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1/1/2025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67,604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227,396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2.57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1/21/2035</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tcPr>
          <w:p>
            <w:pPr>
              <w:pStyle w:val="TableContents"/>
              <w:bidi w:val="0"/>
              <w:spacing w:before="0" w:after="0"/>
              <w:jc w:val="left"/>
              <w:rPr>
                <w:rFonts w:ascii="Times New Roman" w:hAnsi="Times New Roman"/>
                <w:sz w:val="20"/>
              </w:rPr>
            </w:pPr>
            <w:r>
              <w:rPr>
                <w:rFonts w:ascii="Times New Roman" w:hAnsi="Times New Roman"/>
                <w:sz w:val="20"/>
              </w:rPr>
              <w:t>Robert Doebele, M.D., Ph.D.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2/3/2025</w:t>
            </w:r>
          </w:p>
        </w:tc>
        <w:tc>
          <w:tcPr>
            <w:tcW w:w="354" w:type="dxa"/>
            <w:tcBorders/>
            <w:vAlign w:val="bottom"/>
          </w:tcPr>
          <w:p>
            <w:pPr>
              <w:pStyle w:val="TableContents"/>
              <w:bidi w:val="0"/>
              <w:spacing w:before="0" w:after="283"/>
              <w:jc w:val="left"/>
              <w:rPr/>
            </w:pPr>
            <w:r>
              <w:rPr/>
              <w:t>(2) </w:t>
            </w:r>
          </w:p>
        </w:tc>
        <w:tc>
          <w:tcPr>
            <w:tcW w:w="9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2/3/2025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180,000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2.23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2/2/2035</w:t>
            </w:r>
          </w:p>
        </w:tc>
        <w:tc>
          <w:tcPr>
            <w:tcW w:w="69" w:type="dxa"/>
            <w:tcBorders/>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Christian Hassig, Ph.D.</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12/3/2019</w:t>
            </w:r>
          </w:p>
        </w:tc>
        <w:tc>
          <w:tcPr>
            <w:tcW w:w="35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10/28/2019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38,461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12/2/2029</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12/2/2020</w:t>
            </w:r>
          </w:p>
        </w:tc>
        <w:tc>
          <w:tcPr>
            <w:tcW w:w="35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1/1/2021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10,256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12/1/2030</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6/7/2021</w:t>
            </w:r>
          </w:p>
        </w:tc>
        <w:tc>
          <w:tcPr>
            <w:tcW w:w="35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6/7/2021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62,819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6/6/2031</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6/13/2023</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6/13/2023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59,288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35,583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6/12/2033</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2/15/2024</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2/15/2024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34,910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41,262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2/14/2034</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3/27/2024</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3/27/2024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21,307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27,396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3/26/2034</w:t>
            </w:r>
          </w:p>
        </w:tc>
        <w:tc>
          <w:tcPr>
            <w:tcW w:w="69" w:type="dxa"/>
            <w:tcBorders/>
            <w:shd w:fill="CCEEFF" w:val="clear"/>
            <w:vAlign w:val="bottom"/>
          </w:tcPr>
          <w:p>
            <w:pPr>
              <w:pStyle w:val="TableContents"/>
              <w:bidi w:val="0"/>
              <w:spacing w:before="0" w:after="283"/>
              <w:jc w:val="left"/>
              <w:rPr/>
            </w:pPr>
            <w:r>
              <w:rPr/>
              <w:t> </w:t>
            </w:r>
          </w:p>
        </w:tc>
      </w:tr>
      <w:tr>
        <w:trPr/>
        <w:tc>
          <w:tcPr>
            <w:tcW w:w="1538" w:type="dxa"/>
            <w:tcBorders/>
            <w:shd w:fill="CCEEFF" w:val="clear"/>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1/22/2025</w:t>
            </w:r>
          </w:p>
        </w:tc>
        <w:tc>
          <w:tcPr>
            <w:tcW w:w="354" w:type="dxa"/>
            <w:tcBorders/>
            <w:shd w:fill="CCEEFF" w:val="clear"/>
            <w:vAlign w:val="bottom"/>
          </w:tcPr>
          <w:p>
            <w:pPr>
              <w:pStyle w:val="TableContents"/>
              <w:bidi w:val="0"/>
              <w:spacing w:before="0" w:after="283"/>
              <w:jc w:val="left"/>
              <w:rPr/>
            </w:pPr>
            <w:r>
              <w:rPr/>
              <w:t>(1) </w:t>
            </w:r>
          </w:p>
        </w:tc>
        <w:tc>
          <w:tcPr>
            <w:tcW w:w="9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1/1/2025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21,770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73,230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2.57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1/21/2035</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1/48th of the shares underlying the option vesting monthly following the vesting commencement date, subject to continued service through each vesting date, and subject to accelerated vesting in certain circumstances as described below under “Severance and Change in Control Severance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stock options reflected in the table above with an exercise price of $3.56 were repriced on August 19, 2024. As of such date, the exercise price of each repriced stock option was reduced to $3.56 per share, which was the closing price of Boundless Bio Common Stock on such date. However, if prior to the Premium End Date (as defined below), a repriced stock option is exercised or an executive’s employment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with Boundless Bio terminates for any reason other than due to a Qualifying Termination (as defined below), the exercise price per share that applied to the repriced stock option immediately prior to the repricing will apply in lieu of the reduced exercise price. The “Premium End Date” means the earliest of: (a) August 19, 2026, (b) the date immediately prior to the closing of a change in control (as defined in the Boundless Bio 2024 Plan), or (c) the date of the employee’s Qualifying Termination. A “Qualifying Termination” means (a) the involuntary termination of the executive’s employment by Boundless Bio due to a reduction in force (and other than for cause (as defined in the Boundless Bio 2024 Plan)), subject to the executive’s execution of an effective general release of claims in Boundless Bio’s favor, (b) the executive’s death, or (c) termination of the employee’s employment by Boundless Bio following the executive’s disability (as defined in the Boundless Bio 2024 Plan). Except for the reduction in the exercise prices, the repriced stock options retain their existing terms and vesting schedules. If the repriced stock options are exercised prior to the Premium End Date, the exercise prices would be as follows: options granted from December 3, 2019 to June 13, 2023, $4.10; options granted February 15, 2024, $8.19; and options granted March 27, 2024, $16.00.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25% of the shares underlying the option vesting on the one-year anniversary of the vesting commencement date and 1/48th of the shares underlying the option vesting monthly thereafter, subject to continued service through each vesting date, and subject to accelerated vesting in certain circumstances as described below under “Severance and Change in Control Severance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Boundless Bio’s NEOs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entered into employment letters with each of its NEOs, which governed certain terms of their employment with Boundless Bio and set forth their annual base salaries and target annual bonuses,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manner in which Boundless Bio’s NEOs’ employment terminates, they were entitled to receive amounts previously earned during their employment, including unpaid salary, reimbursement of expenses owed, and any continuation of benefits required by applicable law. In addition, Mr. Hornby was a “Tier 1 Covered Employee” under Boundless Bio’s Severance Plan and its other NEOs were “Tier 2 Covered Employees” under Boundless Bio’s Severance Plan,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Severance and Change in Control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Boundless Bio Board of Directors adopted a Severance and Change in Control Severance Plan (the “Severance Plan”) for the benefit of certain management-level employees of Boundless Bio or any of its subsidiaries as designated by its Compensation Committee (the “Covered Employees”), including each of Boundless Bio’s NEOs.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Plan provides assurances of specified severance benefits to Covered Employees whose employment is subject to involuntary termination by Boundless Bio other than for Cause (as defined below) or the Covered Employee resigns for Good Reason (as defined below) under the circumstances described in the Severance Plan, including, but not limited to, following a Change in Control (as defined below). The severance benefits each Covered Employee could be entitled to receive under the Severance Plan are determined pursuant to each Covered Employee’s classification as a Tier 1 Covered Employee, a Tier 2 Covered Employee, or a Tier 3 Covered Employee. </w:t>
      </w:r>
    </w:p>
    <w:p>
      <w:pPr>
        <w:pStyle w:val="TextBody"/>
        <w:bidi w:val="0"/>
        <w:spacing w:before="240" w:after="0"/>
        <w:jc w:val="left"/>
        <w:rPr>
          <w:rFonts w:ascii="Times New Roman" w:hAnsi="Times New Roman"/>
          <w:sz w:val="20"/>
        </w:rPr>
      </w:pPr>
      <w:r>
        <w:rPr>
          <w:rFonts w:ascii="Times New Roman" w:hAnsi="Times New Roman"/>
          <w:sz w:val="20"/>
        </w:rPr>
        <w:t xml:space="preserve">Covered Employees are classified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Tier 1 Covered Employee” means an employee of Boundless Bio who has been designated by Boundless Bio’s Compensation Committee as eligible to participate under Tier 1 in the Severance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Tier 2 Covered Employee” means an employee of Boundless Bio who has been designated by Boundless Bio’s Compensation Committee as eligible to participate under Tier 2 in the Severance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Tier 3 Covered Employee” means an employee of Boundless Bio who has been designated by Boundless Bio’s Compensation Committee as eligible to participate under Tier 3 in the Severance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Plan, if, at any time other than during the Change in Control Period (as defined below), Boundless Bio (or any of its subsidiaries) terminates a Covered Employee’s employment other than for Cause (and other than due to death or disability (as defined in the Severance Plan))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Covered Employee’s annualized base pay (as defined in the Severance Plan) for 12 months, 9 months, or 6 months following termination in the case of a Tier 1, a Tier 2, or a Tier 3 Covered Employee, respectively, paid in a lump 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coverage for 12 months, 9 months, or 6 months following termination in the case of a Tier 1, a Tier 2, or a Tier 3 Covered Employee,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accelerated vesting of the time-based equity compensation awards (as defined in the Severance Plan) that would have vested and become exercisable within 12 months following termination in the case of a Tier 1 Covered Employee; provided, however, that any performance-based equity compensation awards will continue to be governed by the terms of the applicable equity compensation award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Plan, if, at any time within the 12-month period following a Change in Control (the “Change in Control Period”), Boundless Bio (or any of its subsidiaries) terminates a Covered Employee’s employment other than for Cause (and other than due to death or disability)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aggregate cash amount paid in a lump 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1 Covered Employee, the sum of 18 months of annualized base pay and 1.5 times his or her target bonus (as defined in the Severance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2 Covered Employee, the sum of 12 months of annualized base pay and 1.0 times his or her target bonus;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3 Covered Employee, the sum of 9 months of annualized base pay and 0.75 times his or her target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coverage for 18 months, 12 months, or 9 months following termination in the case of a Tier 1, a Tier 2, or a Tier 3 Covered Employee,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accelerated vesting of the Covered Employee’s time-based equity compensation awards; provided, however, that any performance-based equity compensation awards will vest assuming “target” level of performance, unless the terms of the applicable award agreement provide otherwise, in which case the applicable award agreement will govern.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Severance Plan: </w:t>
      </w:r>
    </w:p>
    <w:p>
      <w:pPr>
        <w:pStyle w:val="TextBody"/>
        <w:bidi w:val="0"/>
        <w:spacing w:before="120" w:after="0"/>
        <w:jc w:val="left"/>
        <w:rPr/>
      </w:pPr>
      <w:r>
        <w:rPr/>
        <w:t>“</w:t>
      </w:r>
      <w:r>
        <w:rPr>
          <w:rFonts w:ascii="Times New Roman" w:hAnsi="Times New Roman"/>
          <w:sz w:val="20"/>
        </w:rPr>
        <w:t xml:space="preserve">Cause” means, unless otherwise defined in a Covered Employee’s participation agreement, any of the following: (i) the Covered Employee’s commission of an act of fraud, embezzlement, or dishonesty, or the commission of some other illegal act by the Covered Employee, that has a demonstrable adverse impact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or on any of its successors or affiliates; (ii) the Covered Employee’s conviction of, or plea of “guilty” or “no contest” to, a felony or any crime involving fraud, dishonesty, or moral turpitude under the laws of the United States or any state thereof; (iii) any intentional, unauthorized use or disclosure by the Covered Employee of Boundless Bio’s confidential information or trade secrets or those of any of its successors or affiliates; (iv) the Covered Employee’s gross negligence, insubordination, or material violation of any duty of loyalty to Boundless Bio or to any of its successors or affiliates, or any other demonstrable material misconduct on the Covered Employee’s part; (v) the Covered Employee’s ongoing and repeated failure or refusal to perform or neglect of the Covered Employee’s duties as required by any offer or employment letter with Boundless Bio or the Covered Employee’s ongoing and repeated failure or refusal to comply with the lawful instructions given to him or her by Boundless Bio’s chief executive officer or, with respect to Boundless Bio’s chief executive officer, the Boundless Bio Board of Directors, which failure, refusal, or neglect continues for 15 days following receipt of written notice from the Boundless Bio Board of Directors stating with specificity the nature of such failure, refusal, or neglect; or (vi) the Covered Employee’s willful, material breach of any of Boundless Bio’s policies or any material provision of any offer or employment letter or any confidential information agreement, proprietary information and inventions agreement. Prior to the determination that “Cause” under clauses (iv), (v) or (vi) has occurred, Boundless Bio shall (A) provide to the Covered Employee in writing, in reasonable detail, the reasons for the determination that such “Cause” exists, (B) afford the Covered Employee a reasonable opportunity to remedy any such conditions, if capable of being cured, (C) provide the Covered Employee an opportunity to be heard prior to the final decision to terminate his or her employment hereunder for such “Cause” and (D) make any decision that such “Cause” exists in good faith. </w:t>
      </w:r>
    </w:p>
    <w:p>
      <w:pPr>
        <w:pStyle w:val="TextBody"/>
        <w:bidi w:val="0"/>
        <w:spacing w:before="240" w:after="0"/>
        <w:jc w:val="left"/>
        <w:rPr/>
      </w:pPr>
      <w:r>
        <w:rPr/>
        <w:t>“</w:t>
      </w:r>
      <w:r>
        <w:rPr>
          <w:rFonts w:ascii="Times New Roman" w:hAnsi="Times New Roman"/>
          <w:sz w:val="20"/>
        </w:rPr>
        <w:t xml:space="preserve">Change in Control” has the same meaning as set forth in the Boundless Bio 2024 Plan. </w:t>
      </w:r>
    </w:p>
    <w:p>
      <w:pPr>
        <w:pStyle w:val="TextBody"/>
        <w:bidi w:val="0"/>
        <w:spacing w:before="240" w:after="0"/>
        <w:jc w:val="left"/>
        <w:rPr/>
      </w:pPr>
      <w:r>
        <w:rPr/>
        <w:t>“</w:t>
      </w:r>
      <w:r>
        <w:rPr>
          <w:rFonts w:ascii="Times New Roman" w:hAnsi="Times New Roman"/>
          <w:sz w:val="20"/>
        </w:rPr>
        <w:t xml:space="preserve">Good Reason” means, unless otherwise defined in a Covered Employee’s Participation Agreement, the occurrence of any of the following events or conditions without a Covered Employee’s written consent: (i) a material diminution in the Covered Employee’s authority, duties, or responsibilities; (ii) a material diminution in the Covered Employee’s base compensation, unless such a reduction is imposed across-the-board to all Boundless Bio’s senior management; (iii) a material change in the geographic location at which the Covered Employee must perform his or her duties from the location that was designated as the Covered Employee’s primary location immediately prior to such change (and he or she and Boundless Bio agree that a change of more than 35 miles shall be material for this purpose); or (iv) any other action or inaction that constitutes a material breach by Boundless Bio or by any of its successors or affiliates of Boundless Bio’s or their obligations to the Covered Employee under any agreement between the Covered Employee and Boundless Bio or any of its affiliates. The Covered Employee must provide written notice to Boundless Bio of the occurrence of any of the foregoing events or conditions without his or her written consent within 60 days of the occurrence of such event. Boundless Bio or any of its successors or affiliates shall have a period of 30 days to cure such event or condition after receipt of written notice of such event. The Covered Employee’s termination of employment by reason of resignation from employment with Boundless Bio for Good Reason must occur within 30 days following the expiration of the foregoing 30-day cure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Transitions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Merger, effective July 1, 2026, Zachary D. Hornby ceased his role as President and Chief Executive Officer, and as a member of the Boundless Bio Board of Directors, Christian Hassig, Ph.D., ceased his role as Boundless Bio’s Chief Scientific Officer, and Robert Doebele, M.D., Ph.D., ceased his role as Boundless Bio’s Chief Medical Officer.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Hornby’s departure, effective July 1, 2026, Jessica Oien, Boundless Bio’s Chief Legal Officer and Corporate Secretary, was appointed to serve as Boundless Bio’s President and “principal executive officer,” in addition to maintaining her current responsibilities as Chief Legal Officer and Corporate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description of the separation agreements entered into with each of Mr. Hornby and Drs. Hassig and Doebele in connection with their terminations of employment, see “Interests of Boundless Bio’s Directors and Executive Officers in the Merger — Separation Agreements and Consulting Agreements with Zachary D. Hornby, Robert Doebele, M.D., Ph.D. and Christian Hassig, Ph.D.”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x108148_14"/>
      <w:bookmarkEnd w:id="47"/>
      <w:r>
        <w:rPr>
          <w:rFonts w:ascii="Times New Roman" w:hAnsi="Times New Roman"/>
          <w:b/>
          <w:sz w:val="20"/>
        </w:rPr>
        <w:t xml:space="preserve">BOUNDLESS BIO NON-EMPLOYEE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director compensation program is intended to provide a total compensation package that enables it to attract and retain qualified and experienced individuals to serve as directors and to align Boundless Bio’s directors’ interests with those of its stockholders. Mr. Hornby, Boundless Bio’s former president and chief executive officer, did not receive compensation for his service on the Boundless Bio Board of Directors. Boundless Bio has reimbursed, and will continue to reimburse, its non-employee directors for their actual out-of-pocket costs and expenses incurred in connection with attending board and committee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Effective June 20, 2024, the Boundless Bio Board of Directors adopted an amended and restated non-employee director compensation program (the “June 2024 Director Compensation Program”), which provided for annual retainer fees and/or long-term equity awards for its non-employee directors. Under the June 2024 Director Compensation Program, each non-employee director received an annual retainer of $40,000, and the chairman of the Boundless Bio Board of Directors and/or lead independent director received an additional $30,000. Non-employee directors serving as the chairs of Boundless Bio’s Audit, Compensation, and Nominating and Corporate Governance Committees received additional annual retainers of $15,000, $10,000, and $8,000, respectively. Non-employee directors serving as members of Boundless Bio’s Audit, Compensation, and Nominating and Corporate Governance Committees received additional annual retainers of $7,500, $5,000, and $4,000,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 received an initial grant of options to purchase 27,000 shares of Boundless Bio Common Stock, vesting in substantially equal monthly installments over three years, upon election to the Boundless Bio Board of Directors (the “Initial Director Award”), and thereafter annual grants of options to purchase 13,500 shares of Boundless Bio Common Stock, vesting in substantially equal monthly installments over the 12 months following the date of grant (or, in the event the next annual meeting of Boundless Bio’s stockholders occurs prior to the first anniversary of the date of grant, any remaining unvested portion of the annual award will vest on the date of such annual meeting of Boundless Bio’s stockholders) (the “Annual Director Award”). In addition, any non-employee director who serves as chairman of the Boundless Bio Board of Directors was eligible to be automatically granted additional stock options to purchase 6,750 shares of Boundless Bio Common Stock on the date of each of Boundless Bio’s annual meeting of stockholders, which award vests in substantially equal monthly installments over the 12 months following the date of grant (or, in the event the next annual meeting of Boundless Bio’s stockholders occurs prior to the first anniversary of the date of grant, any remaining unvested portion of the annual award vests on the date of such annual meeting of Boundless Bio’s stockholders) (the “Chair Award”). </w:t>
      </w:r>
    </w:p>
    <w:p>
      <w:pPr>
        <w:pStyle w:val="TextBody"/>
        <w:bidi w:val="0"/>
        <w:spacing w:before="240" w:after="0"/>
        <w:jc w:val="left"/>
        <w:rPr>
          <w:rFonts w:ascii="Times New Roman" w:hAnsi="Times New Roman"/>
          <w:sz w:val="20"/>
        </w:rPr>
      </w:pPr>
      <w:r>
        <w:rPr>
          <w:rFonts w:ascii="Times New Roman" w:hAnsi="Times New Roman"/>
          <w:sz w:val="20"/>
        </w:rPr>
        <w:t xml:space="preserve">Effective March 27, 2025, the Boundless Bio Board of Directors adopted an amended and restated non-employee director compensation program (the “March 2025 Director Compensation Program”), pursuant to which each non-employee director was eligible to receive the same annual retainer fees and/or long-term equity awards as set forth in the June 2024 Director Compensation Program, except that (i) the Initial Director Award was increased from 27,000 options to 32,000 options, (ii) the Annual Director Award was increased from 13,500 options to 16,000 options, and (iii) the Chair Award was increased from 6,750 options to 8,000 options.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March 6, 2026, the Boundless Bio Board of Directors adopted an amended and restated non-employee director compensation program, pursuant to which each non-employee director will receive the same annual retainer fees and/or long-term equity awards as set forth in the March 2025 Director Compensation Program, except that (i) the annual retainer of the chair and each member of the Compensation Committee was increased from $10,000 to $12,000 and from $5,000 to $6,000, respectively, and (ii) the annual retainer of the chair and each member of the Nominating and Corporate Governance Committee was increased from $8,000 to $10,000 and from $4,000 to $5,000, respectively. In addition, the Annual Director Award and Chair Award for 2026 were increased, on a one-time basis, to 32,000 and 16,000,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under Boundless Bio’s non-employee director compensation program is subject to the annual limits on non-employee director compensation set forth in the Boundless Bio 2024 Plan, which limits do not apply to any non-employee director who serves in any additional capacity with Boundless Bio for which he or she receives compensation. As provided in the Boundless Bio 2024 Plan, the Boundless Bio Board of Directors or its authorized committee may make exceptions to this limit for individual non-employee directors as the Boundless Bio Board of Directors or its authorized committee may determine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Awards to Boundless Bio’s non-employee directors will also vest in the event of a change in control or upon a non-employee director’s death or disability. </w:t>
      </w:r>
    </w:p>
    <w:p>
      <w:pPr>
        <w:pStyle w:val="TextBody"/>
        <w:bidi w:val="0"/>
        <w:spacing w:before="360" w:after="0"/>
        <w:jc w:val="left"/>
        <w:rPr>
          <w:rFonts w:ascii="Times New Roman" w:hAnsi="Times New Roman"/>
          <w:b/>
          <w:sz w:val="20"/>
        </w:rPr>
      </w:pPr>
      <w:r>
        <w:rPr>
          <w:rFonts w:ascii="Times New Roman" w:hAnsi="Times New Roman"/>
          <w:b/>
          <w:sz w:val="20"/>
        </w:rPr>
        <w:t xml:space="preserve">2025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compensation received by Boundless Bio’s non-employee directors during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60"/>
        <w:gridCol w:w="308"/>
        <w:gridCol w:w="61"/>
        <w:gridCol w:w="721"/>
        <w:gridCol w:w="60"/>
        <w:gridCol w:w="308"/>
        <w:gridCol w:w="62"/>
        <w:gridCol w:w="731"/>
        <w:gridCol w:w="60"/>
        <w:gridCol w:w="308"/>
        <w:gridCol w:w="193"/>
        <w:gridCol w:w="1267"/>
        <w:gridCol w:w="60"/>
        <w:gridCol w:w="308"/>
        <w:gridCol w:w="60"/>
        <w:gridCol w:w="853"/>
        <w:gridCol w:w="68"/>
      </w:tblGrid>
      <w:tr>
        <w:trPr/>
        <w:tc>
          <w:tcPr>
            <w:tcW w:w="39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9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08"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8"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E. Lim, M.D. (2)</w:t>
            </w:r>
          </w:p>
        </w:tc>
        <w:tc>
          <w:tcPr>
            <w:tcW w:w="30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87,500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19,577</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107,077</w:t>
            </w:r>
          </w:p>
        </w:tc>
        <w:tc>
          <w:tcPr>
            <w:tcW w:w="68"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Christine Brennan, Ph.D. (3)</w:t>
            </w:r>
          </w:p>
        </w:tc>
        <w:tc>
          <w:tcPr>
            <w:tcW w:w="30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55,500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13,051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68,551</w:t>
            </w:r>
          </w:p>
        </w:tc>
        <w:tc>
          <w:tcPr>
            <w:tcW w:w="68"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Kristina Burow (4)</w:t>
            </w:r>
          </w:p>
        </w:tc>
        <w:tc>
          <w:tcPr>
            <w:tcW w:w="30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49,000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13,051</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62,051</w:t>
            </w:r>
          </w:p>
        </w:tc>
        <w:tc>
          <w:tcPr>
            <w:tcW w:w="68"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James Christensen, Ph.D. (5)</w:t>
            </w:r>
          </w:p>
        </w:tc>
        <w:tc>
          <w:tcPr>
            <w:tcW w:w="30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45,000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13,051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58,051</w:t>
            </w:r>
          </w:p>
        </w:tc>
        <w:tc>
          <w:tcPr>
            <w:tcW w:w="68"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Lew (6)</w:t>
            </w:r>
          </w:p>
        </w:tc>
        <w:tc>
          <w:tcPr>
            <w:tcW w:w="30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60,000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13,051</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73,051</w:t>
            </w:r>
          </w:p>
        </w:tc>
        <w:tc>
          <w:tcPr>
            <w:tcW w:w="68"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Nancy Whiting, Pharm. D. (7)</w:t>
            </w:r>
          </w:p>
        </w:tc>
        <w:tc>
          <w:tcPr>
            <w:tcW w:w="30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44,000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13,051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57,051</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stock options to purchase shares of Boundless Bio Common Stock computed in accordance with ASC 718. For a description of the assumptions used in calculating the grant date fair value of the awards reported in this column, see Notes 2 and 10 to Boundless Bio’s financial statements included in its Annual Report on Form 10-K for the year ended December 31, 2025 filed with the SEC on March 9,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Dr. Lim held outstanding option awards covering 85,366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March 3, 2026, Dr. Brennan resigned from the Boundless Bio Board of Directors. As of December 31, 2025, Dr. Brennan held outstanding option awards covering 42,438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Burow did not stand for re-election at the 2026 annual meeting of Boundless Bio’s stockholders and ceased to serve on the Boundless Bio Board of Directors effective June 15, 2026. As of December 31, 2025, Ms. Burow held outstanding option awards covering 42,438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Dr. Christensen held outstanding option awards covering 70,756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Ms. Lew held outstanding option awards covering 70,756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Dr. Whiting held outstanding option awards covering 70,756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x108148_15"/>
      <w:bookmarkEnd w:id="48"/>
      <w:r>
        <w:rPr>
          <w:rFonts w:ascii="Times New Roman" w:hAnsi="Times New Roman"/>
          <w:b/>
          <w:sz w:val="20"/>
        </w:rPr>
        <w:t xml:space="preserve">BOUNDLESS BIO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December 31, 2025 with respect to shares of Boundless Bio Common Stock that may be issued under its existing equity compensation plans.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39"/>
        <w:gridCol w:w="312"/>
        <w:gridCol w:w="70"/>
        <w:gridCol w:w="1199"/>
        <w:gridCol w:w="350"/>
        <w:gridCol w:w="228"/>
        <w:gridCol w:w="298"/>
        <w:gridCol w:w="965"/>
        <w:gridCol w:w="350"/>
        <w:gridCol w:w="228"/>
        <w:gridCol w:w="81"/>
        <w:gridCol w:w="1397"/>
        <w:gridCol w:w="355"/>
      </w:tblGrid>
      <w:tr>
        <w:trPr/>
        <w:tc>
          <w:tcPr>
            <w:tcW w:w="2739"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7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312"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to be issued</w:t>
              <w:br/>
              <w:t>upon the</w:t>
              <w:br/>
              <w:t>exercise of</w:t>
              <w:br/>
              <w:t>outstanding</w:t>
              <w:br/>
              <w:t>options,</w:t>
              <w:br/>
              <w:t>warrants</w:t>
              <w:br/>
              <w:t>and rights</w:t>
              <w:br/>
              <w:t>(a)</w:t>
            </w:r>
          </w:p>
        </w:tc>
        <w:tc>
          <w:tcPr>
            <w:tcW w:w="3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 of</w:t>
              <w:br/>
              <w:t>outstanding</w:t>
              <w:br/>
              <w:t>options,</w:t>
              <w:br/>
              <w:t>warrants</w:t>
              <w:br/>
              <w:t>and rights</w:t>
              <w:br/>
              <w:t>(b)</w:t>
            </w:r>
          </w:p>
        </w:tc>
        <w:tc>
          <w:tcPr>
            <w:tcW w:w="3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remaining</w:t>
              <w:br/>
              <w:t>available for</w:t>
              <w:br/>
              <w:t>future</w:t>
              <w:br/>
              <w:t>issuance</w:t>
              <w:br/>
              <w:t>under equity</w:t>
              <w:br/>
              <w:t>compensation</w:t>
              <w:br/>
              <w:t>plans</w:t>
              <w:br/>
              <w:t>(excluding</w:t>
              <w:br/>
              <w:t>securities</w:t>
              <w:br/>
              <w:t>reflected in</w:t>
              <w:br/>
              <w:t>column(a))</w:t>
              <w:br/>
              <w:t>(c)</w:t>
            </w:r>
          </w:p>
        </w:tc>
        <w:tc>
          <w:tcPr>
            <w:tcW w:w="355" w:type="dxa"/>
            <w:tcBorders/>
            <w:vAlign w:val="bottom"/>
          </w:tcPr>
          <w:p>
            <w:pPr>
              <w:pStyle w:val="TableContents"/>
              <w:bidi w:val="0"/>
              <w:spacing w:before="0" w:after="283"/>
              <w:jc w:val="left"/>
              <w:rPr/>
            </w:pPr>
            <w:r>
              <w:rPr/>
              <w:t> </w:t>
            </w:r>
          </w:p>
        </w:tc>
      </w:tr>
      <w:tr>
        <w:trPr/>
        <w:tc>
          <w:tcPr>
            <w:tcW w:w="2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3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4,234,043</w:t>
            </w:r>
          </w:p>
        </w:tc>
        <w:tc>
          <w:tcPr>
            <w:tcW w:w="350" w:type="dxa"/>
            <w:tcBorders/>
            <w:shd w:fill="CCEEFF" w:val="clear"/>
            <w:vAlign w:val="bottom"/>
          </w:tcPr>
          <w:p>
            <w:pPr>
              <w:pStyle w:val="TableContents"/>
              <w:bidi w:val="0"/>
              <w:spacing w:before="0" w:after="283"/>
              <w:jc w:val="left"/>
              <w:rPr/>
            </w:pPr>
            <w:r>
              <w:rPr/>
              <w:t>(1) </w:t>
            </w:r>
          </w:p>
        </w:tc>
        <w:tc>
          <w:tcPr>
            <w:tcW w:w="228"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5.22</w:t>
            </w:r>
          </w:p>
        </w:tc>
        <w:tc>
          <w:tcPr>
            <w:tcW w:w="350" w:type="dxa"/>
            <w:tcBorders/>
            <w:shd w:fill="CCEEFF" w:val="clear"/>
            <w:vAlign w:val="bottom"/>
          </w:tcPr>
          <w:p>
            <w:pPr>
              <w:pStyle w:val="TableContents"/>
              <w:bidi w:val="0"/>
              <w:spacing w:before="0" w:after="283"/>
              <w:jc w:val="left"/>
              <w:rPr/>
            </w:pPr>
            <w:r>
              <w:rPr/>
              <w:t>(2) </w:t>
            </w:r>
          </w:p>
        </w:tc>
        <w:tc>
          <w:tcPr>
            <w:tcW w:w="2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3,650,846</w:t>
            </w:r>
          </w:p>
        </w:tc>
        <w:tc>
          <w:tcPr>
            <w:tcW w:w="355" w:type="dxa"/>
            <w:tcBorders/>
            <w:shd w:fill="CCEEFF" w:val="clear"/>
            <w:vAlign w:val="bottom"/>
          </w:tcPr>
          <w:p>
            <w:pPr>
              <w:pStyle w:val="TableContents"/>
              <w:bidi w:val="0"/>
              <w:spacing w:before="0" w:after="283"/>
              <w:jc w:val="left"/>
              <w:rPr/>
            </w:pPr>
            <w:r>
              <w:rPr/>
              <w:t>(3) </w:t>
            </w:r>
          </w:p>
        </w:tc>
      </w:tr>
      <w:tr>
        <w:trPr/>
        <w:tc>
          <w:tcPr>
            <w:tcW w:w="2739"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3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 </w:t>
            </w:r>
          </w:p>
        </w:tc>
      </w:tr>
      <w:tr>
        <w:trPr/>
        <w:tc>
          <w:tcPr>
            <w:tcW w:w="2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4,234,043</w:t>
            </w:r>
          </w:p>
        </w:tc>
        <w:tc>
          <w:tcPr>
            <w:tcW w:w="3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5.22</w:t>
            </w:r>
          </w:p>
        </w:tc>
        <w:tc>
          <w:tcPr>
            <w:tcW w:w="3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3,650,846</w:t>
            </w:r>
          </w:p>
        </w:tc>
        <w:tc>
          <w:tcPr>
            <w:tcW w:w="35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outstanding option awards as of December 31, 2025 issued under the Boundless Bio 2018 Plan and Boundless Bio 2024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exercise price of outstanding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3,347,667 shares of Boundless Bio Common Stock available for issuance under the Boundless Bio 2024 Plan and 303,179 shares of Boundless Bio Common Stock available for issuance under the Boundless Bio ESPP (all of which were eligible for purchase pursuant to the offering period in effect on December 31, 2025). This amount does not include any additional shares that may become available for future issuance under the Boundless Bio 2024 Plan pursuant to the automatic increase to the share reserve on January 1 of each of Boundless Bio’s calendar years through 2034 by the number of shares equal to the lesser of (i) 5% of the total outstanding shares of Boundless Bio Common Stock as of the immediately preceding December 31, and (ii) such smaller number of shares as is determined by the Boundless Bio Board of Directors. Additionally, this amount does not include any additional shares that may become available for future issuance under the Boundless Bio ESPP pursuant to the automatic increase to the share reserve on January 1 of each of Boundless Bio’s calendar years through 2034 by the number of shares equal to the lesser of (i) 1% of the total outstanding shares of Boundless Bio Common Stock as of the immediately preceding December 31 and (ii) such smaller number of shares as determined by the Boundless Bio Board of Directors. On January 1, 2026, pursuant to the respective automatic increase provisions of the Boundless Bio 2024 Plan and the Boundless Bio ESPP, 1,120,362 additional shares and 224,072 additional shares became available for issuance under the Boundless Bio 2024 Plan and the Boundless Bio ESPP,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tx108148_16"/>
      <w:bookmarkEnd w:id="49"/>
      <w:r>
        <w:rPr>
          <w:rFonts w:ascii="Times New Roman" w:hAnsi="Times New Roman"/>
          <w:b/>
          <w:sz w:val="20"/>
        </w:rPr>
        <w:t xml:space="preserve">SERAPHA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certain executive officers of Serapha will become executive officers of the Combined Company. Serapha was not formed until April 2026, and Serapha’s only executive officer before the Merger was Kenneth Mills, its President and Chief Executive Officer. As such, this section sets forth the current compensatory arrangements for the following executive officers of Serapha, each of whom is expected to become an executive officer of the Combined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Appointment Date</w:t>
            </w:r>
          </w:p>
        </w:tc>
      </w:tr>
      <w:tr>
        <w:trPr/>
        <w:tc>
          <w:tcPr>
            <w:tcW w:w="3571" w:type="dxa"/>
            <w:tcBorders/>
          </w:tcPr>
          <w:p>
            <w:pPr>
              <w:pStyle w:val="TableContents"/>
              <w:bidi w:val="0"/>
              <w:spacing w:before="0" w:after="283"/>
              <w:jc w:val="left"/>
              <w:rPr/>
            </w:pPr>
            <w:r>
              <w:rPr/>
              <w:t>Kenneth Mills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President and Chief Executive Officer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August 1, 2026</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Agreement with Mr. Mills </w:t>
      </w:r>
    </w:p>
    <w:p>
      <w:pPr>
        <w:pStyle w:val="TextBody"/>
        <w:bidi w:val="0"/>
        <w:spacing w:before="120" w:after="0"/>
        <w:jc w:val="left"/>
        <w:rPr>
          <w:rFonts w:ascii="Times New Roman" w:hAnsi="Times New Roman"/>
          <w:sz w:val="20"/>
        </w:rPr>
      </w:pPr>
      <w:r>
        <w:rPr>
          <w:rFonts w:ascii="Times New Roman" w:hAnsi="Times New Roman"/>
          <w:sz w:val="20"/>
        </w:rPr>
        <w:t xml:space="preserve">Serapha and Mr. Mills are party to an employment letter agreement, pursuant to which Mr. Mills is entitled to receive an annual base salary of $615,000 and a target annual bonus of 55% of his base salary, which will not be pro-rated for 2026 based on the date he commenced employment with Serapha. The agreement also provides for an equity grant representing 5% of the fully diluted capitalization of Serapha, of which approximately two-thirds will be granted as stock options to purchase shares of Serapha Common Stock and one-third will be granted as restricted stock units, and which will vest as to 25% of the equity grant on the first anniversary of his employment date, and then in equal monthly installments thereafter. Mr. Mills was also eligible to receive up to $20,000 in reimbursements for legal and advisory expenses incurred in negotiating the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Mills’s termination by Serapha without “Cause” or his resignation for “Good Reason,” Mr. Mills is eligible for the following severance benefits: (i) a severance payment equal to 12 months of his base salary plus his target bonus, (ii) a pro-rated annual bonus for the year of termination, (iii) all then-vested equity awards, plus an additional 25% of his then-unvested equity awards, will immediately vest and, if applicable, become exercisable as of the date of termination and will remain exercisable through the date that is 12 months following the date of termination, and (iv) 12 months of payments for or reimbursements of the employer portion of COBRA premium payments. If Mr. Mills is terminated by Serapha without Cause or resigns for Good Reason within 3 months before or 12 months following a “Change in Control,” he will receive the following severance benefits: (i) a severance payment equal to 18 months of his base salary plus 1.5 times his target bonus, (ii) a pro-rated annual bonus for the year of termination, (iii) all then-vested equity awards, plus all then-unvested equity awards will immediately vest and, if applicable, become exercisable as of the date of termination and will remain exercisable through the date that is 12 months following the date of termination, and (iv) 18 months of payments for or reimbursements of the employer portion of COBRA premium payments.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Mr. Mills’s employment letter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Cause” generally means (i) his gross negligence or willful misconduct in connection with the performance of his duties that is materially detrimental to Serapha, and is not cured, if curable, within 30 days of notice, (ii) his conviction or entry of a plea of nolo contendere for dishonesty, fraud, or embezzlement, or any other felony or crime of moral turpitude, (iii) his material violation of any material provision of any agreement(s) between him and Serapha or any written Serapha policies, which is not cured, if curable, within 30 days of such notice, or (iv) the insolvency or dissolution of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Change in Control” generally occurs if (i) an unaffiliated individual or entity acquires 50% or more of the ownership and voting interest in Serapha, (ii) there is a merger, acquisition or similar transaction involving Serapha that results in the voting securities of Serapha outstanding immediately prior thereto ceasing to represent at least 50% of the combined voting power of the surviving entity immediately thereafter, or (iii) there is a sale of all or substantially all of Serapha’s assets, subject to certain exceptions. The Merger does not constitute a Change in Control for this purpose.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Good Reason” generally means (i) a material, adverse change in title, reduction in authority, reporting relationship, or duties; (ii) a relocation of his principal worksite by more than 50 miles; (iii) a material reduction in his base salary or target bonus percentage; or (iv) a material breach by Serapha of any of its obligations under any agreement between Serapha and Mr. Mills, in each case, subject to standard notice and cure provisions.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Description of the Serapha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Serapha maintains the Serapha Equity Incentive Plan, the purpose of which is to advance the interests of Serapha’s stockholders by enhancing Serapha’s ability to attract, retain and motivate persons who are expected to make important contributions to Serapha and by providing such persons with equity ownership opportunities and performance-based incentives that are intended to better align the interests of such persons with those of Serapha’s stockholders. The Serapha Equity Incentive Plan provides for the issuance of up to      shares of Serapha Common Stock, which may be granted as stock options, restricted stock, restricted stock units and other stock-based awards to eligible employees, officers, directors, consultants and advisors of Serapha on such terms and conditions as approved by the Serapha Board of Directors or any committee appointed by the Serapha Board of Directors to administer the Serapha Equity Incentive Plan. No grants will be made under the Serapha Equity Incentive Plan following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x108148_17"/>
      <w:bookmarkEnd w:id="50"/>
      <w:r>
        <w:rPr>
          <w:rFonts w:ascii="Times New Roman" w:hAnsi="Times New Roman"/>
          <w:b/>
          <w:sz w:val="20"/>
        </w:rPr>
        <w:t xml:space="preserve">SERAPHA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No directors of Serapha received any compensation prior to the closing of the Merger. The following individuals were appointed to the Serapha board of directors on June 22, 2026: Piratip Pratumsuwan, Paul Lu, Laura Tadvalkar, Matt Hammond and Victor Tong. Alice Lee served as a director of Serapha from April 2026 until June 22, 2026.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the Combined Company will implement a non-employee director compensation program that is expected to include an annual cash retainer and annual equity grants.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x108148_18"/>
      <w:bookmarkEnd w:id="51"/>
      <w:r>
        <w:rPr>
          <w:rFonts w:ascii="Times New Roman" w:hAnsi="Times New Roman"/>
          <w:b/>
          <w:sz w:val="20"/>
        </w:rPr>
        <w:t xml:space="preserve">MATTERS BEING SUBMITTED TO A VOTE OF BOUNDLESS BIO STOCKHOLDERS </w:t>
      </w:r>
    </w:p>
    <w:p>
      <w:pPr>
        <w:pStyle w:val="TextBody"/>
        <w:bidi w:val="0"/>
        <w:spacing w:before="120" w:after="0"/>
        <w:jc w:val="center"/>
        <w:rPr>
          <w:rFonts w:ascii="Times New Roman" w:hAnsi="Times New Roman"/>
          <w:b/>
          <w:sz w:val="20"/>
        </w:rPr>
      </w:pPr>
      <w:bookmarkStart w:id="52" w:name="tx108148_19"/>
      <w:bookmarkEnd w:id="52"/>
      <w:r>
        <w:rPr>
          <w:rFonts w:ascii="Times New Roman" w:hAnsi="Times New Roman"/>
          <w:b/>
          <w:sz w:val="20"/>
        </w:rPr>
        <w:t xml:space="preserve">PROPOSAL NO. 1 - THE NASDAQ STOCK ISSUANCE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stockholders will be asked to approve the issuance of shares of Boundless Bio Common Stock (including the shares of Boundless Bio Common Stock issuable upon exercise of the Assumed Warrants and the Boundless Bio Pre-Funded Warrants) to stockholders of Serapha pursuant to the terms of the Merger Agreement, which will (i) represent more than 20% of the shares of Boundless Bio Common Stock outstanding immediately prior to the Merger under Nasdaq Listing Rule 5635(a), and (ii) result in a change of control under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Boundless Bio securityholders as of immediately prior to the Merger are expected to own approximately 4.2% of the outstanding shares of capital stock of the Combined Company on a fully-diluted basis and former holders of Serapha securities are expected to own approximately 95.8% of the outstanding shares of capital stock of the Combined Company on a fully-diluted basis, subject to certain assumptions, including, but not limited to, Boundless Bio Net Cash at Closing being $0. After taking into account the 2026 ESPP and 2026 Stock Plan, Boundless Bio securityholders as of immediately prior to the Merger are expected to own approximately 3.7% of the fully-diluted capitalization of the Combined Company and former Serapha securityholders are expected to own approximately 96.3% of fully-diluted capitalization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Boundless Bio will assume outstanding and unexercised (as applicable) Serapha Options, Serapha RSUs and Serapha Warrants, and such securities will be converted into Assumed Options, Assumed RSUs and Assumed Warrants, subject to certain adjustments.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prior to the Effective Time, Boundless Bio expects to declare the Boundless Bio Pre-Closing Dividend to the pre-Merger Boundless Bio stockholders equal in the aggregate to Boundless Bio’s reasonable, good faith approximation of the amount by which Boundless Bio Net Cash (as determined pursuant to the Merger Agreement) will exceed $0.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the Merger and the issuance of Boundless Bio Common Stock in the Merger are described in detail in the section of this proxy statement/prospectus titled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i/>
          <w:sz w:val="20"/>
        </w:rPr>
        <w:t xml:space="preserve">Annex A </w:t>
      </w:r>
      <w:r>
        <w:rPr>
          <w:rFonts w:ascii="Times New Roman" w:hAnsi="Times New Roman"/>
          <w:sz w:val="20"/>
        </w:rPr>
        <w:t xml:space="preserve">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Boundless Bio Common Stock in the Merger exceeds the 20% threshold under the Nasdaq Listing Rules and is expected to represent approximately 95.8% of the outstanding shares of Boundless Bio Common Stock on a fully diluted basis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order to ensure compliance with Nasdaq Listing Rule 5635(a)(1), Boundless Bio must obtain the approval of Boundless Bio stockholders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Boundless Bio. Accordingly, in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ensure compliance with Nasdaq Listing Rule 5635(b), Boundless Bio must obtain the approval of Boundless Bio stockholders of the change of control resulting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Notwithstanding the approval of the Nasdaq Stock Issuance Proposal, if the Authorized Share Increase Proposal or the Nasdaq Reverse Split Proposal are not approved or the other closing conditions under the Merger Agreement are not satisfied or waived, the actions contemplated by the Nasdaq Stock Issuance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Boundless Bio stockholders have agreed to vote any shares of Boundless Bio Common Stock owned by them in favor of the Nasdaq Stock Issuance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Stock Issuance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tx108148_20"/>
      <w:bookmarkEnd w:id="53"/>
      <w:r>
        <w:rPr>
          <w:rFonts w:ascii="Times New Roman" w:hAnsi="Times New Roman"/>
          <w:b/>
          <w:sz w:val="20"/>
        </w:rPr>
        <w:t xml:space="preserve">PROPOSAL NO. 2 - THE NASDAQ REVERSE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stockholders will be asked to approve an amendment to the Boundless Bio Charter to effect a reverse stock split of the issued and outstanding shares of Boundless Bio Common Stock (the “Nasdaq Reverse Split”) at a ratio in the range of one new share for every    shares and one new share for every    shares outstanding (or any number in between), to be determined mutually by the Boundless Bio Board of Directors and the Serapha Board of Directors (the “Split Ratio”). The final Split Ratio and effectiveness of such amendment will be mutually agreed by the Boundless Bio Board of Directors and the Serapha Board of Directors, assuming this proposal is approved by Boundless Bio’s stockholders and the Merger is consummated. On    , 2026, the Boundless Bio Board of Directors adopted resolutions approving the proposed certificate of amendment to the Boundless Bio Charter in the form attached as </w:t>
      </w:r>
      <w:r>
        <w:rPr>
          <w:rFonts w:ascii="Times New Roman" w:hAnsi="Times New Roman"/>
          <w:i/>
          <w:sz w:val="20"/>
        </w:rPr>
        <w:t xml:space="preserve">Annex B </w:t>
      </w:r>
      <w:r>
        <w:rPr>
          <w:rFonts w:ascii="Times New Roman" w:hAnsi="Times New Roman"/>
          <w:sz w:val="20"/>
        </w:rPr>
        <w:t xml:space="preserve">to this proxy statement/prospectus. If this certificate is filed with the Secretary of State of the State of Delaware, upon the effectiveness of such amendment (the “Reverse Stock Split Effective Time”), the issued and outstanding shares of Boundless Bio Common Stock immediately prior to the Reverse Stock Split Effective Time will automatically, without further action on the part of Boundless Bio, be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Board of Directors may determine to effect the Nasdaq Reverse Split, if it is approved by Boundless Bio stockholders, even if the other proposals to be acted upon at the Boundless Bio Special Meeting are not approved, including the issuance of Boundless Bio Common Stock pursuant to the Merger Agreement, or if the Merger is not completed.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this Proposal No. 2, Boundless Bio stockholders will: approve an amendment to the Boundless Bio Charter pursuant to which any whole number of issued and outstanding shares of Boundless Bio Common Stock, between and including    to    , would be combined into one share of Boundless Bio Common Stock and will authorize the Boundless Bio Board of Directors to file such certificate of amendment, as mutually agreed by the Boundless Bio Board of Directors and Serapha Board of Directors. As of the record date, 700,000,000 shares of Boundless Bio Common Stock were authorized,    shares of Boundless Bio Common Stock were outstanding and    shares of Boundless Bio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All holders of Boundless Bio Common Stock will be affected proportionately by the Nasdaq Reverse Split. No fractional shares of Boundless Bio Common Stock will be issued as a result of the Nasdaq Reverse Split. Instead, Boundless Bio stockholders who otherwise would be entitled to receive fractional shares will be entitled to receive cash as set forth below under the caption “No Fractional Shares.” Each Boundless Bio stockholder will hold the same percentage of the outstanding Boundless Bio Common Stock immediately following the Nasdaq Reverse Split as such Boundless Bio stockholder did immediately prior to the Nasdaq Reverse Split, except to the extent that the Nasdaq Reverse Split results in such Boundless Bio stockholder receiving cash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Should Boundless Bio receive the required stockholder approval for this Proposal No. 2, and following such stockholder approval, the Boundless Bio Board of Directors, subject to agreement by Serapha, determines that effecting the Nasdaq Reverse Split is in the best interests of Boundless Bio and its stockholders, the Nasdaq Reverse Split will become effective as specified in the amendment filed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The amendment filed thereby will contain the number of shares selected by the Boundless Bio Board of Directors and Serapha Board of Directors within the limits set forth in this Proposal No. 2 to be combined into one share of Boundless Bio Common Stock. Accordingly, upon the effectiveness of the amendment to the Boundless Bio Charter, at the Reverse Stock Split Effective Time, every    to    shares (or any number in between) of Boundless Bio Common Stock outstanding immediately prior to the split effective time will be combined and reclassified into one share of Boundless 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proposed form of certificate of amendment to the Boundless Bio Charter, as more fully described below, will effect the Nasdaq Reverse Split but </w:t>
      </w:r>
      <w:r>
        <w:rPr>
          <w:rFonts w:ascii="Times New Roman" w:hAnsi="Times New Roman"/>
          <w:b/>
          <w:i/>
          <w:sz w:val="20"/>
        </w:rPr>
        <w:t xml:space="preserve">will not </w:t>
      </w:r>
      <w:r>
        <w:rPr>
          <w:rFonts w:ascii="Times New Roman" w:hAnsi="Times New Roman"/>
          <w:sz w:val="20"/>
        </w:rPr>
        <w:t xml:space="preserve">change the number of authorized shares of Boundless Bio Common Stock or Boundless Bio Preferred Stock, or the par value of Boundless Bio Common Stock or Boundless Bio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form of certificate of amendment to the Boundless Bio Charter to effect the Nasdaq Reverse Split is attached as </w:t>
      </w:r>
      <w:r>
        <w:rPr>
          <w:rFonts w:ascii="Times New Roman" w:hAnsi="Times New Roman"/>
          <w:i/>
          <w:sz w:val="20"/>
        </w:rPr>
        <w:t xml:space="preserve">Annex B </w:t>
      </w:r>
      <w:r>
        <w:rPr>
          <w:rFonts w:ascii="Times New Roman" w:hAnsi="Times New Roman"/>
          <w:sz w:val="20"/>
        </w:rPr>
        <w:t xml:space="preserve">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approval of this Proposal No. 2 by Boundless Bio stockholders, the Boundless Bio Board of Directors may, in its sole discretion, abandon the proposed amendments and determine prior to the effectiveness of any filing with the Secretary of State of the State of Delaware not to effect the Nasdaq Reverse Split, as permitted under Section 242(c)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approved the proposal approving the amendment to the Boundless Bio Charter effecting the Nasdaq Reverse Split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believes effecting the Nasdaq Reverse Split will result in an increase in the minimum bid price of Boundless Bio Common Stock and reduce the risk of a delisting of Boundless Bio Common Stock from Nasdaq in the future;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believes a higher stock price may help generate investor interest in Boundless Bio and ultimately the Combined Company and help Boundless Bio attract and retain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recent trading prices of Boundless Bio Common Stock, Boundless Bio and Serapha currently estimate that a Split Ratio of at least 1-for-    would be required to increase the per-share market price to $4.00, which is the minimum initial listing price requirement of Nasdaq. The final Split Ratio will be determined mutually by the Boundless Bio Board of Directors and the Serapha Board of Directors prior to the closing of the Merger based primarily on the then-current trading price of Boundless Bio Common Stock and the objective of achieving a post-closing per-share price that (1) satisfies Nasdaq’s listing requirements and (2) provides an appropriate and sustainable post-closing per-share market price that the parties believe will better position the Combined Company for long-term trading stability, investor interest and market visibility, taking into account prevailing market conditions and other relevant factors. Accordingly, the ratio effected is likely to be greater than the minimum necessary to satisfy Nasdaq’s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If the Nasdaq Reverse Split successfully increases the per share price of Boundless Bio Common Stock, the Boundless Bio Board of Directors also believes this increase may increase trading volume in Boundless Bio Common Stock and facilitate future financings by Boundless Bio.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Common Stock is listed on The Nasdaq Global Select Market under the symbol “BOLD.” Boundless Bio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Nasdaq’s listing standards will require Boundless Bio to have, among other things, a $4.00 per share minimum bid price for a certain number of trading days preceding the Closing, unless it effects the Nasdaq Reverse Split. Therefore, the Nasdaq Reverse Split may be necessary in order to satisfy Nasdaq requirements and complete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it is a condition to the Closing that the shares of Boundless Bio Common Stock to be issued in the Merger pursuant to the Merger Agreement have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Nasdaq Reverse Split will be to effectively increase the proportion of authorized shares which are unissued relative to those which are issued. This could result in Boundless Bio’s management being able to issue more shares without further stockholder approval. The Nasdaq Reverse Split will not affect the number of authorized shares of Boundless Bio Common Stock, which will continue to be authorized pursuant to the Boundless Bio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 2026, Boundless Bio Common Stock closed at $    per share. An investment in Boundless Bio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Boundless Bio Board of Directors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associated with the Nasdaq Reverse Split, including that the Nasdaq Reverse Split may not result in an increase in the per share price of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cannot predict whether the Nasdaq Reverse Split will increase the market price for Boundless Bio Common Stock. The history of similar stock split combinations for companies in like circumstances is varied. There is no assurance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Boundless Bio Common Stock after the Nasdaq Reverse Split will rise in proportion to the reduction in the number of shares of Boundless Bio Common Stock outstanding before the Nasdaq Reverse Split;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will result in a per share price that will attract brokers and investors who do not trade in lower priced stocks;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will result in a per share price that will increase the ability of Boundless Bio to attract and retain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unless it effects the Nasdaq Reverse Split, for a sufficient period of time for the Combined Company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Boundless Bio Common Stock will also be based on the performance of Boundless Bio, and after the Merger, on the performance of the Combined Company, and other factors, some of which are unrelated to the number of shares outstanding. If the Nasdaq Reverse Split is effected and the market price of Boundless Bio Common Stock declines, the percentage decline as an absolute number and as a percentage of the overall market capitalization of Boundless Bio may be greater than would occur in the absence of the Nasdaq Reverse Split. Furthermore, the liquidity of Boundless Bio Common Stock could be adversely affected by the reduced number of shares that would be outstanding after the Nasdaq Reverse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Nasdaq Reverse Split will be realized simultaneously for all shares of Boundless Bio Common Stock and Boundless Bio Options outstanding immediately prior to the Reverse Stock Split Effective Time.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Reverse Split will affect all holders of shares of Boundless Bio Common Stock outstanding immediately prior to the Reverse Stock Split Effective Time uniformly and each such stockholder will hold the same percentage of Boundless Bio Common Stock outstanding immediately following the Nasdaq Reverse Split as that stockholder held immediately prior to the Nasdaq Reverse Split, except for immaterial adjustments that may result from the treatment of fractional shares as described below. The Nasdaq Reverse Split will not change the par value of Boundless Bio Common Stock or Boundless Bio Preferred Stock and will not reduce the number of authorized shares of Boundless Bio Common Stock or Boundless Bio Preferred Stock. Boundless Bio Common Stock issued pursuant to the Nasdaq Reverse Split will remain fully paid and nonassessable. Proportionate adjustments will be made to the per share exercise price, the number of shares issuable upon the exercise, vesting or settlement of all outstanding Boundless Bio Options, and the number of shares reserved for issuance pursuant to Boundless Bio’s existing equity incentive and employee stock purchase plans will be reduced proportionately based on the Split Ratio. The Nasdaq Reverse Split will not affect Boundless Bio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Nasdaq Reverse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stockholders approve the amendment to the Boundless Bio Charter effecting the Nasdaq Reverse Split, the Boundless Bio Board of Directors and Serapha Board of Directors mutually agree that the Nasdaq Reverse Split is necessary, and the Boundless Bio Board of Directors still believes that the Nasdaq Reverse Split is in the best interests of Boundless Bio and its stockholders, Boundless Bio will file the amendment to the Boundless Bio Charter with the Secretary of State of the State of Delaware at such time as the Boundless Bio Board of Directors has determined to be the appropriate Reverse Stock Split Effective Time. The Boundless Bio Board of Directors and Serapha Board of Directors may mutually agree to delay effecting the Nasdaq Reverse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after the Reverse Stock Split Effective Time, Boundless Bio stockholders will be notified that the Nasdaq Reverse Split has been effected. Boundless Bio expects that the Boundless Bio transfer agent will act as exchange agent for purposes of implementing the exchange of stock certificates. Holders of pre-split shares will be asked to surrender to the exchange agent stock certificates representing pre-split shares in exchange for stock certificates (or book-entry positions) representing post-split shares in accordance with the procedures to be set forth in a letter of transmittal to be sent by Boundless Bio. No new certificates (or book-entry positions) will be issued to a stockholder until such stockholder has surrendered such stockholder’s outstanding certificate(s) together with the properly completed and executed letter of transmittal to the exchange agent. Shares held in book-entry form will be automatically exchanged.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Nasdaq Reverse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stockholder would otherwise be entitled multiplied by the closing price of the common stock on Nasdaq on the date of the filing of the amendment to the Boundless Bio Charter effecting the Nasdaq Reverse Split. For the foregoing purposes, all shares of Boundless Bio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Boundless Bio is domiciled and where the funds will be deposited, sums due for fractional interests that are not timely claimed after the effective date of the split may be required to be paid to the designated agent for each such jurisdiction, unless correspondence has been received by Boundless Bio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Boundless Bio Board of Directors or contemplating a tender offer or other transaction for the combination of Boundless Bio with another company, the Nasdaq Reverse Split Proposal is not being proposed in response to any effort of which Boundless Bio is aware to accumulate shares of Boundless Bio Common Stock or obtain control of Boundless Bio, other than in connection with the Merger, nor is it part of a plan by management to recommend a series of similar amendments to the Boundless Bio Board of Directors and stockholders. Other than the proposals being submitted to Boundless Bio stockholders for their consideration at the Boundless Bio Special Meeting, the Boundless Bio Board of Directors does not currently contemplate recommending the adoption of any other actions that could be construed to affect the ability of third parties to take over or change control of Boundless Bio.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128 of this proxy statement/prospectus. </w:t>
      </w:r>
    </w:p>
    <w:p>
      <w:pPr>
        <w:pStyle w:val="TextBody"/>
        <w:bidi w:val="0"/>
        <w:spacing w:before="360" w:after="0"/>
        <w:jc w:val="left"/>
        <w:rPr>
          <w:rFonts w:ascii="Times New Roman" w:hAnsi="Times New Roman"/>
          <w:b/>
          <w:sz w:val="20"/>
        </w:rPr>
      </w:pPr>
      <w:bookmarkStart w:id="54" w:name="tx108148_707"/>
      <w:bookmarkEnd w:id="54"/>
      <w:r>
        <w:rPr>
          <w:rFonts w:ascii="Times New Roman" w:hAnsi="Times New Roman"/>
          <w:b/>
          <w:sz w:val="20"/>
        </w:rPr>
        <w:t xml:space="preserve">Material U.S. Federal Income Tax Considerations of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Nasdaq Reverse Split that are generally applicable to U.S. Holders (as defined below) of Boundless Bio Common Stock.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Boundless Bio has not sought and will not seek any rulings from the IRS regarding the matters discussed below. There can be no assurance the IRS or a court will not take a contrary position to that discussed below regarding the tax considerations of the Nasdaq Reverse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Boundless Bio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Boundless Bio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Boundless 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passthroughs,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Boundless Bio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Boundless Bio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Boundless Bio Common Stock as “qualified small business stock” within the meaning of Section 1202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Boundless Bio Common Stock, the tax treatment of a partner in the partnership will depend on the status of the partner, the activities of the partnership, and certain determinations made at the partner level. Accordingly, a partnership holding Boundless Bio Common Stock and each partner in such partnership are urged to consult their tax advisors regarding the U.S. federal income tax considerations to them of the Nasdaq Reverse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Boundless Bio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Nasdaq Reverse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of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Nasdaq Reverse Split is intended to qualify as a “recapitalization” for U.S. federal income tax purposes pursuant to Section 368(a)(1)(E) of the Code. As a result, a U.S. Holder generally should not recognize gain or loss upon the proposed Nasdaq Reverse Split, except with respect to cash received in lieu of a fractional share of Boundless Bio Common Stock, as discussed below. A U.S. Holder’s aggregate adjusted tax basis in the shares of Boundless Bio Common Stock received pursuant to the proposed Nasdaq Reverse Split should equal the aggregate adjusted tax basis of the shares of the Boundless Bio Common Stock surrendered (excluding any portion of such basis that is allocated to any fractional share of Boundless Bio Common Stock), and such U.S. Holder’s holding period in the shares of Boundless Bio Common Stock received should include the holding period in the shares of Boundless Bio Common Stock surrendered. U.S. Treasury Regulations provide detailed rules for allocating the tax basis and holding period of the shares of Boundless Bio Common Stock surrendered to the shares of Boundless Bio Common Stock received in a recapitalization pursuant to the proposed Nasdaq Reverse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U.S. Holder of shares of Boundless Bio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Boundless Bio Common Stock pursuant to the proposed Nasdaq Reverse Split should recognize capital gain or loss in an amount equal to the difference between the amount of cash received and the U.S. Holder’s tax basis in the shares of Boundless Bio Common Stock surrendered that is allocated to such fractional share of Boundless Bio Common Stock. Such capital gain or loss should be long-term capital gain or loss if the U.S. Holder’s holding period for Boundless Bio Common Stock surrendered exceeded one year at the effective time of the Nasdaq Reverse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Reporting Regarding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Nasdaq Reverse Split qualifies as a recapitalization within the meaning of Section 368(a) of the Code, each U.S. Holder who receives shares of Boundless Bio Common Stock in the Nasdaq Reverse Split is required to retain permanent records pertaining to the Nasdaq Reverse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Boundless Bio or who owned securities in Boundless Bio with a basis of $1,000,000 or more are required to attach a statement to their tax returns for the year in which the Nasdaq Reverse Split is consummated that contains the information listed in Treasury Regulations Section 1.368-3(b). Such statement must include the holder’s tax basis in the U.S. Holder’s Boundless Bio Common Stock and the fair market value of such stock. Each U.S. Holder is urged to consult with its tax advisor to comply with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Boundless Bio Common Stock may, under certain circumstances, be subject to information reporting and backup withholding. To avoid backup withholding, each holder of Boundless Bio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Boundless Bio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of the Nasdaq Reverse Split Proposal </w:t>
      </w:r>
    </w:p>
    <w:p>
      <w:pPr>
        <w:pStyle w:val="TextBody"/>
        <w:bidi w:val="0"/>
        <w:spacing w:before="120" w:after="0"/>
        <w:jc w:val="left"/>
        <w:rPr>
          <w:rFonts w:ascii="Times New Roman" w:hAnsi="Times New Roman"/>
          <w:sz w:val="20"/>
        </w:rPr>
      </w:pPr>
      <w:r>
        <w:rPr>
          <w:rFonts w:ascii="Times New Roman" w:hAnsi="Times New Roman"/>
          <w:sz w:val="20"/>
        </w:rPr>
        <w:t xml:space="preserve">The Merger is conditioned upon the approval of the Nasdaq Reverse Split Proposal. However, the Boundless Bio Board of Directors, without Serapha’s input, may determine to effect the Nasdaq Reverse Split, if it is approved by Boundless Bio stockholders, even if the other proposals to be acted upon at the Boundless Bio Special Meeting are not approved, including the issuance of Boundless Bio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Certain Boundless Bio stockholders have agreed to vote any shares of Boundless Bio Common Stock owned by them in favor of the Nasdaq Reverse Split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Reverse Split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NASDAQ REVERSE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5" w:name="tx108148_21"/>
      <w:bookmarkEnd w:id="55"/>
      <w:r>
        <w:rPr>
          <w:rFonts w:ascii="Times New Roman" w:hAnsi="Times New Roman"/>
          <w:b/>
          <w:sz w:val="20"/>
        </w:rPr>
        <w:t xml:space="preserve">PROPOSAL NO. 3 - THE AUTHORIZED SHARE INCREASE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will ask its stockholders to approve an amendment to the Boundless Bio Charter to increase the number of authorized shares of Boundless Bio Common Stock (the “Boundless Bio Share Increase Amendment”). On    , 2026, the Boundless Bio Board of Directors approved a proposal to amend the Boundless Bio Charter to increase the number of authorized shares of Boundless Bio Common Stock from 700,000,000 shares to    , which would also have the effect of increasing the total number of authorized shares from 770,000,000, including Boundless Bio Preferred Stock, to    (the “Boundless Bio Share Increase”), in the form attached as </w:t>
      </w:r>
      <w:r>
        <w:rPr>
          <w:rFonts w:ascii="Times New Roman" w:hAnsi="Times New Roman"/>
          <w:i/>
          <w:sz w:val="20"/>
        </w:rPr>
        <w:t xml:space="preserve">Annex C </w:t>
      </w:r>
      <w:r>
        <w:rPr>
          <w:rFonts w:ascii="Times New Roman" w:hAnsi="Times New Roman"/>
          <w:sz w:val="20"/>
        </w:rPr>
        <w:t xml:space="preserve">to this proxy statement/prospectus. As of     , 2026, there were     shares of Boundless Bio Common Stock issued and outstanding, and     shares of Boundless Bio Common Stock reserved for issuance. Accordingly,     shares of the total number of Boundless Bio Common Stock currently authorized remain available for issuance or may be reserved for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Boundless Bio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Share Increase Amendment would amend and restate the first paragraph of Article IV of the Boundless Bio Charter in its entirety as follows: </w:t>
      </w:r>
    </w:p>
    <w:p>
      <w:pPr>
        <w:pStyle w:val="TextBody"/>
        <w:bidi w:val="0"/>
        <w:spacing w:before="240" w:after="0"/>
        <w:jc w:val="left"/>
        <w:rPr/>
      </w:pPr>
      <w:r>
        <w:rPr/>
        <w:t>“</w:t>
      </w:r>
      <w:r>
        <w:rPr>
          <w:rFonts w:ascii="Times New Roman" w:hAnsi="Times New Roman"/>
          <w:sz w:val="20"/>
        </w:rPr>
        <w:t xml:space="preserve">The Corporation is authorized to issue two classes of stock to be designated, respectively, “Common Stock” and “Preferred Stock.” The total number of shares of capital stock which the Corporation shall have authority to issue is    . The total number of shares of Common Stock that the Corporation is authorized to issue is    , having a par value of $0.0001 per share, and the total number of shares of Preferred Stock that the Corporation is authorized to issue is 70,000,000, having a par value of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the Boundless Bio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currently authorizes the issuance of up to 700,000,000 shares of Boundless Bio Common Stock and 70,000,000 shares of Boundless Bio Preferred Stock. As of the close of business on     , 2026, there were     shares of Boundless Bio Common Stock issued and outstanding, and     shares of Boundless Bio Common Stock reserved for issuance. Accordingly,     shares of the total number of Boundless Bio Common Stock currently authorized remain available for issuance or may be reserved for issuance. </w:t>
      </w:r>
    </w:p>
    <w:p>
      <w:pPr>
        <w:pStyle w:val="TextBody"/>
        <w:bidi w:val="0"/>
        <w:spacing w:before="240" w:after="0"/>
        <w:jc w:val="left"/>
        <w:rPr>
          <w:rFonts w:ascii="Times New Roman" w:hAnsi="Times New Roman"/>
          <w:sz w:val="20"/>
        </w:rPr>
      </w:pPr>
      <w:r>
        <w:rPr>
          <w:rFonts w:ascii="Times New Roman" w:hAnsi="Times New Roman"/>
          <w:sz w:val="20"/>
        </w:rPr>
        <w:t>As described in greater detail in the section of this proxy statement/prospectus titled “</w:t>
      </w:r>
      <w:r>
        <w:rPr>
          <w:rFonts w:ascii="Times New Roman" w:hAnsi="Times New Roman"/>
          <w:i/>
          <w:sz w:val="20"/>
        </w:rPr>
        <w:t>The Merger Agreement</w:t>
      </w:r>
      <w:r>
        <w:rPr>
          <w:rFonts w:ascii="Times New Roman" w:hAnsi="Times New Roman"/>
          <w:sz w:val="20"/>
        </w:rPr>
        <w:t xml:space="preserve">,” pursuant to the Merger Agreement, Boundless Bio will be required to issue shares of Boundless Bio Common Stock to Serapha stockholders and to assume the Serapha Equity Incentive Plan and outstanding Serapha Options, Serapha RSUs and Serapha Warrants.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Boundless Bio Common Stock currently authorized and unissued and not reserved for issuance is not sufficient for (i) the issuance of Boundless Bio Common Stock pursuant to the Merger Agreement (including Boundless Bio Common Stock issuable upon the exercise of the Boundless Bio Pre-Funded Warrants) and (ii) the assumption of the Serapha Equity Incentive Plan and outstanding Serapha Options, Serapha RSUs and Serapha Warrants. In addition, there will not be sufficient shares of Boundless Bio Common Stock available for issuance in connection with possible future acquisitions, equity and equity-based financings, possible future awards under employee benefit plans and other corporate purposes that the Boundless Bio Board of Directors may determine to be desirable. Therefore, the Boundless Bio Board of Directors has determined that the Boundless Bio Share Increase Amendment is in the best interests of Boundless Bio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Boundless Bio Share Increase Amendment is approved by stockholders, upon its effectiveness, and without giving effect to the Nasdaq Reverse Split described in Proposal No. 2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will have a total of    authorized shares of Boundless Bio Common Stock, with     shares of Boundless Bio Common Stock issued and outstanding (as of the Record Date), and     shares reserved for issuance (as of the Record Date), leaving a balance of     shares of Boundless Bio Common Stock authorized and unissued and not reserved for any specific purpose. Such outstanding share amounts will be correspondingly adjusted to the extent the Nasdaq Reverse Split is effected prior to effectiveness of the Boundless Bio Share Increase Amendment, but the Nasdaq Reverse Split will not change the number of authorized shares of common or preferred stock. The Boundless Bio Share Increase Amendment will have no effect on the authorized shares of Boundless Bio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for (i) the issuance of shares of Boundless Bio Common Stock (including Boundless Bio Common Stock issuable upon the exercise of the Boundless Bio Pre-Funded Warrants) and (ii) the issuance of shares of Boundless Bio Common Stock that may result from the assumption of the Serapha Equity Incentive Plan and outstanding Serapha Options, Serapha RSUs and Serapha Warrants, each pursuant to the terms of the Merger Agreement, Boundless Bio does not currently have any plans, proposals or arrangement to issue any of its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Effects of the Boundless Bio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Boundless Bio Share Increase Amendment is approved and becomes effective, the additional authorized shares would be available for issuance at the discretion of the Boundless Bio Board of Directors and without further stockholder approval, except as may be required by law or Nasdaq rules. The additional shares of authorized Boundless Bio Common Stock would have the same rights and privileges as the shares of Boundless Bio Common Stock currently issued and outstanding. Holders of Boundless Bio Common Stock have no preemptive rights. The Boundless Bio Share Increase would not change the number of shares of common stock outstanding, nor will it have any immediate dilutive effect; however, the issuance of additional shares of Boundless Bio Common Stock authorized by the Boundless Bio Share Increase may, among other things, have a dilutive effect on earnings per share and on stockholders’ equity and voting rights. Furthermore, future sales of substantial amounts of Boundless Bio Common Stock, or the perception that these sales might occur, could adversely affect the prevailing market price of Boundless Bio Common Stock or limit Boundless Bio’s ability to raise additional capital. Boundless Bio stockholders should recognize that, as a result of this proposal, they will own a smaller percentage of shares relative to the total authorized shares of Boundless Bio than they presently own.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DGCL, stockholders are not entitled to appraisal rights or dissenters’ rights with respect to the Boundless Bio Share Increase Amendment or the Boundless Bio Share Increase.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Effectiveness of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Boundless Bio Share Increase Amendment is approved by the stockholders at the Boundless Bio Special Meeting, it will become effective upon the filing of a certificate of amendment, a copy of which is attached as </w:t>
      </w:r>
      <w:r>
        <w:rPr>
          <w:rFonts w:ascii="Times New Roman" w:hAnsi="Times New Roman"/>
          <w:i/>
          <w:sz w:val="20"/>
        </w:rPr>
        <w:t xml:space="preserve">Annex C </w:t>
      </w:r>
      <w:r>
        <w:rPr>
          <w:rFonts w:ascii="Times New Roman" w:hAnsi="Times New Roman"/>
          <w:sz w:val="20"/>
        </w:rPr>
        <w:t xml:space="preserve">to this proxy statement/prospectus, with the Delaware Secretary of State or such later effective date and time as specified in the certificate of amendment in accordance with Delaware law. </w:t>
      </w:r>
    </w:p>
    <w:p>
      <w:pPr>
        <w:pStyle w:val="TextBody"/>
        <w:bidi w:val="0"/>
        <w:spacing w:before="240" w:after="0"/>
        <w:jc w:val="left"/>
        <w:rPr>
          <w:rFonts w:ascii="Times New Roman" w:hAnsi="Times New Roman"/>
          <w:sz w:val="20"/>
        </w:rPr>
      </w:pPr>
      <w:r>
        <w:rPr>
          <w:rFonts w:ascii="Times New Roman" w:hAnsi="Times New Roman"/>
          <w:sz w:val="20"/>
        </w:rPr>
        <w:t xml:space="preserve">Copies of the Boundless Bio Charter and the certificates of amendment to the Boundless Bio Charter are available as exhibits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Authorized Share Increase Proposal. Notwithstanding the approval of the Authorized Share Increase Proposal, if the Nasdaq Stock Issuance Proposal or the Nasdaq Reverse Split Proposal are not approved or the other closing conditions under the Merger Agreement are not satisfied or waived, the actions contemplated by the Authorized Share Increase Proposal will not be effected and the Merger will not be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Authorized Share Increase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AUTHORIZED SHARE INCREASE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x108148_22"/>
      <w:bookmarkEnd w:id="56"/>
      <w:r>
        <w:rPr>
          <w:rFonts w:ascii="Times New Roman" w:hAnsi="Times New Roman"/>
          <w:b/>
          <w:sz w:val="20"/>
        </w:rPr>
        <w:t xml:space="preserve">PROPOSAL NO. 4 -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will ask its stockholders to approve the Serapha Bio, Inc. 2026 Stock Incentive Plan (the “2026 Stock Plan”) to be effective on the closing date of the Merger. The 2026 Stock Plan was approved by the Boundless Bio Board of Directors on     , 2026, subject to stockholder approval and the consummation of the Merger. If the 2026 Stock Plan is approved by stockholders and the Merger is consummated, no further awards will be granted under the Boundless Bio, Inc. 2024 Incentive Award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will be attached as </w:t>
      </w:r>
      <w:r>
        <w:rPr>
          <w:rFonts w:ascii="Times New Roman" w:hAnsi="Times New Roman"/>
          <w:i/>
          <w:sz w:val="20"/>
        </w:rPr>
        <w:t>Annex K</w:t>
      </w:r>
      <w:r>
        <w:rPr>
          <w:rFonts w:ascii="Times New Roman" w:hAnsi="Times New Roman"/>
          <w:sz w:val="20"/>
        </w:rPr>
        <w:t xml:space="preserve"> to the registration statement of which this proxy statement/prospectus is a part. Stockholders are urged to read the 2026 Stock Plan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Stock Plan will be administered by the compensation committee of the Combined Company board of directors, or another committee designated by the Combined Company board of directors to administer the 2026 Stock Plan, which is referred to herein as the “Administrator.” The Administrator will have broad authority, subject to the provisions of the 2026 Stock Plan, to administer and interpret the 2026 Stock Plan and Awards granted thereunder. All decisions and actions of the Administrator will be final. Any power of the Administrator may also be exercised by the Combined Company board of directors, except to the extent doing so would cause an Award or transaction to lose an exemption under Section 16 of the Exchange Act. Subject to the limitations in the 2026 Stock Plan, the Administrator may delegate any or all of its authority to one or more subcommittees composed of directors and/or officers of the Combined Company and may delegate day-to-day administrative authority to one or more officers, employees or agents of the Combined Company; provided that a subcommittee comprised of officers may not grant Awards to any member of such subcommittee or to any officer (within the meaning of Section 16 of the Exchange Act) or non-employee director.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Stock Plan will be     % of the total number of shares of outstanding capital stock immediately following the consummation of the Merger (including Combined Company common stock, preferred stock and unexercised pre-funded warrants), subject to certain adjustments in the event of a change in the Combined Company’s capitalization. The shares that may be issued under the 2026 Stock Plan will be automatically increased on January 1 of each year beginning in 2027 and ending with a final increase on January 1, 2036 in an amount equal to     % of the outstanding capital stock (including Combined Company common stock, preferred stock on an as-converted basis and unexercised pre-funded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on the preceding December 31, unless a lower, or no, increase is determined by the Administrator. Only     shares of Combined Company common stock may be issued under the 2026 Stock Plan as incentive stock options (after giving effect to the Nasdaq Reverse Split). In addition, the aggregate dollar value of equity-based Awards (based on grant date fair market value) and cash compensation granted under the 2026 Stock Plan or otherwise to any non-employee director for service on the Combined Company board of directors may not exceed $    during any calendar year, except that in the calendar year in which a non-employee director first joins the board or is designated as Chairman of the Board or Lead Director, such limit is $   . </w:t>
      </w:r>
    </w:p>
    <w:p>
      <w:pPr>
        <w:pStyle w:val="TextBody"/>
        <w:bidi w:val="0"/>
        <w:spacing w:before="240" w:after="0"/>
        <w:jc w:val="left"/>
        <w:rPr>
          <w:rFonts w:ascii="Times New Roman" w:hAnsi="Times New Roman"/>
          <w:sz w:val="20"/>
        </w:rPr>
      </w:pPr>
      <w:r>
        <w:rPr>
          <w:rFonts w:ascii="Times New Roman" w:hAnsi="Times New Roman"/>
          <w:sz w:val="20"/>
        </w:rPr>
        <w:t xml:space="preserve">Shares of Combined Company common stock issued under the 2026 Stock Plan may be either authorized and unissued shares or shares reacquired by the Combined Company, including shares purchased in the open market or in private transactions. On termination or expiration of an Award under the 2026 Stock Plan, in whole or in part, the number of shares of Combined Company common stock subject to such Award but not issued thereunder or that are otherwise forfeited back to the Combined Company will again become available for grant under the 2026 Stock Plan. Additionally, shares subject to Awards that are settled in cash or that otherwise do not result in the issuance of shares, shares retained or withheld by the Combined Company in payment or satisfaction of any exercise price, purchase price, or tax withholding obligation of an Award, and shares delivered (either actually or by attestation) to the Combined Company in payment or satisfaction of any exercise price, purchase price, or tax withholding obligation of an Award will be available for grant under the 2026 Stock Plan. Shares issued in respect of substitute awards granted in assumption of, or in substitution or exchange for, awards previously granted by a company acquired by the Combined Company or with which the Combined Company combines will not reduce the shares available under the 2026 Stock Plan, and, subject to applicable stock exchange rules and the other conditions set forth in the 2026 Stock Plan, shares remaining available under a stockholder-approved plan of such an acquired company may be used for Awards under the 2026 Stock Plan without reducing the share pool.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closing price of a share of Boundless Bio Common Stock was $    per share, as reported on the Nasdaq Stock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Current or prospective employees, officers, non-employee directors, and other individual service providers of the Combined Company and its subsidiaries will be eligible to participate in the 2026 Stock Plan, if selected by the Administrator. Following the Merger, it is expected that approximately     employees (including     executive officers),     non-employee directors and     other individual service providers of the Combined Company will be eligible to participate in the 2026 Stock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b/>
          <w:i/>
          <w:sz w:val="20"/>
        </w:rPr>
        <w:t>Stock Options</w:t>
      </w:r>
      <w:r>
        <w:rPr>
          <w:rFonts w:ascii="Times New Roman" w:hAnsi="Times New Roman"/>
          <w:sz w:val="20"/>
        </w:rPr>
        <w:t xml:space="preserve">. All stock options granted under the 2026 Stock Plan will be evidenced by a written agreement with the participant,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except that the term of an option other than an incentive stock option will be automatically extended if, at the time of its scheduled expiration, the participant is prohibited by law or the Combined Company’s insider trading policy from exercising the option, with such extension expiring on the 30th day after the prohibition lapses, and other terms and conditions. Subject to the express provisions of the 2026 Stock Plan, options generally may be exercised over such period, in installments or otherwise, as the Administrator may determine. The exercise price for any stock option granted may not generally be less than the fair market value of the Combined Company common stock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The 2026 Stock Plan permits, without stockholder approval,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Administrator to reduce the exercise price of a previously awarded option or cancel and re-grant or exchange such option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SARs may be granted alone or in conjunction with all or part of a stock option. The term of a SAR may not exceed 10 years, subject to the same automatic extension described above for options. A SAR granted in tandem with an option has the same exercise price as the related option, and exercise of either the SAR or the related option automatically cancels the other to the extent of the shares covered by such exercise; freestanding SARs are subject to the same terms and conditions applicable to options. Upon exercising a SAR, the participant is entitled to receive the amount by which the fair market value of the Combined Company common stock at the time of exercise exceeds the exercise price of the SAR. This amount is payable in Combined Company common stock, cash, restricted stock, or a combination thereof, at the Administrator’s discretion. The 2026 Stock Plan permits, without stockholder approval, the Administrator to reduce the exercise price of a previously awarded SAR or cancel and re-grant or exchange such SAR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b/>
          <w:i/>
          <w:sz w:val="20"/>
        </w:rPr>
        <w:t>Restricted Stock and RSUs</w:t>
      </w:r>
      <w:r>
        <w:rPr>
          <w:rFonts w:ascii="Times New Roman" w:hAnsi="Times New Roman"/>
          <w:sz w:val="20"/>
        </w:rPr>
        <w:t xml:space="preserve">. Awards of restricted stock consist of shares of stock that are transferred to the participant subject to restrictions that may result in forfeiture if specified conditions are not satisfied. RSUs result in the transfer of shares of stock or cash to the participant only after specified conditions are satisfied. The Administrator will determine the restrictions and conditions applicable to each award of restricted stock or RSUs, which may include performance vesting conditions. Unless the Administrator determines otherwise, holders of restricted stock are entitled to receive dividends and other distributions paid on those shares, and the Administrator will determine whether such amounts are paid in cash or reinvested in additional shares of restricted stock subject to the same restrictions. Shares underlying RSUs and other stock-based awards are entitled to dividends or dividend equivalents only to the extent provided by the Administrator. </w:t>
      </w:r>
    </w:p>
    <w:p>
      <w:pPr>
        <w:pStyle w:val="TextBody"/>
        <w:bidi w:val="0"/>
        <w:spacing w:before="240" w:after="0"/>
        <w:jc w:val="left"/>
        <w:rPr>
          <w:rFonts w:ascii="Times New Roman" w:hAnsi="Times New Roman"/>
          <w:sz w:val="20"/>
        </w:rPr>
      </w:pPr>
      <w:r>
        <w:rPr>
          <w:rFonts w:ascii="Times New Roman" w:hAnsi="Times New Roman"/>
          <w:b/>
          <w:i/>
          <w:sz w:val="20"/>
        </w:rPr>
        <w:t>Other Stock-Based Awards</w:t>
      </w:r>
      <w:r>
        <w:rPr>
          <w:rFonts w:ascii="Times New Roman" w:hAnsi="Times New Roman"/>
          <w:sz w:val="20"/>
        </w:rPr>
        <w:t xml:space="preserve">. Other stock-based awards are Awards denominated in or payable in, valued in whole or in part by reference to, or otherwise based on or related to, the value of Combined Company common stock. </w:t>
      </w:r>
    </w:p>
    <w:p>
      <w:pPr>
        <w:pStyle w:val="TextBody"/>
        <w:bidi w:val="0"/>
        <w:spacing w:before="240" w:after="0"/>
        <w:jc w:val="left"/>
        <w:rPr>
          <w:rFonts w:ascii="Times New Roman" w:hAnsi="Times New Roman"/>
          <w:sz w:val="20"/>
        </w:rPr>
      </w:pPr>
      <w:r>
        <w:rPr>
          <w:rFonts w:ascii="Times New Roman" w:hAnsi="Times New Roman"/>
          <w:b/>
          <w:i/>
          <w:sz w:val="20"/>
        </w:rPr>
        <w:t>Incentive Bonuses</w:t>
      </w:r>
      <w:r>
        <w:rPr>
          <w:rFonts w:ascii="Times New Roman" w:hAnsi="Times New Roman"/>
          <w:sz w:val="20"/>
        </w:rPr>
        <w:t xml:space="preserve">. Each incentive bonus will confer upon the participant the opportunity to earn a payment, which may be subject to vesting or performance criteria established by the Administrator. Payment of the amount due under an incentive bonus may be made in cash or shares,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specify certain performance criteria which must be satisfied before Awards will be granted or will vest. The performance goals may vary from participant to participant, group to group, and period to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Awards generally may not be sold, transferred for value, pledged, assigned, or otherwise alienated or hypothecated by a participant other than by will or the laws of descent and distribution, and each option or SAR may be exercisable only by the participant during his or her lifetime.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will be subject to recoupment in accordance with any clawback policy that the Combined Company adopts or is required to adopt pursuant to the listing standards of any national securities exchange or association on which its securities are listed or as otherwise required by Rule 10D-1 under the Exchange Act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capitalization of the Combined Company, including any reorganization, reclassification, combination of shares, stock split, reverse stock split, spin-off, dividend or distribution (other than quarterly cash dividends), the share pool and outstanding Awards will be equitably adjusted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of the Combined Company, the Administrator may (i) provide for the assumption of outstanding Awards, (ii) issue substitute awards, (iii) accelerate vesting or waive any forfeiture conditions, (iv) accelerate the exercisability of the award, (v) make any other adjustments to outstanding Awards as deemed to be appropriate or (vi) provide for the cancellation and cash-out of outstanding Awards; however, unless the Administrator determines otherwise, if Awards are not assumed, continued or substituted for in connection with the change in control, then all such outstanding Awards will become fully vested and exercisable immediately prior to the change in control (with performance based on target or actual achievement as determined by the Administrator). For these purposes, a “change in control” is defined in the 2026 Stock Plan and expressly excludes the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board of directors will have the right to amend, alter, suspend, or terminate the 2026 Stock Plan at any time, provided certain enumerated material amendments may not be made without stockholder approval. No amendment or alteration to the 2026 Stock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Combined Company, the 2026 Stock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The 2026 Stock Plan will automatically terminate as to the grant of future awards, unless earlier terminated by the Combined Company board of directors, on     , 2036.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U.S. federal income tax treatment applicable to the Combined Company and the participants who receive Awards under the 2026 Stock Plan based on the federal income tax laws in effect on the date of this proxy statement/prospectus. This summary is not intended to be exhaustive and does not address all matters relevant to a particular participant based on their specific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own tax advisor concerning the tax implications of Awards granted under the 2026 Stock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2026 Stock Plan may be either incentive stock options, which are intended to satisfy the requirements of Section 422 of the Code, or non-qualified stock options, which are not intended to meet such requirements. No taxable income is recognized by the optionee at the time of the option grant, and no taxable income is recognized for ordinary income tax purposes at the time the option is exercised, although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taxable income may 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the Combined Company (or, if applicable, the affiliate employer)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(or, if applicable, the affiliate employer) will be entitled to an income tax deduction equal to the amount of ordinary income recognized by the optionee with respect to the exercised non-qualified stock option. </w:t>
      </w:r>
    </w:p>
    <w:p>
      <w:pPr>
        <w:pStyle w:val="TextBody"/>
        <w:bidi w:val="0"/>
        <w:spacing w:before="0" w:after="0"/>
        <w:jc w:val="left"/>
        <w:rPr/>
      </w:pPr>
      <w:r>
        <w:rPr/>
        <w: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upon receipt of a SAR. The participant will recognize ordinary income in the year in which the SAR is exercised, in an amount equal to the excess of the fair market value of the underlying shares of common stock on the exercise date over the base price in effect for the exercised right, and the participant will be required to satisfy the tax withholding requirements applicable to such income. The Combined Company (or, if applicable, the affiliate employer) will be entitled to an income tax deduction equal to the amount of ordinary income recognized by the participant in connection with the exercise of the SAR.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who receives unvested shares of Combined Company common stock will not recognize any taxable income at the time those shares are granted but will have to report as ordinary income, as and when the restrictions constituting a substantial risk of forfeiture lapse, an amount equal to the excess of (i) the fair market value of the shares on the vesting date over (ii) the amount paid (if any) for the shares. The participant may, however, elect under Section 83(b) of the Code to include as ordinary income in the year the unvested shares are issued an amount equal to the excess of (a) the fair market value of those shares on the issue date over (b) the amount paid (if any) for such shares. If the Section 83(b) election is made, the participant will not recognize any additional income as and when the shares subsequently vest. The Combined Company (or, if applicable, the affiliate employer) will be entitled to an income tax deduction equal to the amount of ordinary income recognized by the participant at the time such ordinary income is recognized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Other Stock-Based Awards, Incentive Bonuses </w:t>
      </w:r>
    </w:p>
    <w:p>
      <w:pPr>
        <w:pStyle w:val="TextBody"/>
        <w:bidi w:val="0"/>
        <w:spacing w:before="120" w:after="0"/>
        <w:jc w:val="left"/>
        <w:rPr>
          <w:rFonts w:ascii="Times New Roman" w:hAnsi="Times New Roman"/>
          <w:sz w:val="20"/>
        </w:rPr>
      </w:pPr>
      <w:r>
        <w:rPr>
          <w:rFonts w:ascii="Times New Roman" w:hAnsi="Times New Roman"/>
          <w:sz w:val="20"/>
        </w:rPr>
        <w:t xml:space="preserve">Generally, no taxable income is recognized upon the grant of RSUs, other stock-based awards or incentive bonuses. The participant will recognize ordinary income in the year in which the award is settled in shares or cash. The amount of that income will be equal to the fair market value of the shares on the date of issuance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the cash paid in settlement of the award, and the participant will be required to satisfy the tax withholding requirements applicable to the income. The Combined Company (or, if applicable, the affiliate employer) will be entitled to an income tax deduction equal to the amount of ordinary income recognized by the participant at the time the shares are issued or the cash amount is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Deductibility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Code limits the deductibility for federal income tax purposes of certain compensation paid to any “covered employee” in excess of $1.0 million. It is expected that compensation deductions for any covered employee with respect to awards granted under the 2026 Stock Plan will be subject to the $1.0 million annual deduction limitation.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cannot currently determine the benefits or number of shares subject to Awards that may be granted in the future to eligible participants under the 2026 Stock Plan because the grant of Awards and terms of such Awards are to be determined in the sole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Stock Plan Proposal. However, the Stock Plan Proposal is conditioned on the approval of the Nasdaq Stock Issuance Proposal. Notwithstanding the approval of the Stock Plan Proposal, if the Nasdaq Stock Issuance Proposal is not approved, the actions contemplated by the Stock Plan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Stock Plan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STOCK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7" w:name="tx108148_23"/>
      <w:bookmarkEnd w:id="57"/>
      <w:r>
        <w:rPr>
          <w:rFonts w:ascii="Times New Roman" w:hAnsi="Times New Roman"/>
          <w:b/>
          <w:sz w:val="20"/>
        </w:rPr>
        <w:t xml:space="preserve">PROPOSAL NO. 5 -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will ask its stockholders to approve the Serapha Bio, Inc. 2026 Employee Stock Purchase Plan (the “2026 ESPP”) to be effective on the closing date of the Merger. The 2026 ESPP was approved by the Boundless Bio Board of Directors on    , 2026, subject to stockholder approval and the consummation of the Merger. If the 2026 ESPP is approved by stockholders and the Merger is consummated, the Boundless Bio, Inc. 2024 Employee Stock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ESPP is not intended to be complete and is qualified in its entirety by the complete text of the 2026 ESPP, a copy of which will be attached as </w:t>
      </w:r>
      <w:r>
        <w:rPr>
          <w:rFonts w:ascii="Times New Roman" w:hAnsi="Times New Roman"/>
          <w:i/>
          <w:sz w:val="20"/>
        </w:rPr>
        <w:t>Annex L</w:t>
      </w:r>
      <w:r>
        <w:rPr>
          <w:rFonts w:ascii="Times New Roman" w:hAnsi="Times New Roman"/>
          <w:sz w:val="20"/>
        </w:rPr>
        <w:t xml:space="preserve"> to the registration statement of which this proxy statement/prospectus is a part. Stockholders are urged to read the 2026 ESPP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ESPP will be administered by the compensation committee of the Combined Company board of directors or another committee designated by the Combined Company board of directors to administer the 2026 ESPP, which is referred to herein as the “ESPP Administrator.” All questions of interpretation of the 2026 ESPP are determined by the ESPP Administrator, whose decisions are final and binding upon all participants. The ESPP Administrator may delegate, subject to applicable law, its responsibilities under the 2026 ESPP to one or more other persons, and has delegated day-to-day administration of the 2026 ESPP to the Chief Financial Officer (or such other officer with similar authority). The ESPP Administrator may adopt rules or procedures relating to the operation and administration of the 2026 ESPP to accommodate the specific requirements of local laws and procedures, including to adopt sub-plans for participants outside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ESPP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ESPP will be the lesser of (i)    % of the total number of shares of outstanding capital stock immediately following the consummation of the Merger (including Combined Company common stock, preferred stock and unexercised pre-funded warrants) or (ii)     shares (after giving effect to the Nasdaq Reverse Split)], subject to certain adjustments in the event of a change in the Combined Company’s capitalization. The shares that may be issued under the 2026 ESPP will be automatically increased on January 1 of each year beginning in 2027 and ending with a final increase on January 1, 2036 in an amount equal to the lesser of    % of the outstanding capital stock (including Combined Company common stock, preferred stock and unexercised pre-funded warrants) on the preceding December 31 or     shares (after giving effect to the Nasdaq Reverse Split), unless a lower, or no, increase is determined by the ESPP Administrator. Shares of Combined Company common stock issued under the 2026 ESPP may either be shares of authorized but unissued Combined Company common stock, Combined Company common stock held as treasury shares, or Combined Company common stock acquired in an open-market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total number of shares to be purchased by all participants on any exercise date (as defined below) exceeds the number of shares remaining available for issuance under the 2026 ESPP, the ESPP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make a pro rata allocation of the remaining available number of shares in as uniform a manner as possible and as the ESPP Administrator determines to be equitable.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closing price of a share of Boundless Bio Common Stock was $     per share, as reported on the Nasdaq Stock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employees of the Combined Company or a designated subsidiary of the Combined Company (as defined in the 2026 ESPP) who customarily work for more than 20 hours per week and more than five months in any calendar year and satisfy the requirements set forth in the 2026 ESPP will be eligible to participate in the 2026 ESPP. An employee generally must also have been employed by the Combined Company for at least 30 calendar days (or such other period as the ESPP Administrator determines) immediately preceding the applicable enrollment date. However, any employee who would own (or pursuant to Section 424(d) of the Code would be deemed to own) 5% or more of the total combined voting power or value of all classes of capital stock of the Combined Company or any parent or subsidiary (taking into account both stock owned and outstanding options to purchase stock) immediately after a grant under the 2026 ESPP is not eligible to participate. In addition, no participant may accrue rights to purchase stock under all employee stock purchase plans of the Combined Company and its parents and subsidiaries at a rate exceeding $25,000 of fair market value of stock (determined at the time the option is granted) for each calendar year in which the option is outstanding at any time. Following the Merger, it is expected that approximately      employees will be eligible to participate in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Periods </w:t>
      </w:r>
    </w:p>
    <w:p>
      <w:pPr>
        <w:pStyle w:val="TextBody"/>
        <w:bidi w:val="0"/>
        <w:spacing w:before="120" w:after="0"/>
        <w:jc w:val="left"/>
        <w:rPr>
          <w:rFonts w:ascii="Times New Roman" w:hAnsi="Times New Roman"/>
          <w:sz w:val="20"/>
        </w:rPr>
      </w:pPr>
      <w:r>
        <w:rPr>
          <w:rFonts w:ascii="Times New Roman" w:hAnsi="Times New Roman"/>
          <w:sz w:val="20"/>
        </w:rPr>
        <w:t xml:space="preserve">The 2026 ESPP is generally implemented by a series of “offering periods”. Offering periods may not exceed 27 months, an offering period may include one or more purchase periods, and the ESPP Administrator may change the duration and commencement dates of offering periods and purchase periods without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Payroll Deductions </w:t>
      </w:r>
    </w:p>
    <w:p>
      <w:pPr>
        <w:pStyle w:val="TextBody"/>
        <w:bidi w:val="0"/>
        <w:spacing w:before="120" w:after="0"/>
        <w:jc w:val="left"/>
        <w:rPr>
          <w:rFonts w:ascii="Times New Roman" w:hAnsi="Times New Roman"/>
          <w:sz w:val="20"/>
        </w:rPr>
      </w:pPr>
      <w:r>
        <w:rPr>
          <w:rFonts w:ascii="Times New Roman" w:hAnsi="Times New Roman"/>
          <w:sz w:val="20"/>
        </w:rPr>
        <w:t xml:space="preserve">To participate in an offering period, an eligible employee must execute and submit a properly completed subscription agreement on or before a date determined by the ESPP Administrator prior to the applicable enrollment date. Once enrolled in the 2026 ESPP, a participant purchases shares of the Combined Company’s common stock with accumulated contributions on the exercise date, which is the last trading day of each purchase period. Once an offering period is over, a participant is automatically enrolled in the next offering period unless the participant chooses to withdraw from the 2026 ESPP. </w:t>
      </w:r>
    </w:p>
    <w:p>
      <w:pPr>
        <w:pStyle w:val="TextBody"/>
        <w:bidi w:val="0"/>
        <w:spacing w:before="240" w:after="0"/>
        <w:jc w:val="left"/>
        <w:rPr>
          <w:rFonts w:ascii="Times New Roman" w:hAnsi="Times New Roman"/>
          <w:sz w:val="20"/>
        </w:rPr>
      </w:pPr>
      <w:r>
        <w:rPr>
          <w:rFonts w:ascii="Times New Roman" w:hAnsi="Times New Roman"/>
          <w:sz w:val="20"/>
        </w:rPr>
        <w:t xml:space="preserve">Each subscription agreement will request a deduction in an amount expressed as a whole percentage between     % and     % and all payroll deductions will be credited to the eligible employee’s account. The minimum permissible projected contribution by any participant for an offering period is $500, and the maximum permissible contribution by any participant for all offering periods during any calendar year is $25,000. The ESPP Administrator may also permit participants in a specified offering to contribute by cash, check or other means. Unless the ESPP Administrator determines otherwise, a participant may not increase or decrease his or her rate of contributions during a purchase period, but may do so effective as of the beginning of each purchase period, and a participant’s contributions may be decreased to 0% at any time to the extent necessary to comply with Section 423(b)(8) of the Code. No interest will be paid on any amount held in the account of any eligible employee.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 </w:t>
      </w:r>
    </w:p>
    <w:p>
      <w:pPr>
        <w:pStyle w:val="TextBody"/>
        <w:bidi w:val="0"/>
        <w:spacing w:before="120" w:after="0"/>
        <w:jc w:val="left"/>
        <w:rPr>
          <w:rFonts w:ascii="Times New Roman" w:hAnsi="Times New Roman"/>
          <w:sz w:val="20"/>
        </w:rPr>
      </w:pPr>
      <w:r>
        <w:rPr>
          <w:rFonts w:ascii="Times New Roman" w:hAnsi="Times New Roman"/>
          <w:sz w:val="20"/>
        </w:rPr>
        <w:t xml:space="preserve">On the first trading day of each offering period, each eligible employee automatically will be granted an option to acquire shares of Combined Company common stock on the exercise date. All participants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options under the 2026 ESPP will have the same rights and privileges consistent with the requirements set forth in Section 423 of the Code. No eligible employee will be permitted to purchase more than      shares (after giving effect to the Nasdaq Reverse Split) of Combined Company common stock during each purchase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at which shares are purchased under the 2026 ESPP is 85% of the fair market value of the Combined Company common stock on the first day of the offering period or on the exercise date (the last trading day of the applicable purchase period), whichever is lower. The ESPP Administrator may determine a different purchase price for subsequent offering periods, subject to compliance with Section 423 of the Code and other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Options </w:t>
      </w:r>
    </w:p>
    <w:p>
      <w:pPr>
        <w:pStyle w:val="TextBody"/>
        <w:bidi w:val="0"/>
        <w:spacing w:before="120" w:after="0"/>
        <w:jc w:val="left"/>
        <w:rPr>
          <w:rFonts w:ascii="Times New Roman" w:hAnsi="Times New Roman"/>
          <w:sz w:val="20"/>
        </w:rPr>
      </w:pPr>
      <w:r>
        <w:rPr>
          <w:rFonts w:ascii="Times New Roman" w:hAnsi="Times New Roman"/>
          <w:sz w:val="20"/>
        </w:rPr>
        <w:t xml:space="preserve">On each exercise date, unless the participant has withdrawn from the 2026 ESPP, accumulated contributions are applied automatically to purchase shares of common stock at the price described above. The number of shares purchased is determined by dividing the payroll deductions by the applicable purchase price,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Any payroll deductions accumulated in a participant’s account that are not sufficient to purchase a full share will, unless the ESPP Administrator determines otherwise, be retained in the participant’s account for the subsequent purchase period or offering period (subject to earlier withdrawal in accordance with the terms of the 2026 ESPP). Any other amounts of payroll deductions in a participant’s account that are not used for the purchase of shares of Combined Company common stock, whether because of the participant’s withdrawal, because the amount would enable the participant to purchase more than the maximum number of shares, or for any other reason, will be returned to the participant, without interest, as soon as administratively practicable after such withdrawal, exercise date or other event,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Cancellation and Withdrawal </w:t>
      </w:r>
    </w:p>
    <w:p>
      <w:pPr>
        <w:pStyle w:val="TextBody"/>
        <w:bidi w:val="0"/>
        <w:spacing w:before="120" w:after="0"/>
        <w:jc w:val="left"/>
        <w:rPr>
          <w:rFonts w:ascii="Times New Roman" w:hAnsi="Times New Roman"/>
          <w:sz w:val="20"/>
        </w:rPr>
      </w:pPr>
      <w:r>
        <w:rPr>
          <w:rFonts w:ascii="Times New Roman" w:hAnsi="Times New Roman"/>
          <w:sz w:val="20"/>
        </w:rPr>
        <w:t xml:space="preserve">Participants may cancel all (but not less than all) of their options and terminate their subscription agreement by delivering a written notice revoking their subscription to the Combined Company or by following an electronic or other withdrawal procedure determined by the ESPP Administrator. Upon such termination and cancellation, the balance in the participant’s account will be returned to the participant, without interest, as soon as administratively practicable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Employment or Eligibility </w:t>
      </w:r>
    </w:p>
    <w:p>
      <w:pPr>
        <w:pStyle w:val="TextBody"/>
        <w:bidi w:val="0"/>
        <w:spacing w:before="120" w:after="0"/>
        <w:jc w:val="left"/>
        <w:rPr>
          <w:rFonts w:ascii="Times New Roman" w:hAnsi="Times New Roman"/>
          <w:sz w:val="20"/>
        </w:rPr>
      </w:pPr>
      <w:r>
        <w:rPr>
          <w:rFonts w:ascii="Times New Roman" w:hAnsi="Times New Roman"/>
          <w:sz w:val="20"/>
        </w:rPr>
        <w:t xml:space="preserve">Upon the termination of a participant’s employment with the Combined Company (or a designated subsidiary, as applicable) for any reason or if a participant loses eligibility to participate in the 2026 ESPP, the participant’s option will be deemed cancelled, the balance in the participant’s account will be returned to the participant (or his or her estate or designated beneficiary in the event of the participant’s death), without interest, as soon as administratively practicable, and the participant will have no other rights under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Rights to purchase Combined Company common stock under the 2026 ESPP may not be transferred by a participant and may be exercised during a participant’s lifetime only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reorganizations, recapitalizations, stock splits, reverse stock splits, stock dividends, extraordinary dividends or distributions, or similar events, the ESPP Administrator will, in the manner it deems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equitable in order to prevent dilution or enlargement of the benefits intended to be made available under the 2026 ESPP, adjust the number and class of shares available under the 2026 ESPP, the purchase price per share, the number of shares covered by each outstanding option and the numerical share limits under the 2026 ESPP. In the event of a proposed dissolution or liquidation of the Combined Company, any offering period then in progress will be shortened by setting a new exercise date occurring before the dissolution or liquidation and will terminate immediately prior to its consummation, unless the ESPP Administrator provides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or Other Corporate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merger, sale, or other similar corporate transaction involving the Combined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Combined Company’s proposed merger, sale, or other similar corporate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ESPP Administrator may amend, suspend or terminate the 2026 ESPP at any time and, in the event of a termination of the 2026 ESPP, may terminate all outstanding offering periods (and return each participant’s account balance to the participant) or allow outstanding offering periods to expire in accordance with their terms. The 2026 ESPP will continue in effect until terminated by the ESPP Administrator.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description of the federal income tax treatment that will generally apply to the grant and exercise of rights under the 2026 ESPP, based on federal income tax laws in effect on the date of this proxy statement/prospectus. The exact federal income tax treatment of options under the 2026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2026 ESPP is intended to qualify as an “employee stock purchase plan” under Section 423 of the Code and, as a result, employees who participate in the 2026 ESPP will be afforded favorable tax treatment subject to meeting certain requirements specified by the Code. In general, there are no federal income tax consequences to a participant upon the grant of the option to purchase shares under the 2026 ESPP at the beginning of an offering period or upon its exercise on the exercise date at the end of a purchase period. Upon the disposition of shares of common stock acquired upon exercise of an option, the participant will generally be subject to tax and the nature and amount of the tax will depend on whether the employee has satisfied the statutory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employee holds shares acquired under the 2026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15% of the fair market value of the shares on the grant date (i.e., the first day of the offering period), or (ii) the amount by which the fair market value of the shares on the date of sale exceeds the purchase price paid for the shares. Any additional gain or loss will be taxed as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Combined Company is not entitled to any deduction with respect to the difference between the fair market value of the common stock and the option exercise price if the participant satisfies the statutory holding period described above. If shares are sold before the statutory holding period is satisfied, the Combined Company (or, if applicable, the affiliate employer) is entitled to a tax deduction for any ordinary income recognized by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benefits that will be received by or allocated to eligible employees under the 2026 ESPP cannot be determined at this time because the amount of payroll deductions contributed to purchase shares of Combined Company common stock under the 2026 ESPP is entirely within the discretion of each participant (subject to the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ESPP Proposal. However, the ESPP Proposal is conditioned on the approval of the Nasdaq Stock Issuance Proposal. Notwithstanding the approval of the ESPP Proposal, if the Nasdaq Stock Issuance Proposal is not approved, the actions contemplated by the ESPP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ESPP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8" w:name="tx108148_24"/>
      <w:bookmarkEnd w:id="58"/>
      <w:r>
        <w:rPr>
          <w:rFonts w:ascii="Times New Roman" w:hAnsi="Times New Roman"/>
          <w:b/>
          <w:sz w:val="20"/>
        </w:rPr>
        <w:t xml:space="preserve">PROPOSAL NO. 6 -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fails to receive a sufficient number of votes to approve Proposal Nos. 1, 2 and 3, Boundless Bio may propose to adjourn the Boundless Bio Special Meeting, for a period of not more than 45 days, for the purpose of soliciting additional proxies to approve Proposal Nos. 1, 2 and 3. Boundless Bio currently does not intend to propose adjournment at the Boundless Bio Special Meeting if there are sufficient votes to approve Proposal Nos. 1, 2 and 3.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Boundless Bio Special Meeting, under the Boundless Bio Bylaws, the person presiding over the meeting or a majority in voting power of the stockholders entitled to vote at the meeting, present at the meeting or represented by proxy, may adjourn the Boundless Bio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“FOR” the Adjournment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9" w:name="tx108148_25"/>
      <w:bookmarkEnd w:id="59"/>
      <w:r>
        <w:rPr>
          <w:rFonts w:ascii="Times New Roman" w:hAnsi="Times New Roman"/>
          <w:b/>
          <w:sz w:val="20"/>
        </w:rPr>
        <w:t xml:space="preserve">BOUNDLESS BIO’S BUSINESS </w:t>
      </w:r>
    </w:p>
    <w:p>
      <w:pPr>
        <w:pStyle w:val="TextBody"/>
        <w:bidi w:val="0"/>
        <w:spacing w:before="24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Boundless Bio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w:t>
      </w:r>
    </w:p>
    <w:p>
      <w:pPr>
        <w:pStyle w:val="TextBody"/>
        <w:bidi w:val="0"/>
        <w:spacing w:before="240" w:after="0"/>
        <w:jc w:val="left"/>
        <w:rPr>
          <w:rFonts w:ascii="Times New Roman" w:hAnsi="Times New Roman"/>
          <w:sz w:val="20"/>
        </w:rPr>
      </w:pPr>
      <w:r>
        <w:rPr>
          <w:rFonts w:ascii="Times New Roman" w:hAnsi="Times New Roman"/>
          <w:sz w:val="20"/>
        </w:rPr>
        <w:t xml:space="preserve">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Boundless Bio’s proprietary Spyglass platform, Boundless Bio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(“CIN”) and ecDNA amplification biology to grow, adapt, and become resistant to existing therapies. Instead of directly targeting the proteins produced by amplified oncogenes, which is the approach of traditional targeted therapies, Boundless Bio’s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Boundless Bio’s ecDTx were designed to preferentially kill ecDNA-enabled cancer cells, but not healthy cells. They were engineered to disrupt the underlying cellular machinery that enables ecDNA or functional amplification.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with Serapha and Merger Sub,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The Merger is intended to qualify for federal income tax purposes as (1) a tax-free reorganization under the provisions of Section 368(a) of the Code and/or (2) an exchange of shares of Serapha Capital Stock for Boundless Bio Common Stock under Section 351(a) of the Code. In connection with the signing of the Merger Agreement, Boundless Bio announced a workforce reduction of approximately 75%.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Combined Company plans to focus on advancing SERP-01, an investigational in vivo base editing therapy for AATD, and does not intend to continue development of any of Boundless Bio’s legacy ecDTx. Boundless Bio may continue to evaluate opportunities for its product candidates,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Bio’s Historical Platform and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lead ecDTx is BBI-940, a novel, oral, selective degrader that targets a previously undrugged kinesin involved in DNA segregation, including ecDNA segregation during mitosis. In February 2026, Boundless Bio initiated a Phase 1, open-label, multicenter, first-in-human clinical trial of BBI-940 in patients with estrogen receptor positive and human epidermal growth factor receptor 2 negative (“ER+/HER2-”) breast cancer who have progressed following treatment with a cyclin-dependent kinase 4/6 inhibitor (“CDK4/6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inhibitor”) plus endocrine therapy, as well as patients with triple-negative breast cancer luminal androgen receptor subtype (“TNBC-LAR”). Boundless Bio refers to this trial as KOMODO-1 (for Kinesin Oral Molecular Degrader for Oncology-1). In June 2026, Boundless Bio announced that based on preliminary exposure data obtained in the early dose escalation cohorts of the KOMODO-1 clinical trial, Boundless Bio believed that the observed pharmacokinetic exposure data, indicating that human oral bioavailability of BBI-940 was significantly lower than what had been predicted based on preclinical studies, did not support continued clinical development of BBI-940.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had been investigating BBI-355, a novel, oral, selective inhibitor of checkpoint kinase 1 (“CHK1”) designed to target replication stress in oncogene amplified cancers in a first-in-human Phase 1/2 clinical trial in patients with oncogene amplified cancers that it refers to as POTENTIATE (for Precision Oncology Trial Evaluating Novel Therapeutic Interrupting Amplifications Tied to ecDNA) (clinicaltrials.gov identifier NCT05827614). In the POTENTIATE trial, Boundless Bio used an internally developed ecDNA diagnostic clinical trial assay, which it refers to as ECHO (ecDNA Harboring Oncogenes), to detect ecDNA in patient tumor samples by analyzing genomic data from routine next generation sequencing (“NGS”) tests. In May 2025, Boundless Bio announced that it discontinued the monotherapy arm and combination arms of BBI-355 with third-party targeted therapies in the POTENTIATE trial based on initial trial data. During 2025, it wound down those initial arms of the POTENTIATE trial. Boundless Bio had been continuing to investigate BBI-355 in combination with BBI-825, a novel oral, selective inhibitor of ribonucleotide reductase (“RNR”) designed to target ecDNA assembly and repair; however, in January 2026, following a strategic portfolio review, Boundless Bio elected to cease enrollment of the POTENTIATE trial due to market considerations, clinical data, and prioritization of its BBI-940 program and will no longer invest in the development of ECHO. The wind down of the POTENTIATE trial is ongoing. </w:t>
      </w:r>
    </w:p>
    <w:p>
      <w:pPr>
        <w:pStyle w:val="TextBody"/>
        <w:bidi w:val="0"/>
        <w:spacing w:before="240" w:after="0"/>
        <w:jc w:val="left"/>
        <w:rPr>
          <w:rFonts w:ascii="Times New Roman" w:hAnsi="Times New Roman"/>
          <w:sz w:val="20"/>
        </w:rPr>
      </w:pPr>
      <w:r>
        <w:rPr>
          <w:rFonts w:ascii="Times New Roman" w:hAnsi="Times New Roman"/>
          <w:sz w:val="20"/>
        </w:rPr>
        <w:t xml:space="preserve">Previously, in December 2024, following an assessment of preliminary PK data, Boundless Bio made the strategic decision not to proceed with evaluation of BBI-825 in a first-in-human, open-label, non-randomized, 3-part, Phase 1/2 clinical trial of BBI-825 referred to as STARMAP (for Study Treating Acquired Resistance: MAPK Amplifications). In STARMAP, BBI-825 was being evaluated in patients with solid tumors, including those with </w:t>
      </w:r>
      <w:r>
        <w:rPr>
          <w:rFonts w:ascii="Times New Roman" w:hAnsi="Times New Roman"/>
          <w:i/>
          <w:sz w:val="20"/>
        </w:rPr>
        <w:t>BRAFV600E</w:t>
      </w:r>
      <w:r>
        <w:rPr>
          <w:rFonts w:ascii="Times New Roman" w:hAnsi="Times New Roman"/>
          <w:sz w:val="20"/>
        </w:rPr>
        <w:t xml:space="preserve"> or </w:t>
      </w:r>
      <w:r>
        <w:rPr>
          <w:rFonts w:ascii="Times New Roman" w:hAnsi="Times New Roman"/>
          <w:i/>
          <w:sz w:val="20"/>
        </w:rPr>
        <w:t>KRASG12C</w:t>
      </w:r>
      <w:r>
        <w:rPr>
          <w:rFonts w:ascii="Times New Roman" w:hAnsi="Times New Roman"/>
          <w:sz w:val="20"/>
        </w:rPr>
        <w:t xml:space="preserve">mutated colorectal cancer that developed resistance oncogene amplifications. Boundless Bio completed the winddown of the STARMAP trial in 2025. </w:t>
      </w:r>
    </w:p>
    <w:p>
      <w:pPr>
        <w:pStyle w:val="TextBody"/>
        <w:bidi w:val="0"/>
        <w:spacing w:before="480" w:after="0"/>
        <w:jc w:val="center"/>
        <w:rPr>
          <w:rFonts w:ascii="Times New Roman" w:hAnsi="Times New Roman"/>
          <w:b/>
          <w:sz w:val="20"/>
        </w:rPr>
      </w:pPr>
      <w:r>
        <w:rPr>
          <w:rFonts w:ascii="Times New Roman" w:hAnsi="Times New Roman"/>
          <w:b/>
          <w:sz w:val="20"/>
        </w:rPr>
        <w:t xml:space="preserve">Boundless Bio’s Historical Pipeline and Platform </w:t>
      </w:r>
    </w:p>
    <w:p>
      <w:pPr>
        <w:pStyle w:val="TextBody"/>
        <w:bidi w:val="0"/>
        <w:spacing w:before="0" w:after="0"/>
        <w:jc w:val="left"/>
        <w:rPr/>
      </w:pPr>
      <w:r>
        <w:rPr/>
        <w:t> </w:t>
      </w:r>
    </w:p>
    <w:p>
      <w:pPr>
        <w:pStyle w:val="TextBody"/>
        <w:bidi w:val="0"/>
        <w:spacing w:before="0" w:after="0"/>
        <w:jc w:val="center"/>
        <w:rPr/>
      </w:pPr>
      <w:r>
        <w:rPr/>
        <w:drawing>
          <wp:inline distT="0" distB="0" distL="0" distR="0">
            <wp:extent cx="5949950" cy="1343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9950" cy="1343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Spyglass is Boundless Bio’s proprietary platform that leverages ecDNA biology to identify new cancer drug targets. These targets span multiple, diverse synthetic lethal nodes in oncogene amplified cancers. In addition to the ecDTx programs described above, Boundless Bio had preclinically validated multiple additional targets and conducted ecDTx drug discovery efforts to identify candidates against certain targets. All of Boundless Bio’s ecDTx have been discovered internally, and it retains global rights for all of its programs.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Oncogene Amplified Cancers and the Role of Extrachromosomal DNA </w:t>
      </w:r>
    </w:p>
    <w:p>
      <w:pPr>
        <w:pStyle w:val="TextBody"/>
        <w:bidi w:val="0"/>
        <w:spacing w:before="120" w:after="0"/>
        <w:jc w:val="left"/>
        <w:rPr>
          <w:rFonts w:ascii="Times New Roman" w:hAnsi="Times New Roman"/>
          <w:sz w:val="20"/>
        </w:rPr>
      </w:pPr>
      <w:r>
        <w:rPr>
          <w:rFonts w:ascii="Times New Roman" w:hAnsi="Times New Roman"/>
          <w:sz w:val="20"/>
        </w:rPr>
        <w:t xml:space="preserve">Cancers with gene amplifications are characterized by the abnormal presence of more than two copies of any gene within the human genome; when more than eight copies of a gene are present, this is often referred to as high copy number gene amplification. Genes whose activating mutation or amplification are associated with cancer are referred to as oncogenes. Targeted therapies and immunotherapies have proven largely ineffective in oncogene amplified cancers. </w:t>
      </w:r>
    </w:p>
    <w:p>
      <w:pPr>
        <w:pStyle w:val="TextBody"/>
        <w:bidi w:val="0"/>
        <w:spacing w:before="240" w:after="0"/>
        <w:jc w:val="left"/>
        <w:rPr>
          <w:rFonts w:ascii="Times New Roman" w:hAnsi="Times New Roman"/>
          <w:sz w:val="20"/>
        </w:rPr>
      </w:pPr>
      <w:r>
        <w:rPr>
          <w:rFonts w:ascii="Times New Roman" w:hAnsi="Times New Roman"/>
          <w:sz w:val="20"/>
        </w:rPr>
        <w:t xml:space="preserve">Chromosomal instability and tumor variability, or heterogeneity, account for many failures of targeted therapies in patients with cancer. Oncogene amplification is a consequence of chromosomal instability, arising through either numerical and/or structural alterations in chromosomes including the formation of ecDNA. It has long been recognized that oncogenes can be amplified not only on chromosomes but also on ecDNA. ecDNA are cancer- specific, circular fragments of genomic DNA that often encode full-length genes and regulatory regions such as promoters. ecDNA are physically separate from chromosomes, but still reside in the nucleus, and have unique properties that make them a common cellular mechanism for oncogene amplification. Oncogenes amplified on ecDNA have features that distinguish them from amplifications located on chromosomes, including overexpression and heterogeneity, that uniquely enable amplification-dependent, ecDNA-enabled tumors to rapidly adapt and evade therapeutics such as targeted therapies. The rapid adaptability afforded by ecDNA-enabled genomic plasticity, including oncogene switching, helps account for the failure of targeted therapies against oncogene amplification-driven tumors, as well as amplification-driven resistance. </w:t>
      </w:r>
    </w:p>
    <w:p>
      <w:pPr>
        <w:pStyle w:val="TextBody"/>
        <w:bidi w:val="0"/>
        <w:spacing w:before="360" w:after="0"/>
        <w:jc w:val="left"/>
        <w:rPr>
          <w:rFonts w:ascii="Times New Roman" w:hAnsi="Times New Roman"/>
          <w:b/>
          <w:sz w:val="20"/>
        </w:rPr>
      </w:pPr>
      <w:r>
        <w:rPr>
          <w:rFonts w:ascii="Times New Roman" w:hAnsi="Times New Roman"/>
          <w:b/>
          <w:sz w:val="20"/>
        </w:rPr>
        <w:t>Boundless Bio’s Historical Approach to Treating ecDNA-Enabled Cancer</w:t>
      </w:r>
    </w:p>
    <w:p>
      <w:pPr>
        <w:pStyle w:val="TextBody"/>
        <w:bidi w:val="0"/>
        <w:spacing w:before="120" w:after="0"/>
        <w:jc w:val="left"/>
        <w:rPr>
          <w:rFonts w:ascii="Times New Roman" w:hAnsi="Times New Roman"/>
          <w:sz w:val="20"/>
        </w:rPr>
      </w:pPr>
      <w:r>
        <w:rPr>
          <w:rFonts w:ascii="Times New Roman" w:hAnsi="Times New Roman"/>
          <w:sz w:val="20"/>
        </w:rPr>
        <w:t xml:space="preserve">Boundless Bio explored the ecDNA lifecycle to identify nodes of synthetic lethality in cancers reliant on amplification biology. In contrast to current precision medicine approaches that focus on targeting proteins that result directly from mutations or fusions of oncogenes such as </w:t>
      </w:r>
      <w:r>
        <w:rPr>
          <w:rFonts w:ascii="Times New Roman" w:hAnsi="Times New Roman"/>
          <w:i/>
          <w:sz w:val="20"/>
        </w:rPr>
        <w:t>EGFR</w:t>
      </w:r>
      <w:r>
        <w:rPr>
          <w:rFonts w:ascii="Times New Roman" w:hAnsi="Times New Roman"/>
          <w:sz w:val="20"/>
        </w:rPr>
        <w:t xml:space="preserve">, </w:t>
      </w:r>
      <w:r>
        <w:rPr>
          <w:rFonts w:ascii="Times New Roman" w:hAnsi="Times New Roman"/>
          <w:i/>
          <w:sz w:val="20"/>
        </w:rPr>
        <w:t>BRAF</w:t>
      </w:r>
      <w:r>
        <w:rPr>
          <w:rFonts w:ascii="Times New Roman" w:hAnsi="Times New Roman"/>
          <w:sz w:val="20"/>
        </w:rPr>
        <w:t xml:space="preserve">, and </w:t>
      </w:r>
      <w:r>
        <w:rPr>
          <w:rFonts w:ascii="Times New Roman" w:hAnsi="Times New Roman"/>
          <w:i/>
          <w:sz w:val="20"/>
        </w:rPr>
        <w:t>ALK</w:t>
      </w:r>
      <w:r>
        <w:rPr>
          <w:rFonts w:ascii="Times New Roman" w:hAnsi="Times New Roman"/>
          <w:sz w:val="20"/>
        </w:rPr>
        <w:t xml:space="preserve">, Boundless Bio’s precision medicine approach centered on disrupting ecDNA functionality in the cancer cells of patients who are genomically selected based on the presence of ecDNA-enabled amplification in their tumors. Instead of targeting the specific protein products of the oncogenes encoded by ecDNA, Boundless Bio’s novel small molecule ecDTx were designed to inhibit cellular machinery proteins that enable ecDNA to function properly, such as those critical for ecDNA formation, expression, replication, repair, and segregation.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built its proprietary Spyglass platform to identify specific, druggable targets essential to ecDNA formation and function in cancer cells. To its knowledge, Spyglass is the only platform for identifying ecDNA-enabled vulnerabilities in cancer. Boundless Bio preclinically validated each drug target through its purpose-built validation funnel consisting of multiple oncogene amplified cancer models. The targets that it identified and preclinically validated represented synthetic lethalities for oncogene amplified or other chromosomally unstable tumors. </w:t>
      </w:r>
    </w:p>
    <w:p>
      <w:pPr>
        <w:pStyle w:val="TextBody"/>
        <w:bidi w:val="0"/>
        <w:spacing w:before="240" w:after="0"/>
        <w:jc w:val="left"/>
        <w:rPr>
          <w:rFonts w:ascii="Times New Roman" w:hAnsi="Times New Roman"/>
          <w:sz w:val="20"/>
        </w:rPr>
      </w:pPr>
      <w:r>
        <w:rPr>
          <w:rFonts w:ascii="Times New Roman" w:hAnsi="Times New Roman"/>
          <w:sz w:val="20"/>
        </w:rPr>
        <w:t>Spyglass consists of the following elements: a heavily curated library of oncogene amplified cancer model systems, including ecDNA-enabled models, and control models; a suite of custom-built analytical tools designed to detect, quantify, characterize, monitor, and perturb ecDNA; and large databases to understand amplification biology</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Bio’s Prior Lead ecDTx: BBI-940 Kinesin Degrader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prior lead ecDTx, BBI-940, is a novel, oral, selective kinesin degrader that was being developed for the treatment of patients with ER+/HER2- breast cancer who have progressed following treatment with a CDK4/6 inhibitor plus endocrine therapy, as well as patients with TNBC-LAR. BBI-940 targets a specific kinesin protein, referred to here as Kinesin, that functions in chromosome alignment and proper cell division. In February 2026, Boundless Bio initiated the KOMODO-1 trial, a Phase 1, open-label, multicenter, first-in-human clinical trial of BBI-940 in patients with ER+/HER2- metastatic breast cancer who have progressed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with a CDK4/6 inhibitor plus endocrine therapy, as well as in patients with metastatic TNBC-LAR. In June 2026, Boundless Bio announced that based on preliminary exposure data obtained in the early dose escalation cohorts of the KOMODO-1 clinical trial, Boundless Bio believed that the observed pharmacokinetic exposure data, indicating that human oral bioavailability of BBI-940 was significantly lower than what had been predicted based on preclinical studies, did not support continued clinical development of BBI-940.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Bio’s Other Prior Programs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had been investigating BBI-355, a novel, oral, selective inhibitor of CHK1 designed to target replication stress in oncogene amplified cancers, in a first-in-human Phase 1/2 clinical trial in patients with oncogene amplified cancers in the POTENTIATE trial. In May 2025, Boundless Bio announced that it discontinued the monotherapy arm and combination arms of BBI-355 with third-party targeted therapies in the POTENTIATE trial based on initial trial data. During 2025, it wound down those initial arms of the trial. Boundless Bio had been continuing to investigate BBI-355 in combination with BBI-825, a novel oral, selective inhibitor of RNR designed to target ecDNA assembly and repair; however, in January 2026, following a strategic portfolio review, Boundless Bio elected to cease enrollment of this last arm of the POTENTIATE trial due to market considerations, clinical data, and prioritization of its BBI-940 program and will no longer invest in the development of ECHO, which is an ecDNA diagnostic clinical trial assay used in the POTENTIATE trial. The wind down of the POTENTIATE trial is ongoing. </w:t>
      </w:r>
    </w:p>
    <w:p>
      <w:pPr>
        <w:pStyle w:val="TextBody"/>
        <w:bidi w:val="0"/>
        <w:spacing w:before="240" w:after="0"/>
        <w:jc w:val="left"/>
        <w:rPr>
          <w:rFonts w:ascii="Times New Roman" w:hAnsi="Times New Roman"/>
          <w:sz w:val="20"/>
        </w:rPr>
      </w:pPr>
      <w:r>
        <w:rPr>
          <w:rFonts w:ascii="Times New Roman" w:hAnsi="Times New Roman"/>
          <w:sz w:val="20"/>
        </w:rPr>
        <w:t xml:space="preserve">Previously, in December 2024, following an assessment of preliminary PK data, Boundless Bio made the strategic decision not to proceed with evaluation of BBI-825 in the STARMAP trial, a first-in-human, open-label, non-randomized, 3-part, Phase 1/2 clinical trial. In STARMAP, BBI-825 was being evaluated in patients with solid tumors, including those with </w:t>
      </w:r>
      <w:r>
        <w:rPr>
          <w:rFonts w:ascii="Times New Roman" w:hAnsi="Times New Roman"/>
          <w:i/>
          <w:sz w:val="20"/>
        </w:rPr>
        <w:t>BRAFV600E</w:t>
      </w:r>
      <w:r>
        <w:rPr>
          <w:rFonts w:ascii="Times New Roman" w:hAnsi="Times New Roman"/>
          <w:sz w:val="20"/>
        </w:rPr>
        <w:t xml:space="preserve"> or </w:t>
      </w:r>
      <w:r>
        <w:rPr>
          <w:rFonts w:ascii="Times New Roman" w:hAnsi="Times New Roman"/>
          <w:i/>
          <w:sz w:val="20"/>
        </w:rPr>
        <w:t>KRASG12C</w:t>
      </w:r>
      <w:r>
        <w:rPr>
          <w:rFonts w:ascii="Times New Roman" w:hAnsi="Times New Roman"/>
          <w:sz w:val="20"/>
        </w:rPr>
        <w:t xml:space="preserve">mutated colorectal cancer that developed resistance oncogene amplifications. Boundless Bio completed the winddown of the STARMAP trial in 2025. </w:t>
      </w:r>
    </w:p>
    <w:p>
      <w:pPr>
        <w:pStyle w:val="TextBody"/>
        <w:bidi w:val="0"/>
        <w:spacing w:before="360" w:after="0"/>
        <w:jc w:val="left"/>
        <w:rPr>
          <w:rFonts w:ascii="Times New Roman" w:hAnsi="Times New Roman"/>
          <w:b/>
          <w:sz w:val="20"/>
        </w:rPr>
      </w:pPr>
      <w:r>
        <w:rPr>
          <w:rFonts w:ascii="Times New Roman" w:hAnsi="Times New Roman"/>
          <w:b/>
          <w:sz w:val="20"/>
        </w:rPr>
        <w:t xml:space="preserve">Spyglass Drug Discovery Platform </w:t>
      </w:r>
    </w:p>
    <w:p>
      <w:pPr>
        <w:pStyle w:val="TextBody"/>
        <w:bidi w:val="0"/>
        <w:spacing w:before="120" w:after="0"/>
        <w:jc w:val="left"/>
        <w:rPr>
          <w:rFonts w:ascii="Times New Roman" w:hAnsi="Times New Roman"/>
          <w:sz w:val="20"/>
        </w:rPr>
      </w:pPr>
      <w:r>
        <w:rPr>
          <w:rFonts w:ascii="Times New Roman" w:hAnsi="Times New Roman"/>
          <w:sz w:val="20"/>
        </w:rPr>
        <w:t xml:space="preserve">Spyglass is Boundless Bio’s internal proprietary platform used to identify targets that exploit cellular vulnerabilities of oncogene amplified cancers. In addition to its programs described above, Boundless Bio had preclinically validated multiple additional targets and had initiated ecDTx drug discovery efforts to identify potential candidates against such targets. All of Boundless Bio’s ecDTx have been discovered internally, and it retains global rights for all of its programs. </w:t>
      </w:r>
    </w:p>
    <w:p>
      <w:pPr>
        <w:pStyle w:val="TextBody"/>
        <w:bidi w:val="0"/>
        <w:spacing w:before="360" w:after="0"/>
        <w:jc w:val="left"/>
        <w:rPr>
          <w:rFonts w:ascii="Times New Roman" w:hAnsi="Times New Roman"/>
          <w:b/>
          <w:sz w:val="20"/>
        </w:rPr>
      </w:pPr>
      <w:r>
        <w:rPr>
          <w:rFonts w:ascii="Times New Roman" w:hAnsi="Times New Roman"/>
          <w:b/>
          <w:sz w:val="20"/>
        </w:rPr>
        <w:t>Competition</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rapid evolution of technologies and understanding of disease etiology, intense development and commercial competition, and a strong emphasis on intellectual property. If Boundless Bio decides to develop any current or future ecDTx, it expects competition from multiple sources, including major biopharmaceutical, specialty pharmaceutical, and existing or emerging biotechnology companies, academic research institutions, governmental agencies, and public and private research institutions worldwide. Many of its competitors, either alone or through collaborations, have or will have significantly greater financial resources and expertise in research and development, manufacturing, preclinical testing, conducting clinical trials, obtaining regulatory approvals, and marketing approved products than Boundless Bio does. Smaller or early-stage companies may also prove to be significant competitors, particularly through collaborative arrangements with large and established companies. These companies may be or may become interested in developing ecDNA-directed therapeutic candidates and may rapidly develop programs that compete with those of Boundless Bio by studying ecDNA at scale in the context of oncogene amplified cancer. Even if they do not advance programs with the same mechanism(s) of action as that of Boundless Bio, these companies could develop products or product candidates that are competitive with Boundless Bio’s or that have a superior product profile and may do so at a rapid pace. In connection with any such development, Boundless Bio faces competition from segments of the pharmaceutical, biotechnology, and other related markets that pursue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precision oncology therapies for patients with genetically defined cancers. In addition, Boundless Bio may face competition from companies developing product candidates that are based on synthetic lethality in cancer.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such development is pursued, Boundless Bio also faces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antibody-drug conjugates, radiopharmaceuticals, immunotherapy, cell-based therapy, and targeted therapy, or a combination of any such methods. There are a variety of available drug therapies marketed for cancer. In addition, many companies are developing new oncology therapeutics, and Boundless Bio cannot predict what the standard of care will be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As of July 15, 2026, Boundless Bio’s intellectual property portfolio included 21 patent families solely owned by it, which include 5 pending U.S. provisional applications, 16 pending U.S. non-provisional patent applications, 5 issued U.S. patents, pending applications in China, Europe, Hong Kong, Japan, and Taiwan, as well as 3 pending applications filed pursuant to the Patent Cooperation Treaty (“PCT”). Boundless Bio cannot be sure that patents will be granted with respect to any of its pending patent applications if it were to decide to continue pursuing any of them, or with respect to any patent applications it may own or license in the future, nor can it be sure that any patents it may own or license in the future would be useful in protecting its technology. Please see “</w:t>
      </w:r>
      <w:r>
        <w:rPr>
          <w:rFonts w:ascii="Times New Roman" w:hAnsi="Times New Roman"/>
          <w:i/>
          <w:sz w:val="20"/>
        </w:rPr>
        <w:t>Risk Factors — Risks Related to Boundless Bio’s Intellectual Property</w:t>
      </w:r>
      <w:r>
        <w:rPr>
          <w:rFonts w:ascii="Times New Roman" w:hAnsi="Times New Roman"/>
          <w:sz w:val="20"/>
        </w:rPr>
        <w:t xml:space="preserve">” for additional information on the risks associated with Boundless Bio’s intellectual property strategy and portfolio. </w:t>
      </w:r>
    </w:p>
    <w:p>
      <w:pPr>
        <w:pStyle w:val="TextBody"/>
        <w:bidi w:val="0"/>
        <w:spacing w:before="360" w:after="0"/>
        <w:jc w:val="left"/>
        <w:rPr>
          <w:rFonts w:ascii="Times New Roman" w:hAnsi="Times New Roman"/>
          <w:b/>
          <w:i/>
          <w:sz w:val="20"/>
        </w:rPr>
      </w:pPr>
      <w:r>
        <w:rPr>
          <w:rFonts w:ascii="Times New Roman" w:hAnsi="Times New Roman"/>
          <w:b/>
          <w:i/>
          <w:sz w:val="20"/>
        </w:rPr>
        <w:t>Intellectual Property Relating to Kinesin Program</w:t>
      </w:r>
    </w:p>
    <w:p>
      <w:pPr>
        <w:pStyle w:val="TextBody"/>
        <w:bidi w:val="0"/>
        <w:spacing w:before="120" w:after="0"/>
        <w:jc w:val="left"/>
        <w:rPr>
          <w:rFonts w:ascii="Times New Roman" w:hAnsi="Times New Roman"/>
          <w:sz w:val="20"/>
        </w:rPr>
      </w:pPr>
      <w:r>
        <w:rPr>
          <w:rFonts w:ascii="Times New Roman" w:hAnsi="Times New Roman"/>
          <w:sz w:val="20"/>
        </w:rPr>
        <w:t xml:space="preserve">With regard to Boundless Bio’s prior Kinesin program, including BBI-940, as of July 15, 2026, it owned 4 patent families, including 4 pending U.S. provisional applications, 1 pending U.S. non-provisional patent application, 2 pending applications in Taiwan, as well as 2 pending applications filed pursuant to the PCT. These patent rights relate to compositions of matter, as well as methods of treating diseases using Kinesin inhibitors and degraders. Boundless Bio expects these patents and patents issued from these applications, if any and if Boundless Bio decides to pursue them, to expire in 2042-2047 without accounting for any patent term adjustment or extension that may be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With regard to Boundless Bio’s prior CHK1 program, including BBI-355, as of July 15, 2026, it owned 9 patent families, for which it had been pursuing 1 pending U.S. provisional application, 7 pending U.S. non-provisional patent applications, 4 issued U.S. patents, pending applications in China, Europe, Hong Kong, and Japan, as well as 1 pending application filed pursuant to the PCT. These patent rights relate to compositions of matter, as well as methods of treating diseases using CHK1 inhibitors. Boundless Bio expects these patents and patents issued from these applications, if any, to expire in 2041-2046 without accounting for any patent term adjustment or extension that may be available.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Boundless Bio’s prior RNR program, including BBI-825, as of July 15, 2026, it owned 7 families (2 of which also cover its CHK1 program), for which it is currently pursuing 1 pending U.S. provisional application, 5 pending U.S. non-provisional patent applications, 1 issued U.S. patent, pending applications in China, Europe, Hong Kong, and Japan, as well as 1 pending application filed pursuant to the PCT. These patent rights relate to the compositions of matter, as well as methods of treating diseases using RNR inhibitors. Boundless Bio expects patents issued from these applications, if any and if Boundless Bio decides to pursue them, to expire in 2041-2046 without accounting for any patent term adjustment or extension that may be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regard to Boundless Bio’s precision medicine approach, it developed a proprietary diagnostic to detect ecDNA based on the data outputs from NGS tests routinely used to profile patient tumor samples. As of July 15, 2026, it owned 1 patent family related to methods of detecting ecDNA signatures in cancers for which it had been pursuing 1 pending U.S. non-provisional patent application. Boundless Bio expects patents issued from this application, if any and if Boundless Bio decides to pursue it, to expire in 2044 without accounting for any patent term adjustment or extension that may be available. Boundless Bio also protects the intellectual property related to ecDNA detection as a trade secret. </w:t>
      </w:r>
    </w:p>
    <w:p>
      <w:pPr>
        <w:pStyle w:val="TextBody"/>
        <w:bidi w:val="0"/>
        <w:spacing w:before="360" w:after="0"/>
        <w:jc w:val="left"/>
        <w:rPr>
          <w:rFonts w:ascii="Times New Roman" w:hAnsi="Times New Roman"/>
          <w:b/>
          <w:i/>
          <w:sz w:val="20"/>
        </w:rPr>
      </w:pPr>
      <w:r>
        <w:rPr>
          <w:rFonts w:ascii="Times New Roman" w:hAnsi="Times New Roman"/>
          <w:b/>
          <w:i/>
          <w:sz w:val="20"/>
        </w:rPr>
        <w:t>Duration of Intellectual Property Protection</w:t>
      </w:r>
    </w:p>
    <w:p>
      <w:pPr>
        <w:pStyle w:val="TextBody"/>
        <w:bidi w:val="0"/>
        <w:spacing w:before="120" w:after="0"/>
        <w:jc w:val="left"/>
        <w:rPr>
          <w:rFonts w:ascii="Times New Roman" w:hAnsi="Times New Roman"/>
          <w:sz w:val="20"/>
        </w:rPr>
      </w:pPr>
      <w:r>
        <w:rPr>
          <w:rFonts w:ascii="Times New Roman" w:hAnsi="Times New Roman"/>
          <w:sz w:val="20"/>
        </w:rPr>
        <w:t xml:space="preserve">The term of individual patents depends upon the laws of the countries in which they are obtained. In most countries in which Boundless Bio has filed, the patent term is 20 years from the earliest date of filing of a non-provisional patent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Under certain circumstances, the term of U.S. patents may be adjusted for delays encountered during prosecution that are caused by the USPTO. Additionally, the term of a patent as it specifically relates to an FDA regulated product may be extended. For example, for drugs that are regulated by the FDA under the Hatch-Waxman Act, the FDA is permitted to extend the exclusivity term that covers such drug for up to five years beyond the normal expiration date of the patent, depending on the timing of the issuance of the patent, the IND filing, the NDA filing and the approval date, and provided that the term of the patent does not extend beyond 14 years from the NDA approval date.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own or operate, and currently has no plans to establish, any manufacturing facilities. Boundless Bio has relied, and expects to continue to rely, on third parties for the manufacture of any ecDTx for any future preclinical and clinical testing, as well as for commercial manufacture if it develops any ecDTx and any of such ecDTx were to obtain marketing approval. </w:t>
      </w:r>
    </w:p>
    <w:p>
      <w:pPr>
        <w:pStyle w:val="TextBody"/>
        <w:bidi w:val="0"/>
        <w:spacing w:before="360" w:after="0"/>
        <w:jc w:val="left"/>
        <w:rPr>
          <w:rFonts w:ascii="Times New Roman" w:hAnsi="Times New Roman"/>
          <w:b/>
          <w:sz w:val="20"/>
        </w:rPr>
      </w:pPr>
      <w:r>
        <w:rPr>
          <w:rFonts w:ascii="Times New Roman" w:hAnsi="Times New Roman"/>
          <w:b/>
          <w:sz w:val="20"/>
        </w:rPr>
        <w:t>Government Regulation</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other countries extensively regulate, among other things, the research, development, testing, manufacture, quality control, import, export, safety, effectiveness, approval, labeling, packaging, storage, record-keeping, promotion, advertising, distribution, marketing and post-approval activities of drug and biological product candidates, such as those Boundless Bio is developing. </w:t>
      </w:r>
    </w:p>
    <w:p>
      <w:pPr>
        <w:pStyle w:val="TextBody"/>
        <w:bidi w:val="0"/>
        <w:spacing w:before="360" w:after="0"/>
        <w:jc w:val="left"/>
        <w:rPr>
          <w:rFonts w:ascii="Times New Roman" w:hAnsi="Times New Roman"/>
          <w:b/>
          <w:i/>
          <w:sz w:val="20"/>
        </w:rPr>
      </w:pPr>
      <w:r>
        <w:rPr>
          <w:rFonts w:ascii="Times New Roman" w:hAnsi="Times New Roman"/>
          <w:b/>
          <w:i/>
          <w:sz w:val="20"/>
        </w:rPr>
        <w:t>U.S. Drug Development Process</w:t>
      </w:r>
    </w:p>
    <w:p>
      <w:pPr>
        <w:pStyle w:val="TextBody"/>
        <w:bidi w:val="0"/>
        <w:spacing w:before="120" w:after="0"/>
        <w:jc w:val="left"/>
        <w:rPr>
          <w:rFonts w:ascii="Times New Roman" w:hAnsi="Times New Roman"/>
          <w:sz w:val="20"/>
        </w:rPr>
      </w:pPr>
      <w:r>
        <w:rPr>
          <w:rFonts w:ascii="Times New Roman" w:hAnsi="Times New Roman"/>
          <w:sz w:val="20"/>
        </w:rPr>
        <w:t>In the United States, the FDA regulates drugs under the Federal Food, Drug, and Cosmetic Act (“FDCA”) and its implementing regulations. Drugs are also subject to other federal, state, and local statutes and regulations. The process of obtaining regulatory approvals and the subsequent compliance with appropriate federal, state, and local statutes and regulations require the expenditure of substantial time and financial resources. The process required by the FDA before a new drug may be marketed in the United States generally involves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or preclinical laboratory tests, animal studies, and formulation studies, with certain studies conducted in accordance with Good Laboratory Practice (“GLP”) regulations, and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regulations (“GCPs”) to evaluate the safety and efficacy of the product candidate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NDA after completion of all pivotal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an NDA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to permit commercial marketing of the product for particular indications for use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a product candidate is identified for development, it enters the preclinical testing stage. Preclinical tests include laboratory evaluations of product chemistry, toxicity, and formulation, as well as animal studies. An IND sponsor must submit, among other things,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in such case, the trials may not begin or continue until the FDA notifies the sponsor that the hold has been lifted. FDA may also place a trial on a partial clinical hold. A partial clinical hold is a delay or suspension of only part of the clinical work requested or ongoing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begin or resume after the FDA has notified the sponsor that the investigation may proceed. </w:t>
      </w:r>
    </w:p>
    <w:p>
      <w:pPr>
        <w:pStyle w:val="TextBody"/>
        <w:bidi w:val="0"/>
        <w:spacing w:before="240" w:after="0"/>
        <w:jc w:val="left"/>
        <w:rPr>
          <w:rFonts w:ascii="Times New Roman" w:hAnsi="Times New Roman"/>
          <w:sz w:val="20"/>
        </w:rPr>
      </w:pPr>
      <w:r>
        <w:rPr>
          <w:rFonts w:ascii="Times New Roman" w:hAnsi="Times New Roman"/>
          <w:sz w:val="20"/>
        </w:rPr>
        <w:t xml:space="preserve">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among other things,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hAnsi="Times New Roman"/>
          <w:i/>
          <w:sz w:val="20"/>
        </w:rPr>
        <w:t>in vitro</w:t>
      </w:r>
      <w:r>
        <w:rPr>
          <w:rFonts w:ascii="Times New Roman" w:hAnsi="Times New Roman"/>
          <w:sz w:val="20"/>
        </w:rPr>
        <w:t xml:space="preserve"> testing suggesting a significant risk to humans, and any clinically important increased incidence of a serious suspected adverse reaction compared to that listed in the protocol or investigator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brochure. The sponsor must report to the FDA any suspected adverse reaction that is both serious and unexpected within fifteen days after the sponsor’s initial receipt of the information. The sponsor must also report to the FDA any unexpected fatal or life-threatening suspected adverse reaction within seven calendar days after the sponsor’s initial receipt of the information. </w:t>
      </w:r>
    </w:p>
    <w:p>
      <w:pPr>
        <w:pStyle w:val="TextBody"/>
        <w:bidi w:val="0"/>
        <w:spacing w:before="240" w:after="0"/>
        <w:jc w:val="left"/>
        <w:rPr>
          <w:rFonts w:ascii="Times New Roman" w:hAnsi="Times New Roman"/>
          <w:sz w:val="20"/>
        </w:rPr>
      </w:pPr>
      <w:r>
        <w:rPr>
          <w:rFonts w:ascii="Times New Roman" w:hAnsi="Times New Roman"/>
          <w:sz w:val="20"/>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registration of certain clinical trials and reporting of ongoing clinical studies and clinical trial results to public registries, including clinicaltrials.gov.</w:t>
      </w:r>
    </w:p>
    <w:p>
      <w:pPr>
        <w:pStyle w:val="TextBody"/>
        <w:bidi w:val="0"/>
        <w:spacing w:before="240" w:after="0"/>
        <w:jc w:val="left"/>
        <w:rPr>
          <w:rFonts w:ascii="Times New Roman" w:hAnsi="Times New Roman"/>
          <w:sz w:val="20"/>
        </w:rPr>
      </w:pPr>
      <w:r>
        <w:rPr>
          <w:rFonts w:ascii="Times New Roman" w:hAnsi="Times New Roman"/>
          <w:sz w:val="20"/>
        </w:rPr>
        <w:t>Human clinical trials are typically conducted in three sequential phases that may overlap or be combined:</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 identify any adverse effects, and determine maximal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3: The product candidate is administered to an expanded patient population to further evaluate dosage, to provide substantial evidence of efficacy, purity, and potency, and to further test for safety, generally at multiple geographically dispersed clinical trial sites. These clinical trials are intended to establish the overall risk-benefit ratio of the product candidate and provide an adequate basis for product labeling.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February 2026, via an editorial published in the </w:t>
      </w:r>
      <w:r>
        <w:rPr>
          <w:rFonts w:ascii="Times New Roman" w:hAnsi="Times New Roman"/>
          <w:i/>
          <w:sz w:val="20"/>
        </w:rPr>
        <w:t>New England Journal of Medicine</w:t>
      </w:r>
      <w:r>
        <w:rPr>
          <w:rFonts w:ascii="Times New Roman" w:hAnsi="Times New Roman"/>
          <w:sz w:val="20"/>
        </w:rPr>
        <w:t>, the FDA Commissioner and the director of the FDA’s Center for Biologics Evaluation and Research announced a policy shift whereby, going forward, the FDA’s default position will be “a one-trial requirement,” meaning that one adequate and well-controlled study, combined with confirmatory evidence, will serve as the basis of marketing authorization of novel product candidates. Confirmatory evidence can include mechanistic science, data from a related indication, animal models, information from other drugs of the same class, real-world evidence, or a second adequate and well-controlled study. The announcement represents a major shift from the FDA’s historical default requirement of two pivotal clinical trials. However, as indicated by FDA representatives during informal interviews and other media appearances, if FDA shifts to only requiring a single trial, it may heighten the standard for these trials in terms of quality. For example, the FDA indicated it will carefully examine all aspects of study design with particular focus on controls, end points, effect size, and statistical protocols. The FDA may still require additional adequate and well-controlled studies if a product candidate has a nebulous, pluripotent, or nonspecific mechanism of action; if it affects a labile, short-term, or surrogate outcome; or if a trial has some underlying limitation or deficiency. The editorial also referenced a new postmarket initiative being rolled out synchronously to collect robust data on all drugs and devices. The FDA has not published formal guidance regarding the new one-trial default option or postmarket surveillance initiative.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Post-approval trials, sometimes referred to as Phase 4 studies, may be conducted after initial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240" w:after="0"/>
        <w:jc w:val="left"/>
        <w:rPr>
          <w:rFonts w:ascii="Times New Roman" w:hAnsi="Times New Roman"/>
          <w:sz w:val="20"/>
        </w:rPr>
      </w:pPr>
      <w:r>
        <w:rPr>
          <w:rFonts w:ascii="Times New Roman" w:hAnsi="Times New Roman"/>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bidi w:val="0"/>
        <w:spacing w:before="360" w:after="0"/>
        <w:jc w:val="left"/>
        <w:rPr>
          <w:rFonts w:ascii="Times New Roman" w:hAnsi="Times New Roman"/>
          <w:b/>
          <w:i/>
          <w:sz w:val="20"/>
        </w:rPr>
      </w:pPr>
      <w:r>
        <w:rPr>
          <w:rFonts w:ascii="Times New Roman" w:hAnsi="Times New Roman"/>
          <w:b/>
          <w:i/>
          <w:sz w:val="20"/>
        </w:rPr>
        <w:t xml:space="preserve">U.S. Review and Approval Process </w:t>
      </w:r>
    </w:p>
    <w:p>
      <w:pPr>
        <w:pStyle w:val="TextBody"/>
        <w:bidi w:val="0"/>
        <w:spacing w:before="120" w:after="0"/>
        <w:jc w:val="left"/>
        <w:rPr>
          <w:rFonts w:ascii="Times New Roman" w:hAnsi="Times New Roman"/>
          <w:sz w:val="20"/>
        </w:rPr>
      </w:pPr>
      <w:r>
        <w:rPr>
          <w:rFonts w:ascii="Times New Roman" w:hAnsi="Times New Roman"/>
          <w:sz w:val="20"/>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pStyle w:val="TextBody"/>
        <w:bidi w:val="0"/>
        <w:spacing w:before="240" w:after="0"/>
        <w:jc w:val="left"/>
        <w:rPr>
          <w:rFonts w:ascii="Times New Roman" w:hAnsi="Times New Roman"/>
          <w:sz w:val="20"/>
        </w:rPr>
      </w:pPr>
      <w:r>
        <w:rPr>
          <w:rFonts w:ascii="Times New Roman" w:hAnsi="Times New Roman"/>
          <w:sz w:val="20"/>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or safety, purity, and potency of the product for the claimed indications in all relevant pediatric subpopulations and support dosing and administration for each pediatric subpopulation for which the product is deemed safe and effective, or safe, pure, and potent. The sponsor may request or the FDA may grant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before="240" w:after="0"/>
        <w:jc w:val="left"/>
        <w:rPr>
          <w:rFonts w:ascii="Times New Roman" w:hAnsi="Times New Roman"/>
          <w:sz w:val="20"/>
        </w:rPr>
      </w:pPr>
      <w:r>
        <w:rPr>
          <w:rFonts w:ascii="Times New Roman" w:hAnsi="Times New Roman"/>
          <w:sz w:val="20"/>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an NDA for a new molecular entity to complete a standard review and act on the submission. This review typically takes twelve months from the date the NDA is submitted to FDA because the FDA has approximately two months to make a “filing” decision after the application is submitted.</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an application for a novel drug to an advisory committee. An advisory committee is a panel of independent experts, including clinicians and other scientific experts, that reviews, evaluates, and provides recommendations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approving an NDA, the FDA will typically inspect the facility or facilities where the product is manufactured to assure compliance with cGMPs. Additionally, before approving an NDA, the FDA may inspect one or more clinical trial sites to assure compliance with GCPs. After the FDA evaluates an NDA and conducts any required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for the application is complete, and the application will not be approved in its present form.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resubmitted NDA does not satisfy the criteria for approval. </w:t>
      </w:r>
    </w:p>
    <w:p>
      <w:pPr>
        <w:pStyle w:val="TextBody"/>
        <w:bidi w:val="0"/>
        <w:spacing w:before="240" w:after="0"/>
        <w:jc w:val="left"/>
        <w:rPr>
          <w:rFonts w:ascii="Times New Roman" w:hAnsi="Times New Roman"/>
          <w:sz w:val="20"/>
        </w:rPr>
      </w:pPr>
      <w:r>
        <w:rPr>
          <w:rFonts w:ascii="Times New Roman" w:hAnsi="Times New Roman"/>
          <w:sz w:val="20"/>
        </w:rPr>
        <w:t>If a product receives regulatory approval, the approval may be significantly limited to specific diseases and dosages or the indications for use may otherwise be limited, which could restrict the commercial value of the product. In addition, the FDA may require that contraindications, warnings or precautions be included in the product’s labeling; require that post-approval studies be conducted to further assess the drug’s safety or effectiveness; require testing and surveillance programs to monitor the safety of the commercialized product; or impose other conditions, including distribution restrictions or other risk management mechanisms, including a risk evaluation and mitigation strategy (REMS) to assure safe use of the product. If the FDA concludes a REMS is needed, the sponsor of the NDA must submit a proposed REMS, which could include medication guides, physician communication plans, or elements to assure safe use, such as restricted distribution methods, patient registries, and other risk minimization tools. The FDA will not approve the NDA without an approved REMS, if required. Any of these limitations on approval or marketing could restrict the commercial promotion, distribution, prescription or dispensing of products.</w:t>
      </w:r>
    </w:p>
    <w:p>
      <w:pPr>
        <w:pStyle w:val="TextBody"/>
        <w:bidi w:val="0"/>
        <w:spacing w:before="360" w:after="0"/>
        <w:jc w:val="left"/>
        <w:rPr>
          <w:rFonts w:ascii="Times New Roman" w:hAnsi="Times New Roman"/>
          <w:b/>
          <w:i/>
          <w:sz w:val="20"/>
        </w:rPr>
      </w:pPr>
      <w:r>
        <w:rPr>
          <w:rFonts w:ascii="Times New Roman" w:hAnsi="Times New Roman"/>
          <w:b/>
          <w:i/>
          <w:sz w:val="20"/>
        </w:rPr>
        <w:t>Orphan Drug Designation</w:t>
      </w:r>
    </w:p>
    <w:p>
      <w:pPr>
        <w:pStyle w:val="TextBody"/>
        <w:bidi w:val="0"/>
        <w:spacing w:before="120" w:after="0"/>
        <w:jc w:val="left"/>
        <w:rPr>
          <w:rFonts w:ascii="Times New Roman" w:hAnsi="Times New Roman"/>
          <w:sz w:val="20"/>
        </w:rPr>
      </w:pPr>
      <w:r>
        <w:rPr>
          <w:rFonts w:ascii="Times New Roman" w:hAnsi="Times New Roman"/>
          <w:sz w:val="20"/>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February 2026, Congress passed the 2026 Consolidated Appropriations Act, which included the 2026 appropriations legislation for the Department of Health and Human Services (“HHS”). The HHS appropriations bill included a package of FDA reform legislation better known as the Mikaela Naylon Give Kids a Chance Act. The bill reauthorized the Rare Pediatric Disease Priority Review Voucher program, created new pediatric testing obligations for sponsors of certain molecularly targeted combination oncology products, changed a legal definition impacting how the agency grants orphan drug exclusivity, imposed new requirements on companies to complete pediatric study requirements, and required the FDA to open a new foreign office in a country that signed the Abraham Accords. Additionally, as part of the 2026 Consolidated Appropriations Act, Congress enacted provisions revising how patent exclusivity is applied to orphan-designated drugs. This provision modifies the standard for orphan drug patent protection so that it applies to the same approved use or indication within a rare disease or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240" w:after="0"/>
        <w:jc w:val="left"/>
        <w:rPr>
          <w:rFonts w:ascii="Times New Roman" w:hAnsi="Times New Roman"/>
          <w:sz w:val="20"/>
        </w:rPr>
      </w:pPr>
      <w:r>
        <w:rPr>
          <w:rFonts w:ascii="Times New Roman" w:hAnsi="Times New Roman"/>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0"/>
        <w:jc w:val="left"/>
        <w:rPr>
          <w:rFonts w:ascii="Times New Roman" w:hAnsi="Times New Roman"/>
          <w:sz w:val="20"/>
        </w:rPr>
      </w:pPr>
      <w:r>
        <w:rPr>
          <w:rFonts w:ascii="Times New Roman" w:hAnsi="Times New Roman"/>
          <w:sz w:val="20"/>
        </w:rPr>
        <w:t xml:space="preserve">An NDA may also be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In June 2025, the FDA launched the Commissioner’s National Priority Voucher (“CNPV”) pilot program, offering drug manufacturers an expedited 30 to 60-day review by proposing plans to advance five stated priorities, which include addressing public health crises, delivering innovative cures, meeting unmet medical needs, strengthening supply chains through onshore drug manufacturing, and increasing affordability. The FDA cites examples that include developing novel medicines for obesity, PTSD, other chronic diseases, or creating universal flu vaccines. Proposals may also include domestic manufacturing expansions and commitments for the firm to implement “most favored nation” pricing models on some of their drugs. Proposals are not required to address all five priority areas, but more comprehensive plans are likely to be favored in the selection process. </w:t>
      </w:r>
    </w:p>
    <w:p>
      <w:pPr>
        <w:pStyle w:val="TextBody"/>
        <w:bidi w:val="0"/>
        <w:spacing w:before="240" w:after="0"/>
        <w:jc w:val="left"/>
        <w:rPr>
          <w:rFonts w:ascii="Times New Roman" w:hAnsi="Times New Roman"/>
          <w:sz w:val="20"/>
        </w:rPr>
      </w:pPr>
      <w:r>
        <w:rPr>
          <w:rFonts w:ascii="Times New Roman" w:hAnsi="Times New Roman"/>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Post-Approval Requirements</w:t>
      </w:r>
    </w:p>
    <w:p>
      <w:pPr>
        <w:pStyle w:val="TextBody"/>
        <w:bidi w:val="0"/>
        <w:spacing w:before="120" w:after="0"/>
        <w:jc w:val="left"/>
        <w:rPr>
          <w:rFonts w:ascii="Times New Roman" w:hAnsi="Times New Roman"/>
          <w:sz w:val="20"/>
        </w:rPr>
      </w:pPr>
      <w:r>
        <w:rPr>
          <w:rFonts w:ascii="Times New Roman" w:hAnsi="Times New Roman"/>
          <w:sz w:val="20"/>
        </w:rPr>
        <w:t xml:space="preserve">Any drug manufactured or distributed pursuant to FDA approvals is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additional labeling claims, are subject to further FDA review and approval. There also are continuing, annual program fees for any marketed products. As noted above, in February 2026, the FDA announced a new postmarket data-collection initiative applicable to all drugs and devices, but the FDA has not yet published guidance specific to this new program. </w:t>
      </w:r>
    </w:p>
    <w:p>
      <w:pPr>
        <w:pStyle w:val="TextBody"/>
        <w:bidi w:val="0"/>
        <w:spacing w:before="240" w:after="0"/>
        <w:jc w:val="left"/>
        <w:rPr>
          <w:rFonts w:ascii="Times New Roman" w:hAnsi="Times New Roman"/>
          <w:sz w:val="20"/>
        </w:rPr>
      </w:pPr>
      <w:r>
        <w:rPr>
          <w:rFonts w:ascii="Times New Roman" w:hAnsi="Times New Roman"/>
          <w:sz w:val="20"/>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which impose certain procedural and documentation requirements upon NDA holders and their third-party manufacturers.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pStyle w:val="TextBody"/>
        <w:bidi w:val="0"/>
        <w:spacing w:before="240" w:after="0"/>
        <w:jc w:val="left"/>
        <w:rPr>
          <w:rFonts w:ascii="Times New Roman" w:hAnsi="Times New Roman"/>
          <w:sz w:val="20"/>
        </w:rPr>
      </w:pPr>
      <w:r>
        <w:rPr>
          <w:rFonts w:ascii="Times New Roman" w:hAnsi="Times New Roman"/>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holds on ongoing or planned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approvals;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FDA closely regulates the marketing, labeling, advertising, and promotion of drug products. A sponsor can only make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legally-available products for uses that are not described in the product’s labeling and that differ from those tested by Boundless Bio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240" w:after="0"/>
        <w:jc w:val="left"/>
        <w:rPr>
          <w:rFonts w:ascii="Times New Roman" w:hAnsi="Times New Roman"/>
          <w:sz w:val="20"/>
        </w:rPr>
      </w:pPr>
      <w:r>
        <w:rPr>
          <w:rFonts w:ascii="Times New Roman" w:hAnsi="Times New Roman"/>
          <w:sz w:val="20"/>
        </w:rPr>
        <w:t xml:space="preserve">Increased scrutiny over direct-to-consumer (DTC) drug advertising has been a priority of the current administration. In September 2025, the FDA announced a crackdown on deceptive drug advertising, sending thousands of letters warning pharmaceutical companies to remove misleading ads, and issuing many enforcement letters to companies with deceptive 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Exclusivity </w:t>
      </w:r>
    </w:p>
    <w:p>
      <w:pPr>
        <w:pStyle w:val="TextBody"/>
        <w:bidi w:val="0"/>
        <w:spacing w:before="120" w:after="0"/>
        <w:jc w:val="left"/>
        <w:rPr>
          <w:rFonts w:ascii="Times New Roman" w:hAnsi="Times New Roman"/>
          <w:sz w:val="20"/>
        </w:rPr>
      </w:pPr>
      <w:r>
        <w:rPr>
          <w:rFonts w:ascii="Times New Roman" w:hAnsi="Times New Roman"/>
          <w:sz w:val="20"/>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240" w:after="0"/>
        <w:jc w:val="left"/>
        <w:rPr>
          <w:rFonts w:ascii="Times New Roman" w:hAnsi="Times New Roman"/>
          <w:sz w:val="20"/>
        </w:rPr>
      </w:pPr>
      <w:r>
        <w:rPr>
          <w:rFonts w:ascii="Times New Roman" w:hAnsi="Times New Roman"/>
          <w:sz w:val="20"/>
        </w:rPr>
        <w:t xml:space="preserve">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based on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Pediatric exclusivity is another type of marketing exclusivity available in the United States. Pediatric exclusivity provides for an additional six months of marketing exclusivity attached to an existing period of regulatory exclusivity or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pStyle w:val="TextBody"/>
        <w:bidi w:val="0"/>
        <w:spacing w:before="360" w:after="0"/>
        <w:jc w:val="left"/>
        <w:rPr>
          <w:rFonts w:ascii="Times New Roman" w:hAnsi="Times New Roman"/>
          <w:b/>
          <w:i/>
          <w:sz w:val="20"/>
        </w:rPr>
      </w:pPr>
      <w:r>
        <w:rPr>
          <w:rFonts w:ascii="Times New Roman" w:hAnsi="Times New Roman"/>
          <w:b/>
          <w:i/>
          <w:sz w:val="20"/>
        </w:rPr>
        <w:t>FDA Regulation of Companion Diagnostics</w:t>
      </w:r>
    </w:p>
    <w:p>
      <w:pPr>
        <w:pStyle w:val="TextBody"/>
        <w:bidi w:val="0"/>
        <w:spacing w:before="120" w:after="0"/>
        <w:jc w:val="left"/>
        <w:rPr>
          <w:rFonts w:ascii="Times New Roman" w:hAnsi="Times New Roman"/>
          <w:sz w:val="20"/>
        </w:rPr>
      </w:pPr>
      <w:r>
        <w:rPr>
          <w:rFonts w:ascii="Times New Roman" w:hAnsi="Times New Roman"/>
          <w:sz w:val="20"/>
        </w:rPr>
        <w:t xml:space="preserve">Boundless Bio believes that certain of its ecDTx may require an </w:t>
      </w:r>
      <w:r>
        <w:rPr>
          <w:rFonts w:ascii="Times New Roman" w:hAnsi="Times New Roman"/>
          <w:i/>
          <w:sz w:val="20"/>
        </w:rPr>
        <w:t>in vitro</w:t>
      </w:r>
      <w:r>
        <w:rPr>
          <w:rFonts w:ascii="Times New Roman" w:hAnsi="Times New Roman"/>
          <w:sz w:val="20"/>
        </w:rPr>
        <w:t xml:space="preserve"> diagnostic to identify appropriate patient populations for investigation and/or use of Boundless Bio’s ecDTx.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such as those Boundless Bio is developing, utilize the PMA pathway.</w:t>
      </w:r>
    </w:p>
    <w:p>
      <w:pPr>
        <w:pStyle w:val="TextBody"/>
        <w:bidi w:val="0"/>
        <w:spacing w:before="240" w:after="0"/>
        <w:jc w:val="left"/>
        <w:rPr>
          <w:rFonts w:ascii="Times New Roman" w:hAnsi="Times New Roman"/>
          <w:sz w:val="20"/>
        </w:rPr>
      </w:pPr>
      <w:r>
        <w:rPr>
          <w:rFonts w:ascii="Times New Roman" w:hAnsi="Times New Roman"/>
          <w:sz w:val="20"/>
        </w:rPr>
        <w:t>If use of a companion diagnostic is deemed essential to the safe and effective use of a drug product, then the FDA generally will require approval or clearance of the diagnostic contemporaneously with the approval of the therapeutic product. In August 2014, the FDA issued a final guidance document addressing the development and approval process for “</w:t>
      </w:r>
      <w:r>
        <w:rPr>
          <w:rFonts w:ascii="Times New Roman" w:hAnsi="Times New Roman"/>
          <w:i/>
          <w:sz w:val="20"/>
        </w:rPr>
        <w:t>In Vitro</w:t>
      </w:r>
      <w:r>
        <w:rPr>
          <w:rFonts w:ascii="Times New Roman" w:hAnsi="Times New Roman"/>
          <w:sz w:val="20"/>
        </w:rPr>
        <w:t xml:space="preserve">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 details of the study plan and degree of risk posed to subjects, a sponsor may seek to submit an IND alone, or both an IND and an IDE. </w:t>
      </w:r>
    </w:p>
    <w:p>
      <w:pPr>
        <w:pStyle w:val="TextBody"/>
        <w:bidi w:val="0"/>
        <w:spacing w:before="240" w:after="0"/>
        <w:jc w:val="left"/>
        <w:rPr>
          <w:rFonts w:ascii="Times New Roman" w:hAnsi="Times New Roman"/>
          <w:sz w:val="20"/>
        </w:rPr>
      </w:pPr>
      <w:r>
        <w:rPr>
          <w:rFonts w:ascii="Times New Roman" w:hAnsi="Times New Roman"/>
          <w:sz w:val="20"/>
        </w:rPr>
        <w:t xml:space="preserve">In April 2020, the FDA released a guidance titled “Developing and Labeling </w:t>
      </w:r>
      <w:r>
        <w:rPr>
          <w:rFonts w:ascii="Times New Roman" w:hAnsi="Times New Roman"/>
          <w:i/>
          <w:sz w:val="20"/>
        </w:rPr>
        <w:t>In vitro</w:t>
      </w:r>
      <w:r>
        <w:rPr>
          <w:rFonts w:ascii="Times New Roman" w:hAnsi="Times New Roman"/>
          <w:sz w:val="20"/>
        </w:rPr>
        <w:t xml:space="preserve"> Companion Diagnostic Devices for a Specific Group of Oncology Therapeutic Products,” which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 </w:t>
      </w:r>
    </w:p>
    <w:p>
      <w:pPr>
        <w:pStyle w:val="TextBody"/>
        <w:bidi w:val="0"/>
        <w:spacing w:before="240" w:after="0"/>
        <w:jc w:val="left"/>
        <w:rPr>
          <w:rFonts w:ascii="Times New Roman" w:hAnsi="Times New Roman"/>
          <w:sz w:val="20"/>
        </w:rPr>
      </w:pPr>
      <w:r>
        <w:rPr>
          <w:rFonts w:ascii="Times New Roman" w:hAnsi="Times New Roman"/>
          <w:sz w:val="20"/>
        </w:rPr>
        <w:t xml:space="preserve">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currently imposes elaborate testing, control, documentation, and other quality assurance requirements.</w:t>
      </w:r>
    </w:p>
    <w:p>
      <w:pPr>
        <w:pStyle w:val="TextBody"/>
        <w:bidi w:val="0"/>
        <w:spacing w:before="240" w:after="0"/>
        <w:jc w:val="left"/>
        <w:rPr>
          <w:rFonts w:ascii="Times New Roman" w:hAnsi="Times New Roman"/>
          <w:sz w:val="20"/>
        </w:rPr>
      </w:pPr>
      <w:r>
        <w:rPr>
          <w:rFonts w:ascii="Times New Roman" w:hAnsi="Times New Roman"/>
          <w:sz w:val="20"/>
        </w:rPr>
        <w:t>If the FDA’s evaluation of the PMA application is favorable, the FDA may issue an approvable letter requiring the applicant’s agreement to specific conditions, such as changes in labeling, or specific additional information, such as submission of final labeling,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bidi w:val="0"/>
        <w:spacing w:before="240" w:after="0"/>
        <w:jc w:val="left"/>
        <w:rPr>
          <w:rFonts w:ascii="Times New Roman" w:hAnsi="Times New Roman"/>
          <w:sz w:val="20"/>
        </w:rPr>
      </w:pPr>
      <w:r>
        <w:rPr>
          <w:rFonts w:ascii="Times New Roman" w:hAnsi="Times New Roman"/>
          <w:sz w:val="20"/>
        </w:rPr>
        <w:t xml:space="preserve">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2025, the FDA proposed a rule to reclassify certain class III nucleic acid-based test systems indicated for use with a corresponding approved oncology therapeutic product from class III into class II, subject to premarket notification. The FDA also proposed a new device classification regulation, along with the special controls that the FDA believes are necessary to provide a reasonable assurance of safety and effectiveness for these devices. If this proposed rule were enacted, these nucleic acid-based companion diagnostic tests would become class II devices subject to 510(k) premarket notification requirements, which could delay availability of these tests to be used with oncology therapeutics. </w:t>
      </w:r>
    </w:p>
    <w:p>
      <w:pPr>
        <w:pStyle w:val="TextBody"/>
        <w:bidi w:val="0"/>
        <w:spacing w:before="360" w:after="0"/>
        <w:jc w:val="left"/>
        <w:rPr>
          <w:rFonts w:ascii="Times New Roman" w:hAnsi="Times New Roman"/>
          <w:b/>
          <w:i/>
          <w:sz w:val="20"/>
        </w:rPr>
      </w:pPr>
      <w:r>
        <w:rPr>
          <w:rFonts w:ascii="Times New Roman" w:hAnsi="Times New Roman"/>
          <w:b/>
          <w:i/>
          <w:sz w:val="20"/>
        </w:rPr>
        <w:t>Other Healthcare Laws</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and/or imprisonment.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Coverage and Reimbursement</w:t>
      </w:r>
    </w:p>
    <w:p>
      <w:pPr>
        <w:pStyle w:val="TextBody"/>
        <w:bidi w:val="0"/>
        <w:spacing w:before="120" w:after="0"/>
        <w:jc w:val="left"/>
        <w:rPr>
          <w:rFonts w:ascii="Times New Roman" w:hAnsi="Times New Roman"/>
          <w:sz w:val="20"/>
        </w:rPr>
      </w:pPr>
      <w:r>
        <w:rPr>
          <w:rFonts w:ascii="Times New Roman" w:hAnsi="Times New Roman"/>
          <w:sz w:val="20"/>
        </w:rPr>
        <w:t xml:space="preserve">Successful sales of any of Boundless Bio’s future ecDTx in the U.S. market, if approved, will depend, in part, on the extent to which its ecDTx will be covered and eligible for adequate reimbursement by third-party payors, including government health programs, such as Medicare and Medicaid, and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Even if coverage is provided, the approved reimbursement amount may not be adequate to support pricing sufficient to realize a return on Boundless Bio’s investment.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or step therapy for coverage, among other things. For products administered under the supervision of a physician or other healthcare professional, obtaining coverage and adequate reimbursement may be particularly difficult because of the higher prices often associated with such drugs. Additionally, separate reimbursement for the product itself or the treatment or procedure in which the product is used or delivered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Boundless Bio’s net revenue and results. Decreases in third-party payor reimbursement for Boundless Bio’s drug candidates, if approved, or a decision by third-party payors to not cover Boundless Bio’s drug candidates could have a material adverse effect on its sales, results of operations, and financial condition.</w:t>
      </w:r>
    </w:p>
    <w:p>
      <w:pPr>
        <w:pStyle w:val="TextBody"/>
        <w:bidi w:val="0"/>
        <w:spacing w:before="240" w:after="0"/>
        <w:jc w:val="left"/>
        <w:rPr>
          <w:rFonts w:ascii="Times New Roman" w:hAnsi="Times New Roman"/>
          <w:sz w:val="20"/>
        </w:rPr>
      </w:pPr>
      <w:r>
        <w:rPr>
          <w:rFonts w:ascii="Times New Roman" w:hAnsi="Times New Roman"/>
          <w:sz w:val="20"/>
        </w:rPr>
        <w:t>General regulatory cost control measures may also affect reimbursement for Boundless Bio’s products. If Boundless Bio were to obtain approval to market a drug candidate in the United States, it may be subject to spending reductions affecting Medicare, Medicaid, or other publicly funded or subsidized health programs and/or any significant taxes or fees.</w:t>
      </w:r>
    </w:p>
    <w:p>
      <w:pPr>
        <w:pStyle w:val="TextBody"/>
        <w:bidi w:val="0"/>
        <w:spacing w:before="240" w:after="0"/>
        <w:jc w:val="left"/>
        <w:rPr>
          <w:rFonts w:ascii="Times New Roman" w:hAnsi="Times New Roman"/>
          <w:sz w:val="20"/>
        </w:rPr>
      </w:pPr>
      <w:r>
        <w:rPr>
          <w:rFonts w:ascii="Times New Roman" w:hAnsi="Times New Roman"/>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CMS, an agency within the HHS, determines whether and to what extent a new medicine will be covered and reimbursed under Medicare, and private payors tend to follow Medicare policies to a substantial degree. Factors payors frequently consider in determining reimbursement are whether the product is: (a) a covered benefit under its health plan; (b) safe, effective, and medically necessary; (c) appropriate for the specific patient; (d) cost-effective; and (e) neither experimental nor investigational. </w:t>
      </w:r>
    </w:p>
    <w:p>
      <w:pPr>
        <w:pStyle w:val="TextBody"/>
        <w:bidi w:val="0"/>
        <w:spacing w:before="240" w:after="0"/>
        <w:jc w:val="left"/>
        <w:rPr>
          <w:rFonts w:ascii="Times New Roman" w:hAnsi="Times New Roman"/>
          <w:sz w:val="20"/>
        </w:rPr>
      </w:pPr>
      <w:r>
        <w:rPr>
          <w:rFonts w:ascii="Times New Roman" w:hAnsi="Times New Roman"/>
          <w:sz w:val="20"/>
        </w:rPr>
        <w:t xml:space="preserve">Net prices for drugs may be reduced by mandatory discounts or rebates required by government healthcare programs or private payors and by any current or future programs to promote the importation of drugs from countries where they may be sold at lower prices than in the United States. Increasingly, third-party payors are requiring that drug companies provide them with predetermined discounts from list prices and are challenging the prices charged for medical products. Boundless Bio cannot provide any assurances that reimbursement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available for any product candidate that it were to commercialize and, if reimbursement were to be available, whether the level of reimbursement would be adequate. Further, reimbursement for drugs by government healthcare programs may be reduced by mandatory discounts or rebates required by such programs. Certain government healthcare programs impose ceiling prices on products of participating manufacturers. </w:t>
      </w:r>
    </w:p>
    <w:p>
      <w:pPr>
        <w:pStyle w:val="TextBody"/>
        <w:bidi w:val="0"/>
        <w:spacing w:before="360" w:after="0"/>
        <w:jc w:val="left"/>
        <w:rPr>
          <w:rFonts w:ascii="Times New Roman" w:hAnsi="Times New Roman"/>
          <w:b/>
          <w:i/>
          <w:sz w:val="20"/>
        </w:rPr>
      </w:pPr>
      <w:r>
        <w:rPr>
          <w:rFonts w:ascii="Times New Roman" w:hAnsi="Times New Roman"/>
          <w:b/>
          <w:i/>
          <w:sz w:val="20"/>
        </w:rPr>
        <w:t>U.S. Healthcare Reform</w:t>
      </w:r>
    </w:p>
    <w:p>
      <w:pPr>
        <w:pStyle w:val="TextBody"/>
        <w:bidi w:val="0"/>
        <w:spacing w:before="120" w:after="0"/>
        <w:jc w:val="left"/>
        <w:rPr>
          <w:rFonts w:ascii="Times New Roman" w:hAnsi="Times New Roman"/>
          <w:sz w:val="20"/>
        </w:rPr>
      </w:pPr>
      <w:r>
        <w:rPr>
          <w:rFonts w:ascii="Times New Roman" w:hAnsi="Times New Roman"/>
          <w:sz w:val="20"/>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pStyle w:val="TextBody"/>
        <w:bidi w:val="0"/>
        <w:spacing w:before="240" w:after="0"/>
        <w:jc w:val="left"/>
        <w:rPr>
          <w:rFonts w:ascii="Times New Roman" w:hAnsi="Times New Roman"/>
          <w:sz w:val="20"/>
        </w:rPr>
      </w:pPr>
      <w:r>
        <w:rPr>
          <w:rFonts w:ascii="Times New Roman" w:hAnsi="Times New Roman"/>
          <w:sz w:val="20"/>
        </w:rPr>
        <w:t xml:space="preserve">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In June 2021, the U.S. Supreme Court dismissed the most recent judicial challenge to the ACA brought by several states without specifically ruling on the constitutionality of the ACA. Thus, the ACA will remain in force in its current form.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Enacted in August 2011, the Budget Control Act of 2011 includes reductions to Medicare payments to providers of 2% per fiscal year, which went into effect on April 1, 2013 and, due to subsequent legislative amendments to the statute, will remain in effect through 2032, unless additional Congressional action is taken. Enacted in January 2013, the American Taxpayer Relief Act of 2012, among other things, reduced Medicare payments to several providers, including hospitals, and increased the statute of limitations period for the government to recover overpayments to providers from three to five years. Further, enacted in March 2021, the American Rescue Plan Act of 2021 eliminated the statutory Medicaid drug rebate cap, beginning January 1, 2024. The rebate was previously capped at 100% of a drug’s average manufacturer price.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The Inflation Reduction Act of 2022 (IRA) extended this increased tax credit assistance and removal of the 400% federal poverty limit through 2025. This tax credit assistance expired on December 31, 2025, and additional action from Congress would be needed to restore such assistance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and regulations designed to, among other things, reduce the cost of prescription drugs under Medicare, bring more transparency to product pricing, review the relationship between pricing and manufacturer patient programs, and reform government program reimbursement methodologies for products. </w:t>
      </w:r>
    </w:p>
    <w:p>
      <w:pPr>
        <w:pStyle w:val="TextBody"/>
        <w:bidi w:val="0"/>
        <w:spacing w:before="240" w:after="0"/>
        <w:jc w:val="left"/>
        <w:rPr>
          <w:rFonts w:ascii="Times New Roman" w:hAnsi="Times New Roman"/>
          <w:sz w:val="20"/>
        </w:rPr>
      </w:pPr>
      <w:r>
        <w:rPr>
          <w:rFonts w:ascii="Times New Roman" w:hAnsi="Times New Roman"/>
          <w:sz w:val="20"/>
        </w:rPr>
        <w:t xml:space="preserve">Most significantly, in August 2022, the IRA was enacted. This statute marks the most significant action by Congress with respect to the pharmaceutical industry since adoption of the ACA in 2010. Among other things, the IRA requires manufacturers of certain drugs to engage in price negotiations with Medicare, with prices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(which began in 2025). CMS has published the negotiated prices for the initial ten drugs, which will first be effective in 2026, and has published the list of the subsequent 15 drugs that will be subject to negotiation. The IRA permits the Secretary of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the pharmaceutical industry cannot yet be fully determined but is likely to be significant. </w:t>
      </w:r>
    </w:p>
    <w:p>
      <w:pPr>
        <w:pStyle w:val="TextBody"/>
        <w:bidi w:val="0"/>
        <w:spacing w:before="240" w:after="0"/>
        <w:jc w:val="left"/>
        <w:rPr>
          <w:rFonts w:ascii="Times New Roman" w:hAnsi="Times New Roman"/>
          <w:sz w:val="20"/>
        </w:rPr>
      </w:pPr>
      <w:r>
        <w:rPr>
          <w:rFonts w:ascii="Times New Roman" w:hAnsi="Times New Roman"/>
          <w:sz w:val="20"/>
        </w:rPr>
        <w:t>At the state level, legislatures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pharmaceutical products and suppliers will be included in their prescription drug and other healthcare programs.</w:t>
      </w:r>
    </w:p>
    <w:p>
      <w:pPr>
        <w:pStyle w:val="TextBody"/>
        <w:bidi w:val="0"/>
        <w:spacing w:before="240" w:after="0"/>
        <w:jc w:val="left"/>
        <w:rPr>
          <w:rFonts w:ascii="Times New Roman" w:hAnsi="Times New Roman"/>
          <w:sz w:val="20"/>
        </w:rPr>
      </w:pPr>
      <w:r>
        <w:rPr>
          <w:rFonts w:ascii="Times New Roman" w:hAnsi="Times New Roman"/>
          <w:sz w:val="20"/>
        </w:rPr>
        <w:t xml:space="preserve">Existing healthcare reform measures, as well as the implementation of additional cost containment measures or other reforms, may prevent Boundless Bio from being able to generate revenue, attain profitability or commercialize any future product candidates, if approved. These new laws and the regulations and policies implementing them, as well as other healthcare-related measures that may be adopted in the future, could materially reduce its ability to develop and commercialize any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Data Privacy and Security Laws</w:t>
      </w:r>
    </w:p>
    <w:p>
      <w:pPr>
        <w:pStyle w:val="TextBody"/>
        <w:bidi w:val="0"/>
        <w:spacing w:before="120" w:after="0"/>
        <w:jc w:val="left"/>
        <w:rPr>
          <w:rFonts w:ascii="Times New Roman" w:hAnsi="Times New Roman"/>
          <w:sz w:val="20"/>
        </w:rPr>
      </w:pPr>
      <w:r>
        <w:rPr>
          <w:rFonts w:ascii="Times New Roman" w:hAnsi="Times New Roman"/>
          <w:sz w:val="20"/>
        </w:rPr>
        <w:t>Numerous state, federal, and foreign laws, regulations and standards govern the collection, use, access to, confidentiality, and security of health-related and other personal information, and could apply now or in the future to Boundless Bio’s operations or the operations of its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Boundless Bio had 14 employees, all of whom are full-time employees. Of these employees, four are engaged in research and development and 10 are engaged in finance, legal, and general management and administration. None of Boundless Bio’s employees are represented by labor unions or covered by collective bargaining agreements. Boundless Bio considers its relationship with its employees to be good. </w:t>
      </w:r>
    </w:p>
    <w:p>
      <w:pPr>
        <w:pStyle w:val="TextBody"/>
        <w:bidi w:val="0"/>
        <w:spacing w:before="360" w:after="0"/>
        <w:jc w:val="left"/>
        <w:rPr>
          <w:rFonts w:ascii="Times New Roman" w:hAnsi="Times New Roman"/>
          <w:b/>
          <w:sz w:val="20"/>
        </w:rPr>
      </w:pPr>
      <w:r>
        <w:rPr>
          <w:rFonts w:ascii="Times New Roman" w:hAnsi="Times New Roman"/>
          <w:b/>
          <w:sz w:val="20"/>
        </w:rPr>
        <w:t>Corporate Information</w:t>
      </w:r>
    </w:p>
    <w:p>
      <w:pPr>
        <w:pStyle w:val="TextBody"/>
        <w:bidi w:val="0"/>
        <w:spacing w:before="120" w:after="0"/>
        <w:jc w:val="left"/>
        <w:rPr>
          <w:rFonts w:ascii="Times New Roman" w:hAnsi="Times New Roman"/>
          <w:sz w:val="20"/>
        </w:rPr>
      </w:pPr>
      <w:r>
        <w:rPr>
          <w:rFonts w:ascii="Times New Roman" w:hAnsi="Times New Roman"/>
          <w:sz w:val="20"/>
        </w:rPr>
        <w:t>Boundless Bio was originally founded as a Delaware corporation on April 10, 2018, under the name Pretzel Therapeutics, Inc. On July 8, 2019, it changed its name to Boundless Bio, Inc.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Available Information</w:t>
      </w:r>
    </w:p>
    <w:p>
      <w:pPr>
        <w:pStyle w:val="TextBody"/>
        <w:bidi w:val="0"/>
        <w:spacing w:before="120" w:after="0"/>
        <w:jc w:val="left"/>
        <w:rPr>
          <w:rFonts w:ascii="Times New Roman" w:hAnsi="Times New Roman"/>
          <w:sz w:val="20"/>
        </w:rPr>
      </w:pPr>
      <w:r>
        <w:rPr>
          <w:rFonts w:ascii="Times New Roman" w:hAnsi="Times New Roman"/>
          <w:sz w:val="20"/>
        </w:rPr>
        <w:t xml:space="preserve">Boundless Bio’s website address is </w:t>
      </w:r>
      <w:r>
        <w:rPr>
          <w:rFonts w:ascii="Times New Roman" w:hAnsi="Times New Roman"/>
          <w:i/>
          <w:sz w:val="20"/>
        </w:rPr>
        <w:t>www.boundlessbio.com</w:t>
      </w:r>
      <w:r>
        <w:rPr>
          <w:rFonts w:ascii="Times New Roman" w:hAnsi="Times New Roman"/>
          <w:sz w:val="20"/>
        </w:rPr>
        <w:t xml:space="preserve">. The investor relations portion of its website is located at https://investors.boundlessbio.com. It makes available free of charge on the investor relations portion of its website under “Financials—SEC Filings” certain reports and other information it files with or furnishes to the SEC, including its annual report on Form 10-K, quarterly reports on Form 10-Q, current reports on Form 8-K, its directors’ and officers’ Section 16 reports, and any amendments to those reports, as soon as reasonably practicable after it electronically files such materials with, or furnishes them to, the SEC. They are also available for free on the SEC’s website at </w:t>
      </w:r>
      <w:r>
        <w:rPr>
          <w:rFonts w:ascii="Times New Roman" w:hAnsi="Times New Roman"/>
          <w:i/>
          <w:sz w:val="20"/>
        </w:rPr>
        <w:t>www.sec.gov</w:t>
      </w:r>
      <w:r>
        <w:rPr>
          <w:rFonts w:ascii="Times New Roman" w:hAnsi="Times New Roman"/>
          <w:sz w:val="20"/>
        </w:rPr>
        <w: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tx108148_26"/>
      <w:bookmarkEnd w:id="60"/>
      <w:r>
        <w:rPr>
          <w:rFonts w:ascii="Times New Roman" w:hAnsi="Times New Roman"/>
          <w:b/>
          <w:sz w:val="20"/>
        </w:rPr>
        <w:t xml:space="preserve">SERAPHA’S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Serapha is a clinical-stage genetic medicines company committed to transforming the treatment of AATD, the leading genetic cause of serious, progressive lung and liver disease. Serapha’s lead candidate, SERP-01, is a proprietary base editing therapy currently in a Phase 1/2 clinical trial for the treatment of AATD with the PiZZ genotype, the most severe genetic mutation responsible for &gt;90% of AATD cases. The PiZZ mutation causes the Z-AAT to misfold and accumulate as polymers within liver cells, producing toxic aggregates that can lead to hepatitis, fibrosis and cirrhosis, while simultaneously reducing the amount of M-AAT secreted into the circulation. The resulting deficiency of circulating functional M-AAT leaves the lungs unprotected from neutrophil elastase, contributing to progressive emphysema and COPD. SERP-01 is designed as a single intravenous administration treatment to correct the underlying genetic cause of PiZZ AATD, with the goal of restoring production of functional M-AAT, reducing accumulation of toxic mutant Z-AAT in the liver and, if successful, fundamentally altering the course of disease. SERP-01 is being evaluated in an ongoing IIT conducted at Renji Hospital in Shanghai, China in collaboration with Hannover Medical School in Hanover, Germany. As of May 27, 2026, four PiZZ AATD patients have been treated. As of a data cutoff date of June 5, 2026, SERP-01 has been observed to have favorable safety characteristics that are well-tolerated and has generated what Serapha believes is compelling preliminary evidence of serum AAT at near-normal levels in treated patients. In March 2026, the FDA cleared an IND submitted by YolTech for SERP-01, permitting the initiation of a Phase 2/3 clinical trial of SERP-01 in the United States. In June 2026, Serapha entered into the YolTech License Agreement, pursuant to which Serapha obtained exclusive rights to develop, manufacture and commercialize SERP-01 outside of Greater China. In connection with the YolTech License Agreement, YolTech transferred sponsorship of the IND to Serapha, and Serapha is the current sponsor of the IND. Serapha intends to pursue a development path to support accelerated approval based on restoration of serum AAT as a surrogate endpoint designed to predict clinical benefit. In May 2026, the FDA granted SERP-01 orphan drug designation for the treatment of PiZZ AATD and RMAT designation. </w:t>
      </w:r>
    </w:p>
    <w:p>
      <w:pPr>
        <w:pStyle w:val="TextBody"/>
        <w:bidi w:val="0"/>
        <w:spacing w:before="240" w:after="0"/>
        <w:jc w:val="left"/>
        <w:rPr>
          <w:rFonts w:ascii="Times New Roman" w:hAnsi="Times New Roman"/>
          <w:sz w:val="20"/>
        </w:rPr>
      </w:pPr>
      <w:r>
        <w:rPr>
          <w:rFonts w:ascii="Times New Roman" w:hAnsi="Times New Roman"/>
          <w:sz w:val="20"/>
        </w:rPr>
        <w:t xml:space="preserve">AATD is a serious inherited disease characterized by damage to the lungs and liver and can lead to serious lung and liver disease. It is a progressive condition, which means it may worsen over time. Published studies estimate that there are approximately 100,000 prevalent cases of PiZZ AATD in the United States, with a similar number of patients in Europe. Because the disease affects both the liver and lungs through distinct but related mechanisms, patients may experience significant morbidity involving one or both organ systems throughout their lives. Disease severity and clinical presentation vary considerably among individuals, and many patients remain undiagnosed or misdiagnosed. AATD is generally divided into subcategories with two of the most common termed S and Z. The most common severe form of AATD is associated with inheriting two copies of the Z allele – resulting in the PiZZ genotype or PiZZ AATD. PiZZ AATD has been associated with a substantially increased risk of COPD and liver cirrhosis.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FDA-approved disease-modifying therapy for AATD, and no approved therapy addresses the liver manifestations of the disease. Currently approved therapies are intended to manage certain manifestations of AATD but do not address the underlying genetic cause of disease. The only approved therapy directed at the underlying AAT deficiency is augmentation therapy, in which plasma-derived AAT protein is administered by weekly intravenous infusion. Augmentation products were first approved for AATD in 1987. Augmentation therapy is intended to address the lung manifestations of AATD by raising circulating AAT above the historical protective threshold. However, it does not correct the underlying genetic defect, does not address liver disease, and cannot provide additional AAT during an infection when it is most needed. </w:t>
      </w:r>
    </w:p>
    <w:p>
      <w:pPr>
        <w:pStyle w:val="TextBody"/>
        <w:bidi w:val="0"/>
        <w:spacing w:before="240" w:after="0"/>
        <w:jc w:val="left"/>
        <w:rPr>
          <w:rFonts w:ascii="Times New Roman" w:hAnsi="Times New Roman"/>
          <w:sz w:val="20"/>
        </w:rPr>
      </w:pPr>
      <w:r>
        <w:rPr>
          <w:rFonts w:ascii="Times New Roman" w:hAnsi="Times New Roman"/>
          <w:sz w:val="20"/>
        </w:rPr>
        <w:t xml:space="preserve">Serapha believes a base editing approach is particularly well suited for the treatment of AATD because the disease is caused by a single-nucleotide mutation—a change in a single DNA base within the </w:t>
      </w:r>
      <w:r>
        <w:rPr>
          <w:rFonts w:ascii="Times New Roman" w:hAnsi="Times New Roman"/>
          <w:i/>
          <w:sz w:val="20"/>
        </w:rPr>
        <w:t>SERPINA1</w:t>
      </w:r>
      <w:r>
        <w:rPr>
          <w:rFonts w:ascii="Times New Roman" w:hAnsi="Times New Roman"/>
          <w:sz w:val="20"/>
        </w:rPr>
        <w:t xml:space="preserve"> gene. SERP-01 uses a lipid nanoparticle (“LNP”)-formulated </w:t>
      </w:r>
      <w:r>
        <w:rPr>
          <w:rFonts w:ascii="Times New Roman" w:hAnsi="Times New Roman"/>
          <w:i/>
          <w:sz w:val="20"/>
        </w:rPr>
        <w:t>in vivo</w:t>
      </w:r>
      <w:r>
        <w:rPr>
          <w:rFonts w:ascii="Times New Roman" w:hAnsi="Times New Roman"/>
          <w:sz w:val="20"/>
        </w:rPr>
        <w:t xml:space="preserve"> proprietary base editing therapy designed to correct the underlying genetic defect responsible for PiZZ AATD. SERP-01 is designed to possess the key elements of an optimal base editing approach to PiZZ AATD: safe delivery to target liver cells; high editing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efficiency; and minimized bystander editing. Following intravenous administration, SERP-01 is designed to deliver the components necessary to enable a precise single-base edit within liver cells without introducing a double-stranded DNA break. Serapha believes the combination of efficient on-target editing, low bystander editing and transient editor expression has the potential to provide a one-time treatment capable of producing durable therapeutic benefit. </w:t>
      </w:r>
    </w:p>
    <w:p>
      <w:pPr>
        <w:pStyle w:val="TextBody"/>
        <w:bidi w:val="0"/>
        <w:spacing w:before="240" w:after="0"/>
        <w:jc w:val="left"/>
        <w:rPr>
          <w:rFonts w:ascii="Times New Roman" w:hAnsi="Times New Roman"/>
          <w:sz w:val="20"/>
        </w:rPr>
      </w:pPr>
      <w:r>
        <w:rPr>
          <w:rFonts w:ascii="Times New Roman" w:hAnsi="Times New Roman"/>
          <w:sz w:val="20"/>
        </w:rPr>
        <w:t xml:space="preserve">The clinical experience with SERP-01 to date derives from an open-label, single-arm trial in patients with severe PiZZ AATD that YolTech initiated in December 2025 under a collaboration between clinical sites in China and Germany. The trial design allows for the enrollment of up to 18 patients in a maximum of three dosing cohorts. The primary objective of the trial is observing safety and tolerability, while secondary objectives include the measure of changes from baseline in total serum AAT levels. As of May 27, 2026, four patients have been dosed in the trial. One patient received a dose of 35 mg, or the low dose, and three patients received a 45 mg dose, with additional patients planned at 55 mg, and at an expansion cohort dose to be determined. In the patients dosed at 45 mg, increases in total serum AAT were observed by turbidimetry, as of the data cutoff date of June 5, 2026. All patients dosed at 45 mg achieved circulating AAT levels above the generally recognized protective threshold of 11 µM and within or near the normal physiological range. The elevations in serum AAT observed in the earliest-treated patients were durable in all patients up to week 12, with one patient confirmed up to 21 weeks. Based on preliminary results of the four patients dosed as of May 27, 2026, Serapha has observed SERP-01 to be well-tolerated. </w:t>
      </w:r>
    </w:p>
    <w:p>
      <w:pPr>
        <w:pStyle w:val="TextBody"/>
        <w:bidi w:val="0"/>
        <w:spacing w:before="240" w:after="0"/>
        <w:jc w:val="left"/>
        <w:rPr>
          <w:rFonts w:ascii="Times New Roman" w:hAnsi="Times New Roman"/>
          <w:sz w:val="20"/>
        </w:rPr>
      </w:pPr>
      <w:r>
        <w:rPr>
          <w:rFonts w:ascii="Times New Roman" w:hAnsi="Times New Roman"/>
          <w:sz w:val="20"/>
        </w:rPr>
        <w:t xml:space="preserve">Serapha has an exclusive license with YolTech under certain patent applications related to the use of the components of SERP-01 and the intravenous delivery of SERP-01 for the treatment of PiZZ AATD. </w:t>
      </w:r>
    </w:p>
    <w:p>
      <w:pPr>
        <w:pStyle w:val="TextBody"/>
        <w:bidi w:val="0"/>
        <w:spacing w:before="240" w:after="0"/>
        <w:jc w:val="left"/>
        <w:rPr>
          <w:rFonts w:ascii="Times New Roman" w:hAnsi="Times New Roman"/>
          <w:sz w:val="20"/>
        </w:rPr>
      </w:pPr>
      <w:r>
        <w:rPr>
          <w:rFonts w:ascii="Times New Roman" w:hAnsi="Times New Roman"/>
          <w:sz w:val="20"/>
        </w:rPr>
        <w:t xml:space="preserve">Serapha was co-founded in 2026 by RTW Investments, LP (“RTW Investments”) and RA Capital Management, L.P. (“RA Capital Management”) to advance the development of transformative genetic medicines for the treatment of AATD. Under their leadership, Serapha acquired exclusive rights outside Greater China to develop and commercialize SERP-01 and establish initial operations to support its continued and ongoing development. </w:t>
      </w:r>
    </w:p>
    <w:p>
      <w:pPr>
        <w:pStyle w:val="TextBody"/>
        <w:bidi w:val="0"/>
        <w:spacing w:before="240" w:after="0"/>
        <w:jc w:val="left"/>
        <w:rPr>
          <w:rFonts w:ascii="Times New Roman" w:hAnsi="Times New Roman"/>
          <w:sz w:val="20"/>
        </w:rPr>
      </w:pPr>
      <w:r>
        <w:rPr>
          <w:rFonts w:ascii="Times New Roman" w:hAnsi="Times New Roman"/>
          <w:sz w:val="20"/>
        </w:rPr>
        <w:t xml:space="preserve">To execute on Serapha’s mission, Serapha has assembled a management team that includes individuals with expertise in genetic medicines, regulatory development, product development, manufacturing and commercialization, with a history of success in building and operating innovative biotechnology companies focused on rare and life-threatening diseases. This team is led by Chief Executive Officer, Kenneth T. Mills, who brings more than 25 years of broad leadership and management experience in the biopharmaceutical industry to Serapha. Mr. Mills is the current Chairman and was the founding President and Chief Executive Officer of REGENXBIO Inc. </w:t>
      </w:r>
    </w:p>
    <w:p>
      <w:pPr>
        <w:pStyle w:val="TextBody"/>
        <w:bidi w:val="0"/>
        <w:spacing w:before="240" w:after="0"/>
        <w:jc w:val="left"/>
        <w:rPr>
          <w:rFonts w:ascii="Times New Roman" w:hAnsi="Times New Roman"/>
          <w:sz w:val="20"/>
        </w:rPr>
      </w:pPr>
      <w:r>
        <w:rPr>
          <w:rFonts w:ascii="Times New Roman" w:hAnsi="Times New Roman"/>
          <w:sz w:val="20"/>
        </w:rPr>
        <w:t xml:space="preserve">Serapha is supported by a leading group of biotech investors including funds and accounts managed by Janus Henderson Investors, Decheng Capital, Vivo Capital, Casdin Capital, LifeSci Venture Partners, Logos Capital, Balyasny Asset Management, and Eventide Asset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Serapha’s Strategy </w:t>
      </w:r>
    </w:p>
    <w:p>
      <w:pPr>
        <w:pStyle w:val="TextBody"/>
        <w:bidi w:val="0"/>
        <w:spacing w:before="120" w:after="0"/>
        <w:jc w:val="left"/>
        <w:rPr>
          <w:rFonts w:ascii="Times New Roman" w:hAnsi="Times New Roman"/>
          <w:sz w:val="20"/>
        </w:rPr>
      </w:pPr>
      <w:r>
        <w:rPr>
          <w:rFonts w:ascii="Times New Roman" w:hAnsi="Times New Roman"/>
          <w:sz w:val="20"/>
        </w:rPr>
        <w:t xml:space="preserve">Serapha’s goal is to transform the treatment of AATD through the development of innovative genetic medicines designed to address the underlying cause of disease and to address the profound unmet medical needs of patients living with AATD, the leading genetic cause of serious, progressive lung and liver disease. Key elements of Serapha’s strategy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Advance SERP-01 through clinical trials in the United States.</w:t>
            </w:r>
            <w:r>
              <w:rPr>
                <w:rFonts w:ascii="Times New Roman" w:hAnsi="Times New Roman"/>
                <w:sz w:val="20"/>
              </w:rPr>
              <w:t xml:space="preserve"> Serapha intends to initiate a U.S. Phase 2/3 trial of SERP-01 in patients with AATD, building on the data generated in the ongoing IIT.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Pursue an efficient regulatory path to registration in the United States.</w:t>
            </w:r>
            <w:r>
              <w:rPr>
                <w:rFonts w:ascii="Times New Roman" w:hAnsi="Times New Roman"/>
                <w:sz w:val="20"/>
              </w:rPr>
              <w:t xml:space="preserve"> Serapha intends to seek FDA guidance for a registrational program supporting accelerated approval based on restoration of serum AAT as a surrogate endpoint designed to predict clinical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Continue to invest in and develop robust and sustainable manufacturing processes and multiple supply sources to ensure the supply of high-quality products. </w:t>
            </w:r>
            <w:r>
              <w:rPr>
                <w:rFonts w:ascii="Times New Roman" w:hAnsi="Times New Roman"/>
                <w:sz w:val="20"/>
              </w:rPr>
              <w:t xml:space="preserve">Serapha intends to expand the manufacturing of SERP-01 drug substance and drug product to commercial-grade contract development and manufacturing organizations (“CDMOs”) in the United States and Europe, to support late-stage and commercial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Generate evidence of clinical benefit to support full FDA approval.</w:t>
            </w:r>
            <w:r>
              <w:rPr>
                <w:rFonts w:ascii="Times New Roman" w:hAnsi="Times New Roman"/>
                <w:sz w:val="20"/>
              </w:rPr>
              <w:t xml:space="preserve"> Beyond serum AAT levels, Serapha intends to evaluate pulmonary and liver function measures and patient-reported outcomes to characterize the potential clinical benefit of SERP-01 in both the lung and liver manifestations of AATD.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Advance the development of SERP-01 outside of the United States. </w:t>
            </w:r>
            <w:r>
              <w:rPr>
                <w:rFonts w:ascii="Times New Roman" w:hAnsi="Times New Roman"/>
                <w:sz w:val="20"/>
              </w:rPr>
              <w:t xml:space="preserve">Serapha intends to initiate clinical trial sites in Europe and other international jurisdictions for the Phase 3 portion of its Phase 2/3 clinical trial of SERP-01 in patients with AATD and to engage with regulatory authorities regarding key development and regulatory considerations to support potential accelerated approval pathways.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Continue to develop a strong, collaborative network of key stakeholders, including patients, to inform Serapha’s clinical development and commercialization strategies. </w:t>
            </w:r>
            <w:r>
              <w:rPr>
                <w:rFonts w:ascii="Times New Roman" w:hAnsi="Times New Roman"/>
                <w:sz w:val="20"/>
              </w:rPr>
              <w:t xml:space="preserve">Serapha intends to continue assembling a team with rare-disease and genetic medicine development experience and to develop relationships with the AATD patient community, advocacy organizations and key opinion leaders.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Alpha-1 Antitrypsin Deficiency </w:t>
      </w:r>
    </w:p>
    <w:p>
      <w:pPr>
        <w:pStyle w:val="TextBody"/>
        <w:bidi w:val="0"/>
        <w:spacing w:before="120" w:after="0"/>
        <w:jc w:val="left"/>
        <w:rPr>
          <w:rFonts w:ascii="Times New Roman" w:hAnsi="Times New Roman"/>
          <w:sz w:val="20"/>
        </w:rPr>
      </w:pPr>
      <w:r>
        <w:rPr>
          <w:rFonts w:ascii="Times New Roman" w:hAnsi="Times New Roman"/>
          <w:sz w:val="20"/>
        </w:rPr>
        <w:t xml:space="preserve">The AATD sub-types are characterized based on different combinations of genetic changes in the </w:t>
      </w:r>
      <w:r>
        <w:rPr>
          <w:rFonts w:ascii="Times New Roman" w:hAnsi="Times New Roman"/>
          <w:i/>
          <w:sz w:val="20"/>
        </w:rPr>
        <w:t>SERPINA1</w:t>
      </w:r>
      <w:r>
        <w:rPr>
          <w:rFonts w:ascii="Times New Roman" w:hAnsi="Times New Roman"/>
          <w:sz w:val="20"/>
        </w:rPr>
        <w:t xml:space="preserve"> gene, which encodes AAT, a protein produced primarily in the liver that plays an essential role in protecting lung tissue from damage. </w:t>
      </w:r>
    </w:p>
    <w:p>
      <w:pPr>
        <w:pStyle w:val="TextBody"/>
        <w:bidi w:val="0"/>
        <w:spacing w:before="240" w:after="0"/>
        <w:jc w:val="left"/>
        <w:rPr>
          <w:rFonts w:ascii="Times New Roman" w:hAnsi="Times New Roman"/>
          <w:sz w:val="20"/>
        </w:rPr>
      </w:pPr>
      <w:r>
        <w:rPr>
          <w:rFonts w:ascii="Times New Roman" w:hAnsi="Times New Roman"/>
          <w:sz w:val="20"/>
        </w:rPr>
        <w:t xml:space="preserve">AAT inhibits neutrophil elastase through a reactive central loop that inserts into the protease through a loop-sheet mechanism, a process that depends on AAT adopting its correctly folded conformation. Mutations affecting this region of the protein can reduce both the amount of AAT secreted and its inhibitory activity. The most severe disease-causing mutation (E342K) in the </w:t>
      </w:r>
      <w:r>
        <w:rPr>
          <w:rFonts w:ascii="Times New Roman" w:hAnsi="Times New Roman"/>
          <w:i/>
          <w:sz w:val="20"/>
        </w:rPr>
        <w:t>SERPINA1</w:t>
      </w:r>
      <w:r>
        <w:rPr>
          <w:rFonts w:ascii="Times New Roman" w:hAnsi="Times New Roman"/>
          <w:sz w:val="20"/>
        </w:rPr>
        <w:t xml:space="preserve"> gene occurs in this region.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2942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5960" cy="22942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Structure of alpha-1 antitrypsin showing the reactive central loop, and the loop-sheet mechanism by which AAT inhibits neutrophil elastase. Source: Song et al. (1995); RCSB Protein Data Bank; de Serres and Blanco (2014). </w:t>
      </w:r>
    </w:p>
    <w:p>
      <w:pPr>
        <w:pStyle w:val="TextBody"/>
        <w:bidi w:val="0"/>
        <w:spacing w:before="240" w:after="0"/>
        <w:jc w:val="left"/>
        <w:rPr>
          <w:rFonts w:ascii="Times New Roman" w:hAnsi="Times New Roman"/>
          <w:sz w:val="20"/>
        </w:rPr>
      </w:pPr>
      <w:r>
        <w:rPr>
          <w:rFonts w:ascii="Times New Roman" w:hAnsi="Times New Roman"/>
          <w:sz w:val="20"/>
        </w:rPr>
        <w:t xml:space="preserve">People who inherit one defective copy of the </w:t>
      </w:r>
      <w:r>
        <w:rPr>
          <w:rFonts w:ascii="Times New Roman" w:hAnsi="Times New Roman"/>
          <w:i/>
          <w:sz w:val="20"/>
        </w:rPr>
        <w:t>SERPINA1</w:t>
      </w:r>
      <w:r>
        <w:rPr>
          <w:rFonts w:ascii="Times New Roman" w:hAnsi="Times New Roman"/>
          <w:sz w:val="20"/>
        </w:rPr>
        <w:t xml:space="preserve"> gene and one normal copy of the </w:t>
      </w:r>
      <w:r>
        <w:rPr>
          <w:rFonts w:ascii="Times New Roman" w:hAnsi="Times New Roman"/>
          <w:i/>
          <w:sz w:val="20"/>
        </w:rPr>
        <w:t>SERPINA1</w:t>
      </w:r>
      <w:r>
        <w:rPr>
          <w:rFonts w:ascii="Times New Roman" w:hAnsi="Times New Roman"/>
          <w:sz w:val="20"/>
        </w:rPr>
        <w:t xml:space="preserve"> gene are known as AATD carriers. An estimated 19 million people in the United States are AATD carriers.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Severe Alpha-1 Antitrypsin Deficiency: PiZZ </w:t>
      </w:r>
    </w:p>
    <w:p>
      <w:pPr>
        <w:pStyle w:val="TextBody"/>
        <w:bidi w:val="0"/>
        <w:spacing w:before="120" w:after="0"/>
        <w:jc w:val="left"/>
        <w:rPr>
          <w:rFonts w:ascii="Times New Roman" w:hAnsi="Times New Roman"/>
          <w:sz w:val="20"/>
        </w:rPr>
      </w:pPr>
      <w:r>
        <w:rPr>
          <w:rFonts w:ascii="Times New Roman" w:hAnsi="Times New Roman"/>
          <w:sz w:val="20"/>
        </w:rPr>
        <w:t xml:space="preserve">The most common severe form of AATD is associated with inheriting two copies of the Z allele – called the PiZZ genotype. In individuals with PiZZ AATD, disease-causing mutations result in production of an abnormal form of AAT that accumulates within liver cells while reducing circulating levels of functional AAT. The resulting deficiency of functional AAT increases susceptibility to progressive lung disease, while intracellular accumulation of the abnormal protein can lead to liver injury, fibrosis, cirrhosis and hepatocellular carcinoma. </w:t>
      </w:r>
    </w:p>
    <w:p>
      <w:pPr>
        <w:pStyle w:val="TextBody"/>
        <w:bidi w:val="0"/>
        <w:spacing w:before="240" w:after="0"/>
        <w:jc w:val="left"/>
        <w:rPr>
          <w:rFonts w:ascii="Times New Roman" w:hAnsi="Times New Roman"/>
          <w:sz w:val="20"/>
        </w:rPr>
      </w:pPr>
      <w:r>
        <w:rPr>
          <w:rFonts w:ascii="Times New Roman" w:hAnsi="Times New Roman"/>
          <w:sz w:val="20"/>
        </w:rPr>
        <w:t xml:space="preserve">Disease risk and severity correlate with genotype. A physiologically normal serum AAT level is generally considered to be above 20 micromolar (µM), and a historical “protective threshold” of approximately 11 µM has been used in the field. Relative to the normal PiMM genotype, the PiZZ genotype has been associated with a substantially increased risk of COPD and cirrhosis, while heterozygotes (for example, PiMZ and PiSZ) are frequently asymptomatic and often require a second insult, such as smoking, to develop clinically significant disease.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1894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5960" cy="21894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Serum AAT levels by Pi genotype (MM, MZ, SZ, ZZ) relative to the 11 µM protective threshold and the lower limit of normal, and odds ratios for COPD and cirrhosis for the PiZZ genotype relative to PiMM. </w:t>
      </w:r>
    </w:p>
    <w:p>
      <w:pPr>
        <w:pStyle w:val="TextBody"/>
        <w:bidi w:val="0"/>
        <w:spacing w:before="360" w:after="0"/>
        <w:jc w:val="left"/>
        <w:rPr>
          <w:rFonts w:ascii="Times New Roman" w:hAnsi="Times New Roman"/>
          <w:b/>
          <w:sz w:val="20"/>
        </w:rPr>
      </w:pPr>
      <w:r>
        <w:rPr>
          <w:rFonts w:ascii="Times New Roman" w:hAnsi="Times New Roman"/>
          <w:b/>
          <w:sz w:val="20"/>
        </w:rPr>
        <w:t xml:space="preserve">Current Treatment for AATD </w:t>
      </w:r>
    </w:p>
    <w:p>
      <w:pPr>
        <w:pStyle w:val="TextBody"/>
        <w:bidi w:val="0"/>
        <w:spacing w:before="120" w:after="0"/>
        <w:jc w:val="left"/>
        <w:rPr>
          <w:rFonts w:ascii="Times New Roman" w:hAnsi="Times New Roman"/>
          <w:sz w:val="20"/>
        </w:rPr>
      </w:pPr>
      <w:r>
        <w:rPr>
          <w:rFonts w:ascii="Times New Roman" w:hAnsi="Times New Roman"/>
          <w:sz w:val="20"/>
        </w:rPr>
        <w:t xml:space="preserve">There is currently no FDA-approved disease-modifying therapy for AATD, and no approved therapy addresses the liver manifestations of the disease. The only approved therapy directed at the underlying AAT deficiency is augmentation therapy, in which plasma-derived AAT protein is administered by weekly intravenous infusion. Augmentation products were first approved for AATD in 1987. Augmentation therapy is intended to address the lung manifestations of AATD by raising circulating AAT above the historical protective threshold. However, it does not correct the underlying genetic defect, does not address liver disease, and typically only restores serum AAT to approximately 11 µM, which is below the lower limit of normal range of 20 µM. The weekly infusion regimen also imposes a substantial treatment burden. For end-stage liver disease, the principal option is liver transplantation. </w:t>
      </w:r>
    </w:p>
    <w:p>
      <w:pPr>
        <w:pStyle w:val="TextBody"/>
        <w:bidi w:val="0"/>
        <w:spacing w:before="240" w:after="0"/>
        <w:jc w:val="left"/>
        <w:rPr>
          <w:rFonts w:ascii="Times New Roman" w:hAnsi="Times New Roman"/>
          <w:sz w:val="20"/>
        </w:rPr>
      </w:pPr>
      <w:r>
        <w:rPr>
          <w:rFonts w:ascii="Times New Roman" w:hAnsi="Times New Roman"/>
          <w:sz w:val="20"/>
        </w:rPr>
        <w:t xml:space="preserve">The level of serum AAT that constitutes clinically meaningful restoration is the subject of ongoing scientific discussion. The historical 11 µM threshold was derived from genetic and observational data rather than from controlled clinical outcomes. Based on Serapha’s discussions with key opinion leaders, Serapha believes there is increasing focus within the field on restoration toward approximately 17 µM to 20 µM, a range more consistent with the levels observed in largely asymptomatic PiMZ heterozygotes and with the levels augmentation therapy is intended to achieve. </w:t>
      </w:r>
    </w:p>
    <w:p>
      <w:pPr>
        <w:pStyle w:val="TextBody"/>
        <w:bidi w:val="0"/>
        <w:spacing w:before="240" w:after="0"/>
        <w:jc w:val="left"/>
        <w:rPr>
          <w:rFonts w:ascii="Times New Roman" w:hAnsi="Times New Roman"/>
          <w:sz w:val="20"/>
        </w:rPr>
      </w:pPr>
      <w:r>
        <w:rPr>
          <w:rFonts w:ascii="Times New Roman" w:hAnsi="Times New Roman"/>
          <w:sz w:val="20"/>
        </w:rPr>
        <w:t xml:space="preserve">AATD imposes a significant economic burden on patients. Diagnosed patients have been reported to incur approximately twice the healthcare costs of matched COPD controls, with increased utilization across emergency, inpatient and outpatient settings, and analyses have estimated cumulative lifetime healthcare costs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range of approximately $3 million to $4 million per patient. Augmentation therapy alone has been estimated to cost approximately $100,000 to $150,000 per patient per year. </w:t>
      </w:r>
    </w:p>
    <w:p>
      <w:pPr>
        <w:pStyle w:val="TextBody"/>
        <w:bidi w:val="0"/>
        <w:spacing w:before="360" w:after="0"/>
        <w:jc w:val="left"/>
        <w:rPr>
          <w:rFonts w:ascii="Times New Roman" w:hAnsi="Times New Roman"/>
          <w:b/>
          <w:sz w:val="20"/>
        </w:rPr>
      </w:pPr>
      <w:r>
        <w:rPr>
          <w:rFonts w:ascii="Times New Roman" w:hAnsi="Times New Roman"/>
          <w:b/>
          <w:sz w:val="20"/>
        </w:rPr>
        <w:t xml:space="preserve">Serapha’s Product Candidate: SERP-01 for the Treatment of PiZZ AATD </w:t>
      </w:r>
    </w:p>
    <w:p>
      <w:pPr>
        <w:pStyle w:val="TextBody"/>
        <w:bidi w:val="0"/>
        <w:spacing w:before="120" w:after="0"/>
        <w:jc w:val="left"/>
        <w:rPr>
          <w:rFonts w:ascii="Times New Roman" w:hAnsi="Times New Roman"/>
          <w:sz w:val="20"/>
        </w:rPr>
      </w:pPr>
      <w:r>
        <w:rPr>
          <w:rFonts w:ascii="Times New Roman" w:hAnsi="Times New Roman"/>
          <w:sz w:val="20"/>
        </w:rPr>
        <w:t xml:space="preserve">SERP-01 is Serapha’s investigational </w:t>
      </w:r>
      <w:r>
        <w:rPr>
          <w:rFonts w:ascii="Times New Roman" w:hAnsi="Times New Roman"/>
          <w:i/>
          <w:sz w:val="20"/>
        </w:rPr>
        <w:t>in vivo</w:t>
      </w:r>
      <w:r>
        <w:rPr>
          <w:rFonts w:ascii="Times New Roman" w:hAnsi="Times New Roman"/>
          <w:sz w:val="20"/>
        </w:rPr>
        <w:t xml:space="preserve"> base-editing therapy for the treatment of severe AATD. SERP-01 is designed to correct the most severe disease-causing mutation (E342K) in the </w:t>
      </w:r>
      <w:r>
        <w:rPr>
          <w:rFonts w:ascii="Times New Roman" w:hAnsi="Times New Roman"/>
          <w:i/>
          <w:sz w:val="20"/>
        </w:rPr>
        <w:t>SERPINA1</w:t>
      </w:r>
      <w:r>
        <w:rPr>
          <w:rFonts w:ascii="Times New Roman" w:hAnsi="Times New Roman"/>
          <w:sz w:val="20"/>
        </w:rPr>
        <w:t xml:space="preserve"> gene within hepatocytes, with the goal of restoring endogenous production of functional AAT while reducing production and intracellular accumulation of the abnormal mutant protein. SERP-01 consists of an LNP formulation containing messenger RNA encoding Serapha’s proprietary adenine base editor together with a guide RNA. The therapy is designed to enable precise correction of the disease-causing mutation in PiZZ AATD.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SERP-01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Adenine Base Editor</w:t>
            </w:r>
            <w:r>
              <w:rPr>
                <w:rFonts w:ascii="Times New Roman" w:hAnsi="Times New Roman"/>
                <w:b/>
                <w:sz w:val="20"/>
              </w:rPr>
              <w:t xml:space="preserve">: </w:t>
            </w:r>
            <w:r>
              <w:rPr>
                <w:rFonts w:ascii="Times New Roman" w:hAnsi="Times New Roman"/>
                <w:sz w:val="20"/>
              </w:rPr>
              <w:t xml:space="preserve">Base editing is a form of precision genome editing that enables a single DNA base pair to be changed without creating a double-stranded break in the DNA. Serapha’s proprietary adenine base editor consists of a catalytically impaired clustered regularly interspaced short palindromic repeats (“CRISPR”) protein, modified so that it does not cut both strands of the DNA, fused to a deaminase enzyme that chemically converts a target adenine (A) to guanine (G). Because the change is made directly to the genomic DNA, a single, successful editing event is intended to produce a durable correction that is maintained as cells divide. The proprietary adenine base editor incorporated into SERP-01 was engineered to achieve high editing efficiency while minimizing bystander editing and other unintended DNA modifications. Serapha believes these characteristics are important to maximizing correction of the disease-causing mutation while supporting the therapeutic potential of SERP-01. Because the editor is delivered as messenger RNA, expression is transient following administration. Serapha believes transient expression and the absence of double-stranded DNA breaks represents an important aspect of the overall design of SERP-01.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Lipid Nanoparticle</w:t>
            </w:r>
            <w:r>
              <w:rPr>
                <w:rFonts w:ascii="Times New Roman" w:hAnsi="Times New Roman"/>
                <w:b/>
                <w:sz w:val="20"/>
              </w:rPr>
              <w:t xml:space="preserve">: </w:t>
            </w:r>
            <w:r>
              <w:rPr>
                <w:rFonts w:ascii="Times New Roman" w:hAnsi="Times New Roman"/>
                <w:sz w:val="20"/>
              </w:rPr>
              <w:t xml:space="preserve">SERP-01 is designed to be a proprietary LNP that encapsulates the messenger RNA encoding the adenine base editor together with the guide RNA. LNPs are proprietary delivery systems composed of specialized lipids that are designed to encapsulate and transport nucleic acid-based therapeutics to target cells. Following intravenous administration, LNPs facilitate cellular uptake and intracellular release of their therapeutic cargo, enabling expression or activity within the target tissue. LNP technology has become an important delivery platform for a range of nucleic acid medicines and is used in multiple approved and investigational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Guide RNA</w:t>
            </w:r>
            <w:r>
              <w:rPr>
                <w:rFonts w:ascii="Times New Roman" w:hAnsi="Times New Roman"/>
                <w:sz w:val="20"/>
              </w:rPr>
              <w:t xml:space="preserve">: Guide RNA (“gRNA”) guides the adenine base editor to the specific genomic site. It is a synthetic RNA molecule designed to direct a base-editing enzyme to a specific DNA sequence within the genome. By providing sequence-specific targeting, the gRNA enables the base-editing system to recognize and modify the intended genomic site, supporting the precision of the therapeutic approach.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intravenous administration, the LNP delivers the messenger RNA and guide RNA components of SERP-01 to liver cells. Within the cell, the messenger RNA is translated into the proprietary adenine base editor, which is directed by the guide RNA to the disease-causing mutation in the </w:t>
      </w:r>
      <w:r>
        <w:rPr>
          <w:rFonts w:ascii="Times New Roman" w:hAnsi="Times New Roman"/>
          <w:i/>
          <w:sz w:val="20"/>
        </w:rPr>
        <w:t>SERPINA1</w:t>
      </w:r>
      <w:r>
        <w:rPr>
          <w:rFonts w:ascii="Times New Roman" w:hAnsi="Times New Roman"/>
          <w:sz w:val="20"/>
        </w:rPr>
        <w:t xml:space="preserve"> gene. The editor is designed to catalyze a single-base conversion that corrects the disease-causing mutation without introducing a double-stranded DNA break. Successful editing is intended to restore production of functional AAT while reducing production and intracellular accumulation of the abnormal mutant protein. By correcting the underlying mutation, SERP-01 is designed to simultaneously address the two principal biological mechanisms responsible for lung and liver disease in AATD. </w:t>
      </w:r>
    </w:p>
    <w:p>
      <w:pPr>
        <w:pStyle w:val="TextBody"/>
        <w:bidi w:val="0"/>
        <w:spacing w:before="360" w:after="0"/>
        <w:jc w:val="left"/>
        <w:rPr>
          <w:rFonts w:ascii="Times New Roman" w:hAnsi="Times New Roman"/>
          <w:b/>
          <w:sz w:val="20"/>
        </w:rPr>
      </w:pPr>
      <w:r>
        <w:rPr>
          <w:rFonts w:ascii="Times New Roman" w:hAnsi="Times New Roman"/>
          <w:b/>
          <w:sz w:val="20"/>
        </w:rPr>
        <w:t xml:space="preserve">Clinical Development of SERP-01 </w:t>
      </w:r>
    </w:p>
    <w:p>
      <w:pPr>
        <w:pStyle w:val="TextBody"/>
        <w:bidi w:val="0"/>
        <w:spacing w:before="120" w:after="0"/>
        <w:jc w:val="left"/>
        <w:rPr>
          <w:rFonts w:ascii="Times New Roman" w:hAnsi="Times New Roman"/>
          <w:sz w:val="20"/>
        </w:rPr>
      </w:pPr>
      <w:r>
        <w:rPr>
          <w:rFonts w:ascii="Times New Roman" w:hAnsi="Times New Roman"/>
          <w:sz w:val="20"/>
        </w:rPr>
        <w:t xml:space="preserve">SERP-01 is being evaluated in an ongoing IIT conducted at Renji Hospital in Shanghai, China in collaboration with Hannover Medical School in Hanover, Germany. This is a single-arm, open-label, dose-escalation study evaluating the safety and tolerability of SERP-01 in patients with PiZZ AATD and a baseline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serum AAT below 11 µM. Dose levels being studied include 35 mg, 45 mg and 55 mg. As of May 27, 2026, four patients had been dosed. One patient received a dose of 35 mg, or the low dose, and three patients received a 45 mg dose, with additional patients planned at 55 mg and at an expansion cohort dose to be determined.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Clinical Results </w:t>
      </w:r>
    </w:p>
    <w:p>
      <w:pPr>
        <w:pStyle w:val="TextBody"/>
        <w:bidi w:val="0"/>
        <w:spacing w:before="120" w:after="0"/>
        <w:jc w:val="left"/>
        <w:rPr>
          <w:rFonts w:ascii="Times New Roman" w:hAnsi="Times New Roman"/>
          <w:sz w:val="20"/>
        </w:rPr>
      </w:pPr>
      <w:r>
        <w:rPr>
          <w:rFonts w:ascii="Times New Roman" w:hAnsi="Times New Roman"/>
          <w:sz w:val="20"/>
        </w:rPr>
        <w:t>As of a data cutoff date of June 5, 2026, the three patients dosed at 45 mg all achieved circulating AAT levels above the generally recognized protective threshold of 11 µM and were within or near the normal physiological range. The cohort achieved a mean total serum AAT of approximately 17.5 µM at week 3 as measured by turbidimetry. Elevations in serum AAT were durable in all patients up to week 12, with one patient confirmed up to 21 weeks. Based on all patients dosed with SERP-01 as of June 5, 2026, no serious adverse events have been observed.</w:t>
      </w:r>
    </w:p>
    <w:p>
      <w:pPr>
        <w:pStyle w:val="TextBody"/>
        <w:bidi w:val="0"/>
        <w:spacing w:before="0" w:after="0"/>
        <w:jc w:val="left"/>
        <w:rPr/>
      </w:pPr>
      <w:r>
        <w:rPr/>
        <w:t> </w:t>
      </w:r>
    </w:p>
    <w:p>
      <w:pPr>
        <w:pStyle w:val="TextBody"/>
        <w:bidi w:val="0"/>
        <w:spacing w:before="0" w:after="0"/>
        <w:jc w:val="center"/>
        <w:rPr/>
      </w:pPr>
      <w:r>
        <w:rPr/>
        <w:drawing>
          <wp:inline distT="0" distB="0" distL="0" distR="0">
            <wp:extent cx="3992880" cy="21996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92880" cy="21996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Mean total serum AAT by turbidimetry in the 45 mg cohort (n=3) through week 3, relative to the 11 µM protective threshold and the 20 µM lower bound of the normal range.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Preliminary preclinical proof of concept and safety and tolerability studies evaluating the intravenous administration of SERP-01 were designed and overseen by YolTech and conducted under good laboratory practice (“GLP”) standards. In the PiZZ mouse model of AATD, a single intravenous administration of SERP-01 resulted in significant and sustained increases in serum AAT levels compared with baseline, with effects maintained through the 13-week observation period. Also in preclinical studies, Serapha’s proprietary adenine base editor achieved on-target correction comparable to a benchmark base editor while producing substantially less of this bystander edit, which, taken together, was associated with greater secretion of functional M-AAT. YolTech has also conducted multiple GLP safety studies in PiZZ mice and non-human primates. No evidence of toxicity was observed following administration of SERP-01 for up to 13 weeks. YolTech has utilized the same LNP and proprietary adenine base editor messenger RNA (“mRNA”) in other disease models with no evidence of toxicity observed up to nine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SERP-01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FDA cleared an IND for SERP-01, permitting the initiation of a U.S. Phase 2/3 clinical trial of SERP-01 in PiZZ AATD patients, and Serapha intends to initiate this trial in late 2026 or early 2027. Serapha currently expects the Phase 2 part to be an open-label study enrolling up to 12 patients at an optimal biologically active dose (“OBD”), with a primary endpoint of change from baseline in serum AAT and secondary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endpoints assessing pulmonary and liver measures and patient-reported outcomes. Serapha expects that data from the ongoing IIT, including additional patients, may contribute to the safety database supporting Serapha’s U.S. program. </w:t>
      </w:r>
    </w:p>
    <w:p>
      <w:pPr>
        <w:pStyle w:val="TextBody"/>
        <w:bidi w:val="0"/>
        <w:spacing w:before="240" w:after="0"/>
        <w:jc w:val="left"/>
        <w:rPr>
          <w:rFonts w:ascii="Times New Roman" w:hAnsi="Times New Roman"/>
          <w:sz w:val="20"/>
        </w:rPr>
      </w:pPr>
      <w:r>
        <w:rPr>
          <w:rFonts w:ascii="Times New Roman" w:hAnsi="Times New Roman"/>
          <w:sz w:val="20"/>
        </w:rPr>
        <w:t xml:space="preserve">Based on the data observed from the ongoing IIT and the Phase 2 part of the Phase 2/3 clinical trial, Serapha intends to engage in discussions with the FDA to discuss the next steps in the SERP-01 development plan for PiZZ AATD. Subject to the outcome of Serapha’s discussions with the FDA and European regulatory authorities, Serapha anticipates initiating the Phase 3 part of the Phase 2/3 clinical trial of SERP-01 for PiZZ AATD in each of the United States and the European Union in 2027. </w:t>
      </w:r>
    </w:p>
    <w:p>
      <w:pPr>
        <w:pStyle w:val="TextBody"/>
        <w:bidi w:val="0"/>
        <w:spacing w:before="240" w:after="0"/>
        <w:jc w:val="left"/>
        <w:rPr>
          <w:rFonts w:ascii="Times New Roman" w:hAnsi="Times New Roman"/>
          <w:sz w:val="20"/>
        </w:rPr>
      </w:pPr>
      <w:r>
        <w:rPr>
          <w:rFonts w:ascii="Times New Roman" w:hAnsi="Times New Roman"/>
          <w:sz w:val="20"/>
        </w:rPr>
        <w:t xml:space="preserve">In May 2026, the FDA granted SERP-01 orphan drug designation for the treatment of PiZZ AATD and RMAT designation. Serapha intends to pursue a development path to support accelerated approval based on restoration of serum AAT as a surrogate endpoint designed to predict clinical benefit.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Clinical drug supply used in the IIT was manufactured at YolTech’s current good manufacturing practice (“cGMP”)-compliant facility. YolTech’s manufacturing process and facility have been used to produce multiple </w:t>
      </w:r>
      <w:r>
        <w:rPr>
          <w:rFonts w:ascii="Times New Roman" w:hAnsi="Times New Roman"/>
          <w:i/>
          <w:sz w:val="20"/>
        </w:rPr>
        <w:t>in vivo</w:t>
      </w:r>
      <w:r>
        <w:rPr>
          <w:rFonts w:ascii="Times New Roman" w:hAnsi="Times New Roman"/>
          <w:sz w:val="20"/>
        </w:rPr>
        <w:t xml:space="preserve"> and </w:t>
      </w:r>
      <w:r>
        <w:rPr>
          <w:rFonts w:ascii="Times New Roman" w:hAnsi="Times New Roman"/>
          <w:i/>
          <w:sz w:val="20"/>
        </w:rPr>
        <w:t>ex vivo</w:t>
      </w:r>
      <w:r>
        <w:rPr>
          <w:rFonts w:ascii="Times New Roman" w:hAnsi="Times New Roman"/>
          <w:sz w:val="20"/>
        </w:rPr>
        <w:t xml:space="preserve"> base editing product candidates that have been evaluated or are being evaluated in clinical trials. Serapha believes its current manufacturing process is sufficient to support dosing of additional patients in the ongoing IIT and to provide initial clinical supply for the U.S. Phase 2 portion of the Phase 2/3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As Serapha scales manufacturing of SERP-01 to support potential future registrational studies and commercial demand, Serapha has initiated a technology transfer of YolTech’s manufacturing process for SERP-01 to another cGMP-compliant manufacturing facility. Serapha intends to transfer manufacturing to FDA-, European Medicines Agency-, and Pharmaceuticals and Medical Devices Agency-inspected commercial-scale CDMOs in the United States and Europe to support late-stage clinical development and potential commercial supply. Serapha expects to conduct appropriate comparability studies between clinical material manufactured by YolTech and material produced at the new manufacturing sites, as required to support regulatory submissions. </w:t>
      </w:r>
    </w:p>
    <w:p>
      <w:pPr>
        <w:pStyle w:val="TextBody"/>
        <w:bidi w:val="0"/>
        <w:spacing w:before="240" w:after="0"/>
        <w:jc w:val="left"/>
        <w:rPr>
          <w:rFonts w:ascii="Times New Roman" w:hAnsi="Times New Roman"/>
          <w:sz w:val="20"/>
        </w:rPr>
      </w:pPr>
      <w:r>
        <w:rPr>
          <w:rFonts w:ascii="Times New Roman" w:hAnsi="Times New Roman"/>
          <w:sz w:val="20"/>
        </w:rPr>
        <w:t xml:space="preserve">Serapha is working with qualified cGMP-compliant manufacturing partners capable of producing each key component of SERP-01, including plasmid DNA, mRNA produced through </w:t>
      </w:r>
      <w:r>
        <w:rPr>
          <w:rFonts w:ascii="Times New Roman" w:hAnsi="Times New Roman"/>
          <w:i/>
          <w:sz w:val="20"/>
        </w:rPr>
        <w:t>in vitro</w:t>
      </w:r>
      <w:r>
        <w:rPr>
          <w:rFonts w:ascii="Times New Roman" w:hAnsi="Times New Roman"/>
          <w:sz w:val="20"/>
        </w:rPr>
        <w:t xml:space="preserve"> transcription, gRNA, LNP formulation, and fill-finish services. Serapha intends to use SERP-01 manufactured by qualified third-party manufacturers in future U.S. clinical trials and expects to rely on a network of third-party manufacturing partners to support long-term clinical and potential commercial supply globally.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left"/>
        <w:rPr>
          <w:rFonts w:ascii="Times New Roman" w:hAnsi="Times New Roman"/>
          <w:b/>
          <w:i/>
          <w:sz w:val="20"/>
        </w:rPr>
      </w:pPr>
      <w:bookmarkStart w:id="61" w:name="tx108148_709"/>
      <w:bookmarkEnd w:id="61"/>
      <w:r>
        <w:rPr>
          <w:rFonts w:ascii="Times New Roman" w:hAnsi="Times New Roman"/>
          <w:b/>
          <w:i/>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entered into an exclusive sub-licensable, royalty-bearing license agreement (the “YolTech License Agreement”) with YolTech under which Serapha obtained worldwide rights, excluding Greater China, to develop, manufacture and commercialize SERP-01 and other </w:t>
      </w:r>
      <w:r>
        <w:rPr>
          <w:rFonts w:ascii="Times New Roman" w:hAnsi="Times New Roman"/>
          <w:i/>
          <w:sz w:val="20"/>
        </w:rPr>
        <w:t>SERPINA1</w:t>
      </w:r>
      <w:r>
        <w:rPr>
          <w:rFonts w:ascii="Times New Roman" w:hAnsi="Times New Roman"/>
          <w:sz w:val="20"/>
        </w:rPr>
        <w:t xml:space="preserve">-directed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warrant to purchase shares of non-voting Serapha Series A-1 Preferred Stock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YolTech Warrant will be adjusted such that, after giving effect to the Merger and the application of the Exchange Ratio, those shares represent 19.53% of the fully-diluted capitalization of the Combined Company (after taking into account the 2026 Stock Plan and 2026 ESPP). YolTech is also eligible to receive up to approximately $167.0 million in certain development and regulatory milestone payments and up to approximately $1.88 billion in sales-based milestone payments, as well as tiered royalties of a percentage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w:t>
      </w:r>
      <w:r>
        <w:rPr>
          <w:rFonts w:ascii="Times New Roman" w:hAnsi="Times New Roman"/>
          <w:i/>
          <w:sz w:val="20"/>
        </w:rPr>
        <w:t>SERPINA1</w:t>
      </w:r>
      <w:r>
        <w:rPr>
          <w:rFonts w:ascii="Times New Roman" w:hAnsi="Times New Roman"/>
          <w:sz w:val="20"/>
        </w:rPr>
        <w:t xml:space="preserve">-directed gene therapies, subject to customary acquisition-related exceptions. Serapha may terminate the agreement for convenience on prior notice, and each 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highly competitive and subject to rapid technological change. Serapha faces competition from established augmentation therapies and from a number of companies developing genetic medicines for AATD. In particular, the field of genetic medicines is characterized by rapidly advancing technologies, intense competition and a strong emphasis on proprietary products. </w:t>
      </w:r>
    </w:p>
    <w:p>
      <w:pPr>
        <w:pStyle w:val="TextBody"/>
        <w:bidi w:val="0"/>
        <w:spacing w:before="240" w:after="0"/>
        <w:jc w:val="left"/>
        <w:rPr>
          <w:rFonts w:ascii="Times New Roman" w:hAnsi="Times New Roman"/>
          <w:sz w:val="20"/>
        </w:rPr>
      </w:pPr>
      <w:r>
        <w:rPr>
          <w:rFonts w:ascii="Times New Roman" w:hAnsi="Times New Roman"/>
          <w:sz w:val="20"/>
        </w:rPr>
        <w:t xml:space="preserve">Approved augmentation therapies for AATD are marketed by companies including Grifols SA, Takeda Pharmaceutical Company Limited and CSL Behring. </w:t>
      </w:r>
    </w:p>
    <w:p>
      <w:pPr>
        <w:pStyle w:val="TextBody"/>
        <w:bidi w:val="0"/>
        <w:spacing w:before="240" w:after="0"/>
        <w:jc w:val="left"/>
        <w:rPr>
          <w:rFonts w:ascii="Times New Roman" w:hAnsi="Times New Roman"/>
          <w:sz w:val="20"/>
        </w:rPr>
      </w:pPr>
      <w:r>
        <w:rPr>
          <w:rFonts w:ascii="Times New Roman" w:hAnsi="Times New Roman"/>
          <w:sz w:val="20"/>
        </w:rPr>
        <w:t xml:space="preserve">At this time, there is no FDA- or EMA-approved disease-modifying therapy for AATD. However, a number of companies are developing drug candidates for AATD. Serapha is aware of companies exploring base editing treatments, including Beam Therapeutics Inc., which is conducting a Phase 1/2 clinical trial of BEAM-302, an </w:t>
      </w:r>
      <w:r>
        <w:rPr>
          <w:rFonts w:ascii="Times New Roman" w:hAnsi="Times New Roman"/>
          <w:i/>
          <w:sz w:val="20"/>
        </w:rPr>
        <w:t>in</w:t>
      </w:r>
      <w:r>
        <w:rPr>
          <w:rFonts w:ascii="Times New Roman" w:hAnsi="Times New Roman"/>
          <w:sz w:val="20"/>
        </w:rPr>
        <w:t xml:space="preserve"> </w:t>
      </w:r>
      <w:r>
        <w:rPr>
          <w:rFonts w:ascii="Times New Roman" w:hAnsi="Times New Roman"/>
          <w:i/>
          <w:sz w:val="20"/>
        </w:rPr>
        <w:t>vivo</w:t>
      </w:r>
      <w:r>
        <w:rPr>
          <w:rFonts w:ascii="Times New Roman" w:hAnsi="Times New Roman"/>
          <w:sz w:val="20"/>
        </w:rPr>
        <w:t xml:space="preserve"> LNP-delivered adenine base editor targeting the same mutation (E342K) as SERP-01. In addition to a base editing solution, alternative approaches in clinical development for treatment of AATD include other editing or gene-modifying, RNA-editing and RNA interference technologies. Potential competitors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Other gene editing or gene modifying approaches.</w:t>
            </w:r>
            <w:r>
              <w:rPr>
                <w:rFonts w:ascii="Times New Roman" w:hAnsi="Times New Roman"/>
                <w:sz w:val="20"/>
              </w:rPr>
              <w:t xml:space="preserve"> Tessera Therapeutics, Inc. and Regeneron Pharmaceuticals, Inc., which are collaborating on a Phase 1/2 clinical trial in AATD. CRISPR Therapeutics AG, which has initiated a Phase 1 clinical trial in AATD.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RNA editing (repeat dosing).</w:t>
            </w:r>
            <w:r>
              <w:rPr>
                <w:rFonts w:ascii="Times New Roman" w:hAnsi="Times New Roman"/>
                <w:sz w:val="20"/>
              </w:rPr>
              <w:t xml:space="preserve"> Wave Life Sciences Ltd., which is conducting a Phase 1b/2a clinical trial in AATD.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RNA interference (repeat dosing).</w:t>
            </w:r>
            <w:r>
              <w:rPr>
                <w:rFonts w:ascii="Times New Roman" w:hAnsi="Times New Roman"/>
                <w:sz w:val="20"/>
              </w:rPr>
              <w:t xml:space="preserve"> Takeda Pharmaceutical Company Limited and Arrowhead Pharmaceuticals Inc., which are conducting a Phase 3 clinical trial in AATD.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 believes the principal competitive factors in its market include the magnitude and durability of restoration of functional AAT, the breadth of clinical benefit across lung and liver disease, safety and tolerability, the convenience of a potential one-time versus a repeat dosing regimen, manufacturing scalability and cost, intellectual property position, and the timing and scope of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Serapha’s commercial success depends in part on its ability to obtain and maintain patent and other proprietary protection for SERP-01, to operate without infringing the valid and enforceable intellectual property rights of others, and to protect its trade secrets and know-how. Serapha expects to rely on a combination of patents, patent applications, trade secrets, know-how and in-licensed rights, including rights obtained from YolTech relating to the components of SERP-01 and its formulation and manufacturing processes. </w:t>
      </w:r>
    </w:p>
    <w:p>
      <w:pPr>
        <w:pStyle w:val="TextBody"/>
        <w:bidi w:val="0"/>
        <w:spacing w:before="240" w:after="0"/>
        <w:jc w:val="left"/>
        <w:rPr>
          <w:rFonts w:ascii="Times New Roman" w:hAnsi="Times New Roman"/>
          <w:sz w:val="20"/>
        </w:rPr>
      </w:pPr>
      <w:r>
        <w:rPr>
          <w:rFonts w:ascii="Times New Roman" w:hAnsi="Times New Roman"/>
          <w:sz w:val="20"/>
        </w:rPr>
        <w:t xml:space="preserve">Serapha’s intellectual property portfolio relating to SERP-01 consists primarily of rights in-licensed from YolTech, together with rights Serapha may develop or acquire. The in-licensed rights include patents and patent applications directed to the proprietary adenine base editor used in SERP-01, the </w:t>
      </w:r>
      <w:r>
        <w:rPr>
          <w:rFonts w:ascii="Times New Roman" w:hAnsi="Times New Roman"/>
          <w:i/>
          <w:sz w:val="20"/>
        </w:rPr>
        <w:t>SERPINA1</w:t>
      </w:r>
      <w:r>
        <w:rPr>
          <w:rFonts w:ascii="Times New Roman" w:hAnsi="Times New Roman"/>
          <w:sz w:val="20"/>
        </w:rPr>
        <w:t xml:space="preserve">-targeting gRNA and related editing compositions, the LNP formulation used to deliver SERP-01, and methods of treating AATD using these compositions. Under the YolTech License Agreement, Serapha holds rights to develop, manufacture and commercialize SERP-01 worldwide, excluding Greater China, and to prosecute and maintain certain of the licensed patent rights in such territory, in each case subject to the terms of the license. </w:t>
      </w:r>
    </w:p>
    <w:p>
      <w:pPr>
        <w:pStyle w:val="TextBody"/>
        <w:bidi w:val="0"/>
        <w:spacing w:before="240" w:after="0"/>
        <w:jc w:val="left"/>
        <w:rPr>
          <w:rFonts w:ascii="Times New Roman" w:hAnsi="Times New Roman"/>
          <w:sz w:val="20"/>
        </w:rPr>
      </w:pPr>
      <w:r>
        <w:rPr>
          <w:rFonts w:ascii="Times New Roman" w:hAnsi="Times New Roman"/>
          <w:sz w:val="20"/>
        </w:rPr>
        <w:t xml:space="preserve">Serapha’s in-licensed patent estate comprises five patent families, predominantly of Chinese origin with national-stage and counterpart filings in the United States, Europe, Japan and South Korea. These patent families are collectively directed to (i) compositions and methods for treating AATD by editing the </w:t>
      </w:r>
      <w:r>
        <w:rPr>
          <w:rFonts w:ascii="Times New Roman" w:hAnsi="Times New Roman"/>
          <w:i/>
          <w:sz w:val="20"/>
        </w:rPr>
        <w:t>SERPINA1</w:t>
      </w:r>
      <w:r>
        <w:rPr>
          <w:rFonts w:ascii="Times New Roman" w:hAnsi="Times New Roman"/>
          <w:sz w:val="20"/>
        </w:rPr>
        <w:t xml:space="preserve"> gene, (ii) the ionizable lipid and lipid nanoparticle technology used to deliver SERP-01, and (iii) the adenine deaminases and base-editor systems comprising the proprietary adenine base editor. The earliest patent family, directed to a proprietary adenine base editor, claims priority to 2022 and has issued in China, with national applications pending in other jurisdictions; the remaining families claim priority between 2023 and 2025 and are pending. Absent any patent term adjustment or extension, Serapha expects the issued and pending patents in these patent families to expire between 2043 and 2046.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Serapha relies on trade secrets, know-how and proprietary technology, including with respect to the manufacture and formulation of SERP-01, which Serapha seeks to protect through confidentiality and invention-assignment agreements with its employees, consultants and advisers and through other security measures, although these measures may not provide adequate protection. Serapha also seeks to protect its corporate and product brands through trademarks.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products (“biologics”) such as those Serapha is developing. Serapha, along with third-party contractors, will be required to navigate the various preclinical, clinical and commercial approval requirements of the governing regulatory agencies of the countries in which Serapha wishes to conduct studies or seek approval or licensure of its product 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Serapha and its products or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and animal studies performed in accordance with the FDA’s current GLP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which must become effective before clinical trials may begin and must be updated annually or when significant changes are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the trial is commenced;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manufacture of the proposed biologic candidate in accordance with cGMPs;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(“GCP”) requirements to establish the safety, purity and potency of the proposed biologic product candidate for its intended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and submission to the FDA of a biologics license application (“BLA”), after completion of all pivotal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a BLA to permit commercial marketing of the product for particular indications for use in the United States.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Preclinical and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Prior to beginning any clinical trial with a product candidate in the United States, Serapha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In April 2025, the FDA published a roadmap to reduce animal testing in preclinical safety studies, including those required in INDs, with scientifically validated new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methodologies.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BLA approval, human clinical trials are typically conducted in three sequential phases that may overlap.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w:t>
      </w:r>
    </w:p>
    <w:p>
      <w:pPr>
        <w:pStyle w:val="TextBody"/>
        <w:bidi w:val="0"/>
        <w:spacing w:before="360" w:after="0"/>
        <w:jc w:val="left"/>
        <w:rPr>
          <w:rFonts w:ascii="Times New Roman" w:hAnsi="Times New Roman"/>
          <w:b/>
          <w:sz w:val="20"/>
        </w:rPr>
      </w:pPr>
      <w:r>
        <w:rPr>
          <w:rFonts w:ascii="Times New Roman" w:hAnsi="Times New Roman"/>
          <w:b/>
          <w:sz w:val="20"/>
        </w:rPr>
        <w:t xml:space="preserve">BLA Submission and Review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within 60 days after an end-of-Phase 2 meeting or as may be agreed between the sponsor and FDA. Unless otherwise required by regulation, PREA does not apply to any biological product for an indication for which orphan designation has been granted, except that PREA will apply to an original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10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Considerations for Gene Therapy Products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regulations discussed above, there are a number of additional considerations that apply to clinical trials involving the use of gene therapy. Supervision of human gene transfer trials includes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The FDA has issued various guidance documents regarding gene therapies, which outline additional factors that the FDA will consider at each of the above stages of development and relate to, among other things: the proper preclinical assessment of gene therapies; the chemistry, manufacturing and controls information that should be included in an IND; the proper design of tests to measure product efficacy or potency in support of an IND or BLA; and measures to observe delayed adverse effects in subjects who have been exposed to investigational gene therapies when the risk of such effects is high. For instance, the FDA usually recommends that sponsors observe all surviving subjects who receive treatment using gene therapies that are based on adeno-associated virus vectors in clinical trials for potential gene therapy-related delayed adverse events for a minimum five-year period. The FDA does not require the long-term tracking to be complete prior to its review of the BLA. </w:t>
      </w:r>
    </w:p>
    <w:p>
      <w:pPr>
        <w:pStyle w:val="TextBody"/>
        <w:bidi w:val="0"/>
        <w:spacing w:before="360" w:after="0"/>
        <w:jc w:val="left"/>
        <w:rPr>
          <w:rFonts w:ascii="Times New Roman" w:hAnsi="Times New Roman"/>
          <w:b/>
          <w:sz w:val="20"/>
        </w:rPr>
      </w:pPr>
      <w:r>
        <w:rPr>
          <w:rFonts w:ascii="Times New Roman" w:hAnsi="Times New Roman"/>
          <w:b/>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serious or life-threatening disease or condition and data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 Serapha intends to pursue a development path to support accelerated approval of SERP-01 based on restoration of serum AAT as a surrogate endpoint designed to predict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In 2017, the FDA established a new regenerative medicine advanced therapy (“RMAT”) designation as part of its implementation of the 21st Century Cures Act (the “Cures Act”). The RMAT designation program is intended to fulfill the Cures Act requirement that the FDA facilitate an efficient development program for, and expedite review of, any drug that meets the following criteria: (i) the drug qualifies as an RMAT, which is defined as a cell therapy, therapeutic tissue engineering product, human cell and tissue product, or any combination product using such therapies or products, with limited exceptions; (ii) the drug is intended to treat, modify, reverse, or cure a serious or life-threatening disease or condition; and (iii) preliminary clinical evidence indicates that the drug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w:t>
      </w:r>
    </w:p>
    <w:p>
      <w:pPr>
        <w:pStyle w:val="TextBody"/>
        <w:bidi w:val="0"/>
        <w:spacing w:before="240" w:after="0"/>
        <w:jc w:val="left"/>
        <w:rPr>
          <w:rFonts w:ascii="Times New Roman" w:hAnsi="Times New Roman"/>
          <w:sz w:val="20"/>
        </w:rPr>
      </w:pPr>
      <w:r>
        <w:rPr>
          <w:rFonts w:ascii="Times New Roman" w:hAnsi="Times New Roman"/>
          <w:sz w:val="20"/>
        </w:rPr>
        <w:t xml:space="preserve">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When appropriate, the FDA can permit fulfillment of post-approval requirements for an RMAT that has received accelerated approval through: the submission of clinical evidence, preclinical studies, clinical trials, patient registries or other sources of real world evidence such as electronic health records; the collection of larger confirmatory datasets; or post-approval monitoring of all patients treated with the therapy prior to approval. In May 2026, the FDA granted RMAT designation to SERP-01 for the treatment of PiZZ AATD. </w:t>
      </w:r>
    </w:p>
    <w:p>
      <w:pPr>
        <w:pStyle w:val="TextBody"/>
        <w:bidi w:val="0"/>
        <w:spacing w:before="240" w:after="0"/>
        <w:jc w:val="left"/>
        <w:rPr>
          <w:rFonts w:ascii="Times New Roman" w:hAnsi="Times New Roman"/>
          <w:sz w:val="20"/>
        </w:rPr>
      </w:pPr>
      <w:r>
        <w:rPr>
          <w:rFonts w:ascii="Times New Roman" w:hAnsi="Times New Roman"/>
          <w:sz w:val="20"/>
        </w:rPr>
        <w:t xml:space="preserve">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 </w:t>
      </w:r>
    </w:p>
    <w:p>
      <w:pPr>
        <w:pStyle w:val="TextBody"/>
        <w:bidi w:val="0"/>
        <w:spacing w:before="240" w:after="0"/>
        <w:jc w:val="left"/>
        <w:rPr>
          <w:rFonts w:ascii="Times New Roman" w:hAnsi="Times New Roman"/>
          <w:sz w:val="20"/>
        </w:rPr>
      </w:pPr>
      <w:r>
        <w:rPr>
          <w:rFonts w:ascii="Times New Roman" w:hAnsi="Times New Roman"/>
          <w:sz w:val="20"/>
        </w:rPr>
        <w:t xml:space="preserve">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there is evidence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 Serapha has not sought priority review for SERP-01 to date, but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Fast track designation, breakthrough therapy designation, RMAT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360" w:after="0"/>
        <w:jc w:val="left"/>
        <w:rPr>
          <w:rFonts w:ascii="Times New Roman" w:hAnsi="Times New Roman"/>
          <w:b/>
          <w:sz w:val="20"/>
        </w:rPr>
      </w:pPr>
      <w:r>
        <w:rPr>
          <w:rFonts w:ascii="Times New Roman" w:hAnsi="Times New Roman"/>
          <w:b/>
          <w:sz w:val="20"/>
        </w:rPr>
        <w:t xml:space="preserve">Orphan Drug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of 1983, the FDA may grant orphan drug designation to a product candidate intended to treat a rare disease or condition, which is generally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product candidate. Orphan drug designation must be requested before submitting a BLA. After the FDA grants orphan drug designation, the identity of the therapeutic agent and its potential orphan use are disclosed publicly by the FDA. The orphan drug designation does not convey any advantage in, or shorten the duration of, the regulatory review or approval process. In May 2026, the FDA granted SERP-01 orphan drug designation for the treatment of PiZZ AATD.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approved use or indication for seven years, except in limited circumstances, such as a showing of clinical superiority to the product with orphan drug exclusivity by means of greater effectiveness, greater safety or providing a major contribution to patient care or if the holder of the orphan drug exclusivity cannot assure the availability of sufficient quantities of the orphan drug to meet the needs of patients with the same use or indication for which the already-approved or licensed product was approved or licensed.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 </w:t>
      </w:r>
    </w:p>
    <w:p>
      <w:pPr>
        <w:pStyle w:val="TextBody"/>
        <w:bidi w:val="0"/>
        <w:spacing w:before="240" w:after="0"/>
        <w:jc w:val="left"/>
        <w:rPr>
          <w:rFonts w:ascii="Times New Roman" w:hAnsi="Times New Roman"/>
          <w:sz w:val="20"/>
        </w:rPr>
      </w:pPr>
      <w:r>
        <w:rPr>
          <w:rFonts w:ascii="Times New Roman" w:hAnsi="Times New Roman"/>
          <w:sz w:val="20"/>
        </w:rPr>
        <w:t xml:space="preserve">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is some uncertainty with respect to the FDA’s interpretation of the scope of orphan drug exclusivity. Historically, exclusivity was specific to the orphan indication for which the drug was approved. As a result, the scope of exclusivity was interpreted as preventing approval of a competing product. However, in 2021,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of Appeals for the Eleventh Circuit in </w:t>
      </w:r>
      <w:r>
        <w:rPr>
          <w:rFonts w:ascii="Times New Roman" w:hAnsi="Times New Roman"/>
          <w:i/>
          <w:sz w:val="20"/>
        </w:rPr>
        <w:t>Catalyst Pharmaceuticals, Inc. v. Becerra</w:t>
      </w:r>
      <w:r>
        <w:rPr>
          <w:rFonts w:ascii="Times New Roman" w:hAnsi="Times New Roman"/>
          <w:sz w:val="20"/>
        </w:rPr>
        <w:t xml:space="preserve"> suggested that orphan drug exclusivity covers the full scope of the orphan-designated “disease or condition” regardless of whether a drug obtained approval for a narrower use. </w:t>
      </w:r>
    </w:p>
    <w:p>
      <w:pPr>
        <w:pStyle w:val="TextBody"/>
        <w:bidi w:val="0"/>
        <w:spacing w:before="360" w:after="0"/>
        <w:jc w:val="left"/>
        <w:rPr>
          <w:rFonts w:ascii="Times New Roman" w:hAnsi="Times New Roman"/>
          <w:b/>
          <w:sz w:val="20"/>
        </w:rPr>
      </w:pPr>
      <w:r>
        <w:rPr>
          <w:rFonts w:ascii="Times New Roman" w:hAnsi="Times New Roman"/>
          <w:b/>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products manufactured or distributed by Serapha pursuant to FDA approvals are subject to pervasive and continuing regulation by the FDA, including, among other things, requirements relating to record 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Serapha and its third-party manufacturers. Changes to the manufacturing process are strictly regulated, and, depending on the significance of the change, may require prior FDA approval before being implemented. </w:t>
      </w:r>
    </w:p>
    <w:p>
      <w:pPr>
        <w:pStyle w:val="TextBody"/>
        <w:bidi w:val="0"/>
        <w:spacing w:before="240" w:after="0"/>
        <w:jc w:val="left"/>
        <w:rPr>
          <w:rFonts w:ascii="Times New Roman" w:hAnsi="Times New Roman"/>
          <w:sz w:val="20"/>
        </w:rPr>
      </w:pPr>
      <w:r>
        <w:rPr>
          <w:rFonts w:ascii="Times New Roman" w:hAnsi="Times New Roman"/>
          <w:sz w:val="20"/>
        </w:rPr>
        <w:t xml:space="preserve">FDA regulations also require investigation and correction of any deviations from cGMPs and impose reporting requirements upon Serapha and any third-party manufacturers that it may decide to use. Accordingly, manufacturers must continue to expend time, money and effort in the area of production and quality control to maintain compliance with cGMPs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a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existing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of the FDA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Serapha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Biosimilars and Reference Product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w:t>
      </w:r>
    </w:p>
    <w:p>
      <w:pPr>
        <w:pStyle w:val="TextBody"/>
        <w:bidi w:val="0"/>
        <w:spacing w:before="240" w:after="0"/>
        <w:jc w:val="left"/>
        <w:rPr>
          <w:rFonts w:ascii="Times New Roman" w:hAnsi="Times New Roman"/>
          <w:sz w:val="20"/>
        </w:rPr>
      </w:pPr>
      <w:r>
        <w:rPr>
          <w:rFonts w:ascii="Times New Roman" w:hAnsi="Times New Roman"/>
          <w:sz w:val="20"/>
        </w:rPr>
        <w:t xml:space="preserve">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w:t>
      </w:r>
    </w:p>
    <w:p>
      <w:pPr>
        <w:pStyle w:val="TextBody"/>
        <w:bidi w:val="0"/>
        <w:spacing w:before="240" w:after="0"/>
        <w:jc w:val="left"/>
        <w:rPr>
          <w:rFonts w:ascii="Times New Roman" w:hAnsi="Times New Roman"/>
          <w:sz w:val="20"/>
        </w:rPr>
      </w:pPr>
      <w:r>
        <w:rPr>
          <w:rFonts w:ascii="Times New Roman" w:hAnsi="Times New Roman"/>
          <w:sz w:val="20"/>
        </w:rPr>
        <w:t xml:space="preserve">The FDA has issued guidance documents intended to inform prospective applicants and facilitate the development of proposed biosimilars and interchangeable biosimilars, as well as to describe the FDA’s interpretation of certain statutory requirements added by the BPCIA.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240" w:after="0"/>
        <w:jc w:val="left"/>
        <w:rPr>
          <w:rFonts w:ascii="Times New Roman" w:hAnsi="Times New Roman"/>
          <w:sz w:val="20"/>
        </w:rPr>
      </w:pPr>
      <w:r>
        <w:rPr>
          <w:rFonts w:ascii="Times New Roman" w:hAnsi="Times New Roman"/>
          <w:sz w:val="20"/>
        </w:rPr>
        <w:t xml:space="preserve">The BPCIA is complex and continues to be interpreted and implemented by the FDA.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are subject to significant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Patent Term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later of the effective date of an IND and the issue date of the patent for which extension is sought, and the submission date of a BLA, plus the time between the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Serapha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U.S. </w:t>
      </w:r>
    </w:p>
    <w:p>
      <w:pPr>
        <w:pStyle w:val="TextBody"/>
        <w:bidi w:val="0"/>
        <w:spacing w:before="360" w:after="0"/>
        <w:jc w:val="left"/>
        <w:rPr>
          <w:rFonts w:ascii="Times New Roman" w:hAnsi="Times New Roman"/>
          <w:b/>
          <w:sz w:val="20"/>
        </w:rPr>
      </w:pPr>
      <w:r>
        <w:rPr>
          <w:rFonts w:ascii="Times New Roman" w:hAnsi="Times New Roman"/>
          <w:b/>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 </w:t>
      </w:r>
    </w:p>
    <w:p>
      <w:pPr>
        <w:pStyle w:val="TextBody"/>
        <w:bidi w:val="0"/>
        <w:spacing w:before="240" w:after="0"/>
        <w:jc w:val="left"/>
        <w:rPr>
          <w:rFonts w:ascii="Times New Roman" w:hAnsi="Times New Roman"/>
          <w:sz w:val="20"/>
        </w:rPr>
      </w:pPr>
      <w:r>
        <w:rPr>
          <w:rFonts w:ascii="Times New Roman" w:hAnsi="Times New Roman"/>
          <w:sz w:val="20"/>
        </w:rPr>
        <w:t xml:space="preserve">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commercial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AKS prosecution, but they are drawn narrowly and practices that involve remuneration, such as consulting agreements, for persons in a position to refer or recommend federally reimbursable healthcare business may be alleged to be intended to induce prescribing, purchasing or recommending, and may be subject to scrutiny if they do not qualify for an exception or regulatory safe harbor. Qualifying for a statutory exception or regulatory safe harbor requires satisfying all of the criteria for the exception or safe harbor. Serapha’s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but it does increase the risk of regulatory scrutiny. Ultimately,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FCA, which can be enforced through civil whistleblower or qui tam actions, prohibits,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w:t>
      </w:r>
    </w:p>
    <w:p>
      <w:pPr>
        <w:pStyle w:val="TextBody"/>
        <w:bidi w:val="0"/>
        <w:spacing w:before="240" w:after="0"/>
        <w:jc w:val="left"/>
        <w:rPr>
          <w:rFonts w:ascii="Times New Roman" w:hAnsi="Times New Roman"/>
          <w:sz w:val="20"/>
        </w:rPr>
      </w:pPr>
      <w:r>
        <w:rPr>
          <w:rFonts w:ascii="Times New Roman" w:hAnsi="Times New Roman"/>
          <w:sz w:val="20"/>
        </w:rPr>
        <w:t xml:space="preserve">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&amp; Medicaid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 </w:t>
      </w:r>
    </w:p>
    <w:p>
      <w:pPr>
        <w:pStyle w:val="TextBody"/>
        <w:bidi w:val="0"/>
        <w:spacing w:before="240" w:after="0"/>
        <w:jc w:val="left"/>
        <w:rPr>
          <w:rFonts w:ascii="Times New Roman" w:hAnsi="Times New Roman"/>
          <w:sz w:val="20"/>
        </w:rPr>
      </w:pPr>
      <w:r>
        <w:rPr>
          <w:rFonts w:ascii="Times New Roman" w:hAnsi="Times New Roman"/>
          <w:sz w:val="20"/>
        </w:rPr>
        <w:t xml:space="preserve">Serapha is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and/or discounts on approved products. Federal consumer protection and unfair competition laws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Serapha is also subject to additional similar U.S. state and foreign law equivalents of each of the above federal laws, which, in some cases, differ from each other in significant ways, and may not have the same effect, thus complicating compliance efforts. If Serapha’s operations are found to be in violation of any of such laws or any other governmental regulations that apply, it may be subject to penalties, including, without limitation, civil, criminal and administrative penalties, damages, fines, exclusion from government-funded healthcare programs, such as Medicare and Medicaid or similar programs in other countries or jurisdictions, integrity oversight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obligations to resolve allegations of non-compliance, disgorgement, individual imprisonment, contractual damages, reputational harm, diminished profits and the curtailment or restructuring of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and could apply to Serapha’s operations or the operations of its partners. </w:t>
      </w:r>
    </w:p>
    <w:p>
      <w:pPr>
        <w:pStyle w:val="TextBody"/>
        <w:bidi w:val="0"/>
        <w:spacing w:before="240" w:after="0"/>
        <w:jc w:val="left"/>
        <w:rPr>
          <w:rFonts w:ascii="Times New Roman" w:hAnsi="Times New Roman"/>
          <w:sz w:val="20"/>
        </w:rPr>
      </w:pPr>
      <w:r>
        <w:rPr>
          <w:rFonts w:ascii="Times New Roman" w:hAnsi="Times New Roman"/>
          <w:sz w:val="20"/>
        </w:rPr>
        <w:t xml:space="preserve">For example, HIPAA, as amended by the Health Information Technology for Economic and Clinical Health Act (“HITECH”), and their respective implementing regulations impose data privacy, security, and breach notification obligations on certain healthcare providers, health plans and healthcare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HITECH on covered entities and business associates include entering into agreements that require business associates to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to the security and integrity of such PHI and reasonably anticipated impermissible uses or disclosures; and reporting breaches of PHI to individuals and regulators. </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Serapha submits electronic healthcare claims and payment transactions that do not comply with the electronic data transmission standards established under HIPAA and HITECH, payments to Serapha may be delayed or denied.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 health information privacy laws, such as California’s Confidentiality of Medical Information Act and Washington’s My Health My Data Act, that govern the privacy and security of health-related information, specifically, may apply even when HIPAA does not and impose additional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when HIPAA and state health information privacy laws do not apply, according to the Federal Trade Commission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 laws, such as the California Consumer Privacy Act of 2018 (“CCPA”), as amended by the California Privacy Rights Act of 2020, govern the privacy and security of personal information, including health-related information in certain circumstances, some of which are more stringent than HIPAA in various ways. Numerous other states have passed similar laws, but many differ from each other in significant ways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have the same effect, thus complicating compliance efforts. 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and is included under a new category of personal information, “sensitive personal information,” which is offered greater protection. The CCPA and numerous other comprehensive privacy laws that have passed or are being considered in other states, as well as at the federal and local levels, exempt PHI that is subject to HIPAA; and others exempt covered entities and business associates subject to HIPAA altogether, further complicating compliance efforts, and increasing legal risk and compliance costs for Serapha and the third parties upon whom it relies.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Serapha’s use of artificial intelligence and machine learning may be subject to laws and evolving regulations regarding the use of artificial intelligence and machine learning, controlling for data bias, and antidiscrimination.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sz w:val="20"/>
        </w:rPr>
      </w:pPr>
      <w:r>
        <w:rPr>
          <w:rFonts w:ascii="Times New Roman" w:hAnsi="Times New Roman"/>
          <w:b/>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Serapha’s ability to successfully commercialize its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 </w:t>
      </w:r>
    </w:p>
    <w:p>
      <w:pPr>
        <w:pStyle w:val="TextBody"/>
        <w:bidi w:val="0"/>
        <w:spacing w:before="240" w:after="0"/>
        <w:jc w:val="left"/>
        <w:rPr>
          <w:rFonts w:ascii="Times New Roman" w:hAnsi="Times New Roman"/>
          <w:sz w:val="20"/>
        </w:rPr>
      </w:pPr>
      <w:r>
        <w:rPr>
          <w:rFonts w:ascii="Times New Roman" w:hAnsi="Times New Roman"/>
          <w:sz w:val="20"/>
        </w:rPr>
        <w:t xml:space="preserve">Significant uncertainty exists as to the coverage and reimbursement status of any pharmaceutical or biological product for which Serapha obtains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Serapha’s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Serapha to provide scientific and clinical support for the use of its product candidates to each payor separately, with no assurance that coverage and adequate reimbursement will be applied consistently or obtained in the first instance. Factors payors consider in determining reimbursement are based on whether the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The Inflation Reduction Act of 2022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 </w:t>
      </w:r>
    </w:p>
    <w:p>
      <w:pPr>
        <w:pStyle w:val="TextBody"/>
        <w:bidi w:val="0"/>
        <w:spacing w:before="240" w:after="0"/>
        <w:jc w:val="left"/>
        <w:rPr>
          <w:rFonts w:ascii="Times New Roman" w:hAnsi="Times New Roman"/>
          <w:sz w:val="20"/>
        </w:rPr>
      </w:pPr>
      <w:r>
        <w:rPr>
          <w:rFonts w:ascii="Times New Roman" w:hAnsi="Times New Roman"/>
          <w:sz w:val="20"/>
        </w:rPr>
        <w:t xml:space="preserve">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Serapha cannot be sure that reimbursement will be available for any product candidate that it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w:t>
      </w:r>
    </w:p>
    <w:p>
      <w:pPr>
        <w:pStyle w:val="TextBody"/>
        <w:bidi w:val="0"/>
        <w:spacing w:before="240" w:after="0"/>
        <w:jc w:val="left"/>
        <w:rPr>
          <w:rFonts w:ascii="Times New Roman" w:hAnsi="Times New Roman"/>
          <w:sz w:val="20"/>
        </w:rPr>
      </w:pPr>
      <w:r>
        <w:rPr>
          <w:rFonts w:ascii="Times New Roman" w:hAnsi="Times New Roman"/>
          <w:sz w:val="20"/>
        </w:rPr>
        <w:t xml:space="preserve">Finally, in some foreign countries, the proposed pricing for a drug must be approved before it may be lawfully marketed. The requirements governing drug pricing vary widely from country to country. For example, the European Union (the “EU”) provides options for its member states to restrict the range of medicinal products for which their national health insurance systems provide reimbursement and to control the prices of medicinal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Serapha’s product candidates. Historically, products launched in the EU do not follow price structures of the U.S. and generally prices tend to be significantly lower. </w:t>
      </w:r>
    </w:p>
    <w:p>
      <w:pPr>
        <w:pStyle w:val="TextBody"/>
        <w:bidi w:val="0"/>
        <w:spacing w:before="360" w:after="0"/>
        <w:jc w:val="left"/>
        <w:rPr>
          <w:rFonts w:ascii="Times New Roman" w:hAnsi="Times New Roman"/>
          <w:b/>
          <w:sz w:val="20"/>
        </w:rPr>
      </w:pPr>
      <w:r>
        <w:rPr>
          <w:rFonts w:ascii="Times New Roman" w:hAnsi="Times New Roman"/>
          <w:b/>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initiatives, including those designed to limit the pricing, coverage, and reimbursement of pharmaceutical and biopharmaceutical products, especially under government-funded healthcare programs, and increased governmental control of drug pricing. </w:t>
      </w:r>
    </w:p>
    <w:p>
      <w:pPr>
        <w:pStyle w:val="TextBody"/>
        <w:bidi w:val="0"/>
        <w:spacing w:before="240" w:after="0"/>
        <w:jc w:val="left"/>
        <w:rPr>
          <w:rFonts w:ascii="Times New Roman" w:hAnsi="Times New Roman"/>
          <w:sz w:val="20"/>
        </w:rPr>
      </w:pPr>
      <w:r>
        <w:rPr>
          <w:rFonts w:ascii="Times New Roman" w:hAnsi="Times New Roman"/>
          <w:sz w:val="20"/>
        </w:rPr>
        <w:t xml:space="preserve">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and Congressional challenges to certain aspects of the ACA, and Serapha expects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May 2025, the Trump Administration renewed the idea of international reference pricing through an executive order entitled “Delivering Most-Favored-Nation Prescription Drug Pricing to American Patients,” which,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directs HHS and other agencies to communicate most favored nation (“MFN”) price targets to pharmaceutical manufacturers to bring prices for U.S. patients in line with comparably developed nations and to facilitate direct-to-consumer purchasing programs. HHS subsequently issued guidance indicating the MFN target price will be the lowest price paid in an Organisation for Economic Co-operation and Development country with a gross domestic product (“GDP”) per capita of at least 60% of the U.S. GDP per capita. In addition, in December 2025, CMS proposed new drug payment models to lower drug prices for Medicare beneficiaries; under the models, CMS would explore potential adjustments to Medicare drug inflation rebate calculations by comparison to international drug pricing information. It is currently unclear whether and to what extent these measures will be implemented and what impact any such implementation would have on Serapha’s business.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IRA, continued legislative and enforcement interest exists in the United States with respect to specialty drug pricing practices. Specifically, Serapha expects government authorities to continue pushing for transparency to drug pricing, reducing the cost of prescription drugs under Medicare, reviewing the relationship between pricing and manufacturer patient programs, and reforming government program reimbursement methodologies for drugs.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Serapha’s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Serapha’s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Other 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Serapha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and post-approval monitoring and reporting of its products. Because biologically sourced raw materials are subject to unique contamination risks, their use may be restricted in some countries.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Serapha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in the European Union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Data Laws </w:t>
      </w:r>
    </w:p>
    <w:p>
      <w:pPr>
        <w:pStyle w:val="TextBody"/>
        <w:bidi w:val="0"/>
        <w:spacing w:before="120" w:after="0"/>
        <w:jc w:val="left"/>
        <w:rPr>
          <w:rFonts w:ascii="Times New Roman" w:hAnsi="Times New Roman"/>
          <w:sz w:val="20"/>
        </w:rPr>
      </w:pPr>
      <w:r>
        <w:rPr>
          <w:rFonts w:ascii="Times New Roman" w:hAnsi="Times New Roman"/>
          <w:sz w:val="20"/>
        </w:rPr>
        <w:t xml:space="preserve">The processing of personal data, including health-related personal data, in the European Economic Area (“EEA”) is mainly governed by the provisions of the European General Data Protection Regulation (EU) 2016/679 (“GDPR”), and related data protection laws in individual EEA countries. In the United Kingdom (the “UK”), the processing of personal data is mainly governed by the GDPR as incorporated into UK law pursuant to the EU (Withdrawal) Act 2018 (the “UK GDPR”). The GDPR and UK GDPR impose a number of strict obligations and requirements for the processing, including collecting, analyzing and transferring, of personal data of individuals in the EEA or in the UK, in particular with respect to health data from clinical trials and adverse event reporting. The GDPR and UK GDPR include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obligations relating to the security and confidentiality of the personal data. EEA countries may also impose additional requirements in relation to the processing of health, genetic and biometric data through their national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GDPR imposes specific restrictions on the transfer of personal data to countries outside of the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the appropriate safeguards, data exporters, with the assistance of the data importers, are also required to conduct a transfer risk assessment to verify if anything in the law and/or practices of the third country may impinge on the effectiveness of the safeguards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transfer of data from the EEA to the UK, based on the EC’s adequacy decision of June 28, 2021 and subsequent renewals, personal data may continue to flow freely from the EEA to the UK on the basis that the UK is deemed to provide an adequate level of data protection until December 27, 2031. The adequacy decisions will automatically expire unless renewed.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transfers from the UK to other countries, these transfers are also subject to specific transfer rules under the UK regime. These UK international transfer rules broadly mirror the GDPR rules.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2022, the UK Secretary of State laid before the UK Parliament the international data transfer agreement (“IDTA”) and the international data transfer addendum to the EC’s standard contractual clauses for international data transfers (“UK Addendum”) and a document setting out transitional provisions. The IDTA and UK Addendum came into force on March 21, 2022 and are the primary UK-approved mechanisms for putting in place appropriate safeguards for UK restricted transfers, subject to transitional arrangements for legacy SCCs. Regarding transfers from the UK to the EEA, the UK Information Commissioner’s Office (“ICO”) guidance indicates that organizations do not need new arrangements. With regard to the transfer of personal data from the UK to the United States, the UK government has adopted an adequacy decision for the UK Extension to the EU-U.S. Data Privacy Framework, the UK-U.S. Data Bridge, which came into force on October 12, 2023. The UK-U.S. Data Bridge recognizes the United States as offering an adequate level of data protection where the recipient is a U.S. organization certified to the EU-U.S. Data Privacy Framework and participating in the UK Extension to the EU-U.S. Data Privacy Framework.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comply with the requirements of the GDPR or UK GDPR and the related national data protection laws of the EEA countries may result in significant monetary fines for noncompliance of up to 20 million or £17.5 million (as applicable) or 4% of the total worldwide annual turnover, whichever is greater (for higher-tier infringements). Fines under the UK GDPR are enforced by the ICO and are entirely separate from fines under the GDPR. In addition, violations of national laws can trigger additional, administrative penalties, investigations, corrective orders, temporary or definitive bans, and, in some jurisdictions, a number of criminal offenses for organizations and, in certain cases, their directors and officers, as well as civil liability claims from individuals whose personal data was processed. </w:t>
      </w:r>
    </w:p>
    <w:p>
      <w:pPr>
        <w:pStyle w:val="TextBody"/>
        <w:bidi w:val="0"/>
        <w:spacing w:before="240" w:after="0"/>
        <w:jc w:val="left"/>
        <w:rPr>
          <w:rFonts w:ascii="Times New Roman" w:hAnsi="Times New Roman"/>
          <w:sz w:val="20"/>
        </w:rPr>
      </w:pPr>
      <w:r>
        <w:rPr>
          <w:rFonts w:ascii="Times New Roman" w:hAnsi="Times New Roman"/>
          <w:sz w:val="20"/>
        </w:rPr>
        <w:t xml:space="preserve">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there are specific requirements relating to processing health data from clinical trials, including public disclosure obligations provided in the EU Clinical Trials Regulation No. 536/2014 (“CTR”), European Medicines Agency (“EMA”) disclosure initiatives and voluntary commitments by industry. Failure to comply with these obligations could lead to government enforcement actions and significant penalties against Serapha, harm to its reputation, and adversely impact its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Drug and Biologic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 </w:t>
      </w:r>
    </w:p>
    <w:p>
      <w:pPr>
        <w:pStyle w:val="TextBody"/>
        <w:bidi w:val="0"/>
        <w:spacing w:before="240" w:after="0"/>
        <w:jc w:val="left"/>
        <w:rPr>
          <w:rFonts w:ascii="Times New Roman" w:hAnsi="Times New Roman"/>
          <w:sz w:val="20"/>
        </w:rPr>
      </w:pPr>
      <w:r>
        <w:rPr>
          <w:rFonts w:ascii="Times New Roman" w:hAnsi="Times New Roman"/>
          <w:sz w:val="20"/>
        </w:rPr>
        <w:t xml:space="preserve">Under the CTR, a sponsor is able to submit a single application for approval of a clinical trial through a centralized EU clinical trials portal (the “CTIS”). One national regulatory authority (the reporting EU Member State proposed by the applicant) will take the lead in validating and evaluating the application and will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including a layperson’s summary. Since January 31, 2023, submission of initial clinical trial applications via CTIS is mandatory and CTIS serves as the single entry point for submission of clinical trial-related information and data. As of January 31, 2025, all ongoing trials approved under the former Clinical Trials Directive were required to comply with the CTR and to have transitioned to CTIS. </w:t>
      </w:r>
    </w:p>
    <w:p>
      <w:pPr>
        <w:pStyle w:val="TextBody"/>
        <w:bidi w:val="0"/>
        <w:spacing w:before="240" w:after="0"/>
        <w:jc w:val="left"/>
        <w:rPr>
          <w:rFonts w:ascii="Times New Roman" w:hAnsi="Times New Roman"/>
          <w:sz w:val="20"/>
        </w:rPr>
      </w:pPr>
      <w:r>
        <w:rPr>
          <w:rFonts w:ascii="Times New Roman" w:hAnsi="Times New Roman"/>
          <w:sz w:val="20"/>
        </w:rPr>
        <w:t xml:space="preserve">Under the CTR, national laws, regulations, and the applicable GCP and GLP standards must also be respected during the conduct of the trials, including the International Council for Harmonisation of Technical Requirements for Pharmaceuticals for Human Use guidelines on Good Clinical Practice and the ethical principles that have their origin in the Declaration of Helsinki. Under the current regime, all suspected unexpected serious adverse reactions to the investigated drug that occur during the clinical trial must be reported to the National Competent Authority and to the Ethics Committees of the EU Member State where they occur. </w:t>
      </w:r>
    </w:p>
    <w:p>
      <w:pPr>
        <w:pStyle w:val="TextBody"/>
        <w:bidi w:val="0"/>
        <w:spacing w:before="240" w:after="0"/>
        <w:jc w:val="left"/>
        <w:rPr>
          <w:rFonts w:ascii="Times New Roman" w:hAnsi="Times New Roman"/>
          <w:sz w:val="20"/>
        </w:rPr>
      </w:pPr>
      <w:r>
        <w:rPr>
          <w:rFonts w:ascii="Times New Roman" w:hAnsi="Times New Roman"/>
          <w:sz w:val="20"/>
        </w:rPr>
        <w:t xml:space="preserve">During the development of a medicinal product, the EMA and national regulators within the EU provide the opportunity for dialogue and guidance on the development program. At the EMA level, this is usually done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 </w:t>
      </w:r>
    </w:p>
    <w:p>
      <w:pPr>
        <w:pStyle w:val="TextBody"/>
        <w:bidi w:val="0"/>
        <w:spacing w:before="360" w:after="0"/>
        <w:jc w:val="left"/>
        <w:rPr>
          <w:rFonts w:ascii="Times New Roman" w:hAnsi="Times New Roman"/>
          <w:i/>
          <w:sz w:val="20"/>
        </w:rPr>
      </w:pPr>
      <w:r>
        <w:rPr>
          <w:rFonts w:ascii="Times New Roman" w:hAnsi="Times New Roman"/>
          <w:i/>
          <w:sz w:val="20"/>
        </w:rPr>
        <w:t xml:space="preserve">Drug 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EEA, after completion of all required clinical testing, pharmaceutical products may only be placed on the market after obtaining an MA. To obtain an MA of a drug under EU regulatory systems, an applicant can submit an MAA through, amongst others, a centralized or decentralized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To be used or sold in the UK, a drug must have an effective MA granted by the Medicines and Healthcare Products Regulatory Agency (“MHRA”) under the Human Medicines Regulations 2012 (SI 2012/1916), as amended. MA applications are submitted electronically via the MHRA Submissions Portal. Under the MHRA’s national assessment procedure, the MHRA generally aims to reach a decision within 210 “clock-on” days, excluding any “clock-stops” while the applicant prepares responses to MHRA questions.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2023, the MHRA published detailed guidance on its recently announced new International Recognition Procedure (“IRP”) for MAAs. The IRP has applied since January 1, 2024 and replaced the existing EU reliance procedures to apply for authorizations from seven international regulators (e.g., Health Canada, Swissmedic, the FDA and the EMA, among others). The IRP allows medicinal products approved in other jurisdictions that meet certain criteria to undergo a fast-tracked MHRA review to obtain and/or update an MA in the UK. Applicants can submit initial MAAs to the IRP but the procedure can also be used throughout the lifecycle of a product for post-authorization procedures including line extensions, variations and renewals.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The centralized procedure provides for the grant of a single MA that is issued by the EC following the scientific assessment of the application by the EMA that is valid in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diseases and other immune dysfunctions,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an MA through the centralized procedure would be in the interest of public health at EU level, an applicant may voluntarily submit an application for an MA through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CHMP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timeframe to 150 days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an MA within 67 days after receipt of the CHMP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 </w:t>
      </w:r>
    </w:p>
    <w:p>
      <w:pPr>
        <w:pStyle w:val="TextBody"/>
        <w:bidi w:val="0"/>
        <w:spacing w:before="240" w:after="0"/>
        <w:jc w:val="left"/>
        <w:rPr>
          <w:rFonts w:ascii="Times New Roman" w:hAnsi="Times New Roman"/>
          <w:sz w:val="20"/>
        </w:rPr>
      </w:pPr>
      <w:r>
        <w:rPr>
          <w:rFonts w:ascii="Times New Roman" w:hAnsi="Times New Roman"/>
          <w:sz w:val="20"/>
        </w:rPr>
        <w:t xml:space="preserve">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an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on all EU Member States. </w:t>
      </w:r>
    </w:p>
    <w:p>
      <w:pPr>
        <w:pStyle w:val="TextBody"/>
        <w:bidi w:val="0"/>
        <w:spacing w:before="360" w:after="0"/>
        <w:jc w:val="left"/>
        <w:rPr>
          <w:rFonts w:ascii="Times New Roman" w:hAnsi="Times New Roman"/>
          <w:i/>
          <w:sz w:val="20"/>
        </w:rPr>
      </w:pPr>
      <w:r>
        <w:rPr>
          <w:rFonts w:ascii="Times New Roman" w:hAnsi="Times New Roman"/>
          <w:i/>
          <w:sz w:val="20"/>
        </w:rPr>
        <w:t xml:space="preserve">Risk Management Plan </w:t>
      </w:r>
    </w:p>
    <w:p>
      <w:pPr>
        <w:pStyle w:val="TextBody"/>
        <w:bidi w:val="0"/>
        <w:spacing w:before="120" w:after="0"/>
        <w:jc w:val="left"/>
        <w:rPr>
          <w:rFonts w:ascii="Times New Roman" w:hAnsi="Times New Roman"/>
          <w:sz w:val="20"/>
        </w:rPr>
      </w:pPr>
      <w:r>
        <w:rPr>
          <w:rFonts w:ascii="Times New Roman" w:hAnsi="Times New Roman"/>
          <w:sz w:val="20"/>
        </w:rPr>
        <w:t xml:space="preserve">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the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 </w:t>
      </w:r>
    </w:p>
    <w:p>
      <w:pPr>
        <w:pStyle w:val="TextBody"/>
        <w:bidi w:val="0"/>
        <w:spacing w:before="360" w:after="0"/>
        <w:jc w:val="left"/>
        <w:rPr>
          <w:rFonts w:ascii="Times New Roman" w:hAnsi="Times New Roman"/>
          <w:i/>
          <w:sz w:val="20"/>
        </w:rPr>
      </w:pPr>
      <w:r>
        <w:rPr>
          <w:rFonts w:ascii="Times New Roman" w:hAnsi="Times New Roman"/>
          <w:i/>
          <w:sz w:val="20"/>
        </w:rPr>
        <w:t xml:space="preserve">MA Validity Period </w:t>
      </w:r>
    </w:p>
    <w:p>
      <w:pPr>
        <w:pStyle w:val="TextBody"/>
        <w:bidi w:val="0"/>
        <w:spacing w:before="120" w:after="0"/>
        <w:jc w:val="left"/>
        <w:rPr>
          <w:rFonts w:ascii="Times New Roman" w:hAnsi="Times New Roman"/>
          <w:sz w:val="20"/>
        </w:rPr>
      </w:pPr>
      <w:r>
        <w:rPr>
          <w:rFonts w:ascii="Times New Roman" w:hAnsi="Times New Roman"/>
          <w:sz w:val="20"/>
        </w:rPr>
        <w:t xml:space="preserve">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 </w:t>
      </w:r>
    </w:p>
    <w:p>
      <w:pPr>
        <w:pStyle w:val="TextBody"/>
        <w:bidi w:val="0"/>
        <w:spacing w:before="240" w:after="0"/>
        <w:jc w:val="left"/>
        <w:rPr>
          <w:rFonts w:ascii="Times New Roman" w:hAnsi="Times New Roman"/>
          <w:sz w:val="20"/>
        </w:rPr>
      </w:pPr>
      <w:r>
        <w:rPr>
          <w:rFonts w:ascii="Times New Roman" w:hAnsi="Times New Roman"/>
          <w:sz w:val="20"/>
        </w:rPr>
        <w:t xml:space="preserve">Any authorization which is not followed by the actual placing of the drug on the EU market (in the case of the centralized procedure) or on the market of the authorizing Member State within three years after authorization ceases to be valid. </w:t>
      </w:r>
    </w:p>
    <w:p>
      <w:pPr>
        <w:pStyle w:val="TextBody"/>
        <w:bidi w:val="0"/>
        <w:spacing w:before="240" w:after="0"/>
        <w:jc w:val="left"/>
        <w:rPr>
          <w:rFonts w:ascii="Times New Roman" w:hAnsi="Times New Roman"/>
          <w:sz w:val="20"/>
        </w:rPr>
      </w:pPr>
      <w:r>
        <w:rPr>
          <w:rFonts w:ascii="Times New Roman" w:hAnsi="Times New Roman"/>
          <w:sz w:val="20"/>
        </w:rPr>
        <w:t xml:space="preserve">For the UK, the period of three years during which the drug has not been marketed in Great Britain will be restarted from the date of conversion to a Great Britain MA. Following Windsor Framework changes, which became effective January 1, 2025, EU authorizations are no longer valid in Northern Ireland and centrally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authorized products are instead authorized by the MHRA under UK-wide marketing authorizations; existing licenses for products licensed by the MHRA that cover Great Britain only become geographically valid UK-wide while retaining their license number/prefix. </w:t>
      </w:r>
    </w:p>
    <w:p>
      <w:pPr>
        <w:pStyle w:val="TextBody"/>
        <w:bidi w:val="0"/>
        <w:spacing w:before="240" w:after="0"/>
        <w:jc w:val="left"/>
        <w:rPr>
          <w:rFonts w:ascii="Times New Roman" w:hAnsi="Times New Roman"/>
          <w:sz w:val="20"/>
        </w:rPr>
      </w:pPr>
      <w:r>
        <w:rPr>
          <w:rFonts w:ascii="Times New Roman" w:hAnsi="Times New Roman"/>
          <w:sz w:val="20"/>
        </w:rPr>
        <w:t xml:space="preserve">On the other hand, for the EU, in the case that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three-year period will start running from the last date the drug was placed on the UK market before the end of the Brexit Transition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Advanced Therapy Medicinal Products </w:t>
      </w:r>
    </w:p>
    <w:p>
      <w:pPr>
        <w:pStyle w:val="TextBody"/>
        <w:bidi w:val="0"/>
        <w:spacing w:before="120" w:after="0"/>
        <w:jc w:val="left"/>
        <w:rPr>
          <w:rFonts w:ascii="Times New Roman" w:hAnsi="Times New Roman"/>
          <w:sz w:val="20"/>
        </w:rPr>
      </w:pPr>
      <w:r>
        <w:rPr>
          <w:rFonts w:ascii="Times New Roman" w:hAnsi="Times New Roman"/>
          <w:sz w:val="20"/>
        </w:rPr>
        <w:t xml:space="preserve">In the EU, medicinal products, including advanced therapy medicinal products (“ATMPs”), are subject to extensive pre- and post-market regulation by regulatory authorities at both the EU and national levels. ATMPs comprise gene therapy products, somatic cell therapy products and tissue engineered products, which are genes, cells or tissues that have undergone substantial manipulation and that are administered to human beings in order to cure, diagnose or prevent diseases or regenerate, repair or replace a human tissue. Pursuant to Regulation (EC) No 1394/2007, the Committee for Advanced Therapies (“CAT”) is responsible in conjunction with the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Although such guidelines are not legally binding, compliance with them is often necessary to gain and maintain approval for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mandatory RMP, the holder of an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 </w:t>
      </w:r>
    </w:p>
    <w:p>
      <w:pPr>
        <w:pStyle w:val="TextBody"/>
        <w:bidi w:val="0"/>
        <w:spacing w:before="360" w:after="0"/>
        <w:jc w:val="left"/>
        <w:rPr>
          <w:rFonts w:ascii="Times New Roman" w:hAnsi="Times New Roman"/>
          <w:i/>
          <w:sz w:val="20"/>
        </w:rPr>
      </w:pPr>
      <w:r>
        <w:rPr>
          <w:rFonts w:ascii="Times New Roman" w:hAnsi="Times New Roman"/>
          <w:i/>
          <w:sz w:val="20"/>
        </w:rPr>
        <w:t xml:space="preserve">Exceptional Circumstances/Conditional Approval </w:t>
      </w:r>
    </w:p>
    <w:p>
      <w:pPr>
        <w:pStyle w:val="TextBody"/>
        <w:bidi w:val="0"/>
        <w:spacing w:before="120" w:after="0"/>
        <w:jc w:val="left"/>
        <w:rPr>
          <w:rFonts w:ascii="Times New Roman" w:hAnsi="Times New Roman"/>
          <w:sz w:val="20"/>
        </w:rPr>
      </w:pPr>
      <w:r>
        <w:rPr>
          <w:rFonts w:ascii="Times New Roman" w:hAnsi="Times New Roman"/>
          <w:sz w:val="20"/>
        </w:rPr>
        <w:t xml:space="preserve">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fulfill specific obligations within defined timelines. A conditional MA is valid for one year and must be renewed annually, but it can be converted into a standard MA once the MA holder fulfills the obligations imposed and the complete data confirm that the medicine’s benefits continue to outweigh its risks.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in the United States, it may be possible to obtain a period of market and/or data exclusivity in the EU that would have the effect of postponing the entry into the marketplace of a competitor’s generic, hybrid or biosimilar product (even if the pharmaceutical product has already received an MA) and prohibiting another applicant from relying on the MA holder’s pharmacological, toxicological and clinical data in support of another MA for the purposes of submitting an application, obtaining an MA or placing the product on the market. Innovative medicinal products, referred to as New Chemical Entities (“NCEs”), approved in the EU qualify for eight years of data exclusivity and 10 years of marketing exclusivity.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 </w:t>
      </w:r>
    </w:p>
    <w:p>
      <w:pPr>
        <w:pStyle w:val="TextBody"/>
        <w:bidi w:val="0"/>
        <w:spacing w:before="240" w:after="0"/>
        <w:jc w:val="left"/>
        <w:rPr>
          <w:rFonts w:ascii="Times New Roman" w:hAnsi="Times New Roman"/>
          <w:sz w:val="20"/>
        </w:rPr>
      </w:pPr>
      <w:r>
        <w:rPr>
          <w:rFonts w:ascii="Times New Roman" w:hAnsi="Times New Roman"/>
          <w:sz w:val="20"/>
        </w:rPr>
        <w:t xml:space="preserve">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 </w:t>
      </w:r>
    </w:p>
    <w:p>
      <w:pPr>
        <w:pStyle w:val="TextBody"/>
        <w:bidi w:val="0"/>
        <w:spacing w:before="240" w:after="0"/>
        <w:jc w:val="left"/>
        <w:rPr>
          <w:rFonts w:ascii="Times New Roman" w:hAnsi="Times New Roman"/>
          <w:sz w:val="20"/>
        </w:rPr>
      </w:pPr>
      <w:r>
        <w:rPr>
          <w:rFonts w:ascii="Times New Roman" w:hAnsi="Times New Roman"/>
          <w:sz w:val="20"/>
        </w:rPr>
        <w:t xml:space="preserve">Products may not be granted data exclusivity since there is no guarantee that a product will be considered by the EU’s regulatory authorities to include an NCE. Even if a compound is considered to be an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an MA for its product.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2023, the EC submitted a proposal for the reform of the European pharmaceutical legislation and negotiations are still ongoing. The timing for finalization of these negotiations and entry into force are unclear. </w:t>
      </w:r>
    </w:p>
    <w:p>
      <w:pPr>
        <w:pStyle w:val="TextBody"/>
        <w:bidi w:val="0"/>
        <w:spacing w:before="240" w:after="0"/>
        <w:jc w:val="left"/>
        <w:rPr>
          <w:rFonts w:ascii="Times New Roman" w:hAnsi="Times New Roman"/>
          <w:sz w:val="20"/>
        </w:rPr>
      </w:pPr>
      <w:r>
        <w:rPr>
          <w:rFonts w:ascii="Times New Roman" w:hAnsi="Times New Roman"/>
          <w:sz w:val="20"/>
        </w:rPr>
        <w:t xml:space="preserve">The current drafts envisage: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shortening of the periods of data exclusivity from eight to six years (with transferable vouchers for an additional year of market protection as an incentive for the development of new antibiotics),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earlier regulatory guidance and extension of market exclusivity for orphan medicines (depending on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four-year data exclusivity for additional indications of existing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governing the availability of products (including shortage prevention plans and some supply obligations for manufacturers).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Orphan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criteria for designating an orphan medicinal product in the EU are similar in principle to those in the United States. The EMA grants orphan drug designation if the medicinal product is intended for the diagnosis, prevention or treatment of a life-threatening or chronically debilitating condition affecting no more than five in 10,000 persons in the EU (prevalence criterion). In addition, orphan drug designation can be granted if, for economic reasons, the medicinal product would be unlikely to be developed without incentives and if there is no other satisfactory method approved in the EU of diagnosing, preventing, or treating the condition, or if such a method exists, the proposed medicinal product is a significant benefit to patients affected by the condition. An application for orphan drug designation (which is not an MA, as not all orphan-designated medicines reach the authorization application stage) must be submitted before an application for MA of the medicinal product is submitted. The applicant will receive a fee reduction for the MAA if the orphan drug designation has been granted, but not if the designation is still pending at the time the MA is submitted, and sponsors must submit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report to the EMA summarizing the status of development of the medicine. Orphan drug designation does not convey any advantage in, or shorten the duration of, the regulatory review and approval process. Designated orphan medicines are eligible for conditional MA. </w:t>
      </w:r>
    </w:p>
    <w:p>
      <w:pPr>
        <w:pStyle w:val="TextBody"/>
        <w:bidi w:val="0"/>
        <w:spacing w:before="240" w:after="0"/>
        <w:jc w:val="left"/>
        <w:rPr>
          <w:rFonts w:ascii="Times New Roman" w:hAnsi="Times New Roman"/>
          <w:sz w:val="20"/>
        </w:rPr>
      </w:pPr>
      <w:r>
        <w:rPr>
          <w:rFonts w:ascii="Times New Roman" w:hAnsi="Times New Roman"/>
          <w:sz w:val="20"/>
        </w:rPr>
        <w:t xml:space="preserve">The EMA’s Committee for Orphan Medicinal Products reassesses the orphan drug designation of a product in parallel with the review for an MA; for a product to benefit from market exclusivity it must maintain its orphan drug designation at the time of MA review by the EMA and approval by the EC. Additionally, any MA granted for an orphan medicinal product must only cover the therapeutic indication(s) that are covered by the orphan drug designation. Upon the grant of an MA, orphan drug designation provides up to 10 years of market exclusivity in the orphan indication.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10-year period of market exclusivity, with a limited number of exceptions, the regulatory authorities of the EU Member States and the EMA may not accept applications for MA, accept an application to extend an existing MA or grant an MA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 </w:t>
      </w:r>
    </w:p>
    <w:p>
      <w:pPr>
        <w:pStyle w:val="TextBody"/>
        <w:bidi w:val="0"/>
        <w:spacing w:before="240" w:after="0"/>
        <w:jc w:val="left"/>
        <w:rPr>
          <w:rFonts w:ascii="Times New Roman" w:hAnsi="Times New Roman"/>
          <w:sz w:val="20"/>
        </w:rPr>
      </w:pPr>
      <w:r>
        <w:rPr>
          <w:rFonts w:ascii="Times New Roman" w:hAnsi="Times New Roman"/>
          <w:sz w:val="20"/>
        </w:rPr>
        <w:t xml:space="preserve">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an MA may be granted to a similar medicinal product (orphan or not) for the same or overlapping indication subject to certain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the UK, following the Brexit Transition Period, a system for incentivizing the development of orphan medicines was introduced. Overall, the requirements for orphan designation largely replicate the requirements in the EU and the benefit of market exclusivity has been retained. Products with an orphan designation in the EU can be considered for an orphan MA in Great Britain and marketing authorizations granted for products that fulfil UK orphan criteria are valid UK-wide regardless of whether there is an EU orphan designation. The MHRA will review applications for orphan designation at the time of an MA, and will offer incentives, such as market exclusivity and full or partial refunds for MA fees to encourage the development of medicines in rare diseases. Separately, the MHRA has stated that it is considering updating its licensing framework for orphan medicines, with a draft framework expected by spring 2026.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 companies developing a new medicinal product are obligated to study their product in children and must therefore submit a PIP together with a request for agreement to the EMA.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an MA on the basis of the pediatric clinical trials conducted in accordance with the approved PIP are eligible for a six-month extension of the protection under a supplementary protection certificate (if any is in effect at the time of approval) or, in the case of orphan medicinal products, a two-year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extension of the orphan market exclusivity. This pediatric reward is subject to specific conditions and is not automatically available when data in compliance with the approved PIP are developed and submitted. An approved PIP is also required when an MA holder wants to add a new indication, medicinal form or route of administration for a medicine that is already authorized and covered by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In the UK, the MHRA has published guidance on the procedures for UK Pediatric Investigation Plans, which, where possible, mirror the submission format and requirements of the EU system. From January 1, 2025, EU pediatric requirements are addressed via Windsor Framework categorization: for Category 2 products, both UK and EU pediatric requirements apply, and an EU-agreed PIP must also be in place (unless waived). </w:t>
      </w:r>
    </w:p>
    <w:p>
      <w:pPr>
        <w:pStyle w:val="TextBody"/>
        <w:bidi w:val="0"/>
        <w:spacing w:before="360" w:after="0"/>
        <w:jc w:val="left"/>
        <w:rPr>
          <w:rFonts w:ascii="Times New Roman" w:hAnsi="Times New Roman"/>
          <w:i/>
          <w:sz w:val="20"/>
        </w:rPr>
      </w:pPr>
      <w:r>
        <w:rPr>
          <w:rFonts w:ascii="Times New Roman" w:hAnsi="Times New Roman"/>
          <w:i/>
          <w:sz w:val="20"/>
        </w:rPr>
        <w:t xml:space="preserve">PRIME Designation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point and rapporteur from the CHMP or from CAT are appointed, facilitating increased understanding of the product at the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 keeping, importing and exporting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by Serapha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an MA for a medicinal product must also comply with EU pharmacovigilance legislation and its related regulations and guidelines, which entail many requirements for conducting pharmacovigilance, or the assessment and monitoring of the safety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These pharmacovigilance rules can impose on holders of MAs the obligation to conduct a labor-intensive collection of data regarding the risks and benefits of marketed medicinal products and to engage in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assessments of those risks and benefits, including the possible requirement to conduct additional clinical studies or post-authorization safety studies to obtain further information on a medicine’s safety, or to measure the effectiveness of risk-management measures, which may be time-consuming and expensive and could impact Serapha’s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 The EMA reviews PSURs for medicinal products authorized through the centralized procedure. If the EMA has concerns that the risk-benefit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EC’s decision provides can undermine the ongoing validity of the MA. </w:t>
      </w:r>
    </w:p>
    <w:p>
      <w:pPr>
        <w:pStyle w:val="TextBody"/>
        <w:bidi w:val="0"/>
        <w:spacing w:before="240" w:after="0"/>
        <w:jc w:val="left"/>
        <w:rPr>
          <w:rFonts w:ascii="Times New Roman" w:hAnsi="Times New Roman"/>
          <w:sz w:val="20"/>
        </w:rPr>
      </w:pPr>
      <w:r>
        <w:rPr>
          <w:rFonts w:ascii="Times New Roman" w:hAnsi="Times New Roman"/>
          <w:sz w:val="20"/>
        </w:rPr>
        <w:t xml:space="preserve">More generally, non-compliance with pharmacovigilance obligations can lead to the variation, suspension or withdrawal of the MA for the product or imposition of financial penalties or other enforcement measures.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 for pharmaceutical products in the EU is highly regulated and regulators may shut down manufacturing facilities that they believe do not comply with regulations. </w:t>
      </w:r>
    </w:p>
    <w:p>
      <w:pPr>
        <w:pStyle w:val="TextBody"/>
        <w:bidi w:val="0"/>
        <w:spacing w:before="240" w:after="0"/>
        <w:jc w:val="left"/>
        <w:rPr>
          <w:rFonts w:ascii="Times New Roman" w:hAnsi="Times New Roman"/>
          <w:sz w:val="20"/>
        </w:rPr>
      </w:pPr>
      <w:r>
        <w:rPr>
          <w:rFonts w:ascii="Times New Roman" w:hAnsi="Times New Roman"/>
          <w:sz w:val="20"/>
        </w:rPr>
        <w:t xml:space="preserve">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EC Guidelines for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Council of the EU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activation/declaration of a crisis or emergency mode. The European Parliament has not yet voted on the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Regulations </w:t>
      </w:r>
    </w:p>
    <w:p>
      <w:pPr>
        <w:pStyle w:val="TextBody"/>
        <w:bidi w:val="0"/>
        <w:spacing w:before="120" w:after="0"/>
        <w:jc w:val="left"/>
        <w:rPr>
          <w:rFonts w:ascii="Times New Roman" w:hAnsi="Times New Roman"/>
          <w:sz w:val="20"/>
        </w:rPr>
      </w:pPr>
      <w:r>
        <w:rPr>
          <w:rFonts w:ascii="Times New Roman" w:hAnsi="Times New Roman"/>
          <w:sz w:val="20"/>
        </w:rPr>
        <w:t xml:space="preserve">The advertising and promotion of Serapha’s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Serapha’s products to the general public and may also impose limitations on Serapha’s promotional activities with healthcare professionals. EU regulation with regard to dispensing, sale and purchase of medicines has generally been preserved in the UK following Brexit, through the Human Medicines Regulations. However, organizations wishing to sell medicines online need to register with the MHRA. Following Brexit, the requirements to display the common logo no longer apply to UK-based online sellers, except for those established in Northern Ireland. </w:t>
      </w:r>
    </w:p>
    <w:p>
      <w:pPr>
        <w:pStyle w:val="TextBody"/>
        <w:bidi w:val="0"/>
        <w:spacing w:before="360" w:after="0"/>
        <w:jc w:val="left"/>
        <w:rPr>
          <w:rFonts w:ascii="Times New Roman" w:hAnsi="Times New Roman"/>
          <w:i/>
          <w:sz w:val="20"/>
        </w:rPr>
      </w:pPr>
      <w:r>
        <w:rPr>
          <w:rFonts w:ascii="Times New Roman" w:hAnsi="Times New Roman"/>
          <w:i/>
          <w:sz w:val="20"/>
        </w:rPr>
        <w:t xml:space="preserve">Anti-Corruption Legislation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 </w:t>
      </w:r>
    </w:p>
    <w:p>
      <w:pPr>
        <w:pStyle w:val="TextBody"/>
        <w:bidi w:val="0"/>
        <w:spacing w:before="240" w:after="0"/>
        <w:jc w:val="left"/>
        <w:rPr>
          <w:rFonts w:ascii="Times New Roman" w:hAnsi="Times New Roman"/>
          <w:sz w:val="20"/>
        </w:rPr>
      </w:pPr>
      <w:r>
        <w:rPr>
          <w:rFonts w:ascii="Times New Roman" w:hAnsi="Times New Roman"/>
          <w:sz w:val="20"/>
        </w:rPr>
        <w:t xml:space="preserve">The Bribery Act 2010 comprises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offense committed, harm and culpability, and penalties range from unlimited fines to imprisonment for a maximum term of 10 years, or in some cases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in the UK and Other Markets </w:t>
      </w:r>
    </w:p>
    <w:p>
      <w:pPr>
        <w:pStyle w:val="TextBody"/>
        <w:bidi w:val="0"/>
        <w:spacing w:before="120" w:after="0"/>
        <w:jc w:val="left"/>
        <w:rPr>
          <w:rFonts w:ascii="Times New Roman" w:hAnsi="Times New Roman"/>
          <w:sz w:val="20"/>
        </w:rPr>
      </w:pPr>
      <w:r>
        <w:rPr>
          <w:rFonts w:ascii="Times New Roman" w:hAnsi="Times New Roman"/>
          <w:sz w:val="20"/>
        </w:rPr>
        <w:t xml:space="preserve">The UK formally left the EU on January 31, 2020 and EU laws now only apply to the UK in respect of Northern Ireland as laid out in the protocol on Ireland and Northern Ireland, as amended by the Windsor Framework, which sets out a long-term set of arrangements for the supply of medicines into Northern Ireland. The EU and the UK agreed on a trade and cooperation agreement (the “TCA”),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 </w:t>
      </w:r>
    </w:p>
    <w:p>
      <w:pPr>
        <w:pStyle w:val="TextBody"/>
        <w:bidi w:val="0"/>
        <w:spacing w:before="240" w:after="0"/>
        <w:jc w:val="left"/>
        <w:rPr>
          <w:rFonts w:ascii="Times New Roman" w:hAnsi="Times New Roman"/>
          <w:sz w:val="20"/>
        </w:rPr>
      </w:pPr>
      <w:r>
        <w:rPr>
          <w:rFonts w:ascii="Times New Roman" w:hAnsi="Times New Roman"/>
          <w:sz w:val="20"/>
        </w:rPr>
        <w:t xml:space="preserve">The UK government has adopted the Medicines and Medical Devices Act 2021 (the “MMDA”) to enable the UK’s regulatory frameworks to be updated following the UK’s departure from the EU. The MMDA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introduces regulation-making delegated powers covering the fields of human medicines, clinical trials of human medicines, veterinary medicines and medical devices. The MHRA has since been consulting on future regulations for medicines and medical devices in the UK.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Serapha fails to comply with applicable foreign regulatory requirements, it may be subject to, among other things, fines, suspension of clinical trials,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local, state and federal laws, including in the United States, regarding such matters as safe working conditions, manufacturing practices, environmental protection, fire hazard control and hazardous substances, including the Occupational Safety and Health Act, the Resource Conservation and Recovery Act and the Toxic Substances Control Act, affect Serapha’s business. These and other laws govern its use, handling and disposal of various biological, chemical and radioactive substances used in, and wastes generated by, its operations. If its operations result in contamination of the environment or expose individuals to hazardous or biohazardous substances, Serapha could be liable for damages, environmental remediation, and/or governmental fines. Serapha believes that it is in material compliance with applicable environmental laws and occupational health and safety laws and that continued compliance therewith will not have a material adverse effect on its business. Serapha cannot predict, however, how changes in these laws may affect its future operations. Serapha may incur significant costs to comply with such laws and regulations now or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2026, Serapha had one full-time employee. Serapha’s team includes individuals with experience in genetic medicine, rare disease, regulatory affairs and chemistry, manufacturing and controls. Members of Serapha’s leadership and scientific team, certain of whom currently serve on an interim basis, include the co-founders of YolTech and individuals with prior experience at companies developing genetic medicines. Serapha expects to receive certain administrative support (including in finance, human resources, legal, information technology and business development) from its principal investors during its initial period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Serapha uses office space for its principal operations in New York, which is provided by its principal investors during its initial period of operations. Serapha does not own any manufacturing facilities and relies on third-party CDMOs for the manufacture of SERP-01. Serapha believes its facilities are adequate to meet its current needs and that additional or alternative space will be available as needed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Serapha is not currently a party to any material legal proceedings. From time to time, Serapha may become involved in legal proceedings or be subject to claims arising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2" w:name="tx108148_27"/>
      <w:bookmarkEnd w:id="62"/>
      <w:r>
        <w:rPr>
          <w:rFonts w:ascii="Times New Roman" w:hAnsi="Times New Roman"/>
          <w:b/>
          <w:sz w:val="20"/>
        </w:rPr>
        <w:t xml:space="preserve">BOUNDLESS BIO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for purposes of this subsection only, all references to “Boundless Bio” refer to Boundless Bio, Inc. and its subsidiaries prior to the consummation of the Merger. You should read the following discussion and analysis of Boundless Bio’s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Boundless Bio’s current plans, estimates and beliefs. Boundless Bio’s actual results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w:t>
      </w:r>
    </w:p>
    <w:p>
      <w:pPr>
        <w:pStyle w:val="TextBody"/>
        <w:bidi w:val="0"/>
        <w:spacing w:before="240" w:after="0"/>
        <w:jc w:val="left"/>
        <w:rPr>
          <w:rFonts w:ascii="Times New Roman" w:hAnsi="Times New Roman"/>
          <w:sz w:val="20"/>
        </w:rPr>
      </w:pPr>
      <w:r>
        <w:rPr>
          <w:rFonts w:ascii="Times New Roman" w:hAnsi="Times New Roman"/>
          <w:sz w:val="20"/>
        </w:rPr>
        <w:t xml:space="preserve">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Boundless Bio’s proprietary Spyglass platform, Boundless Bio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(“CIN”) and ecDNA amplification biology to grow, adapt, and become resistant to existing therapies. Instead of directly targeting the proteins produced by amplified oncogenes, which is the approach of traditional targeted therapies, Boundless Bio’s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Boundless Bio’s ecDTx were designed to preferentially kill ecDNA-enabled cancer cells, but not healthy cells. They were engineered to disrupt the underlying cellular machinery that enables ecDNA or functional amplification.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lead ecDTx, BBI-940, is a novel, oral, selective degrader that targets a previously undrugged kinesin involved in DNA segregation, including ecDNA segregation during mitosis. In February 2026, Boundless Bio initiated the KOMODO-1 trial, a Phase 1, open-label, multicenter, first-in-human clinical trial of BBI-940 in patients with estrogen receptor positive and human epidermal growth factor receptor 2 negative, or ER+/HER2-, breast cancer who have progressed following treatment with a cyclin-dependent kinase 4/6 inhibitor (“CDK4/6 inhibitor”) plus endocrine therapy, as well as patients with triple-negative breast cancer luminal androgen receptor subtype (“TNBC-LAR”). In June 2026, Boundless Bio announced that based on preliminary exposure data obtained in the early dose escalation cohorts of the KOMODO-1 clinical trial, it believed that the observed pharmacokinetic exposure data, indicating that human oral bioavailability of BBI-940 was significantly lower than what had been predicted based on preclinical studies, did not support continued clinical development of BBI-940.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had been investigating BBI-355, a novel, oral, selective inhibitor of checkpoint kinase 1 designed to target replication stress in oncogene amplified cancers, and BBI-825, a novel, oral, selective inhibitor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ribonucleotide reductase, in the clinic in the POTENTIATE trial and the STARMAP trial. As previously reported, Boundless Bio made decisions to cease enrollment in each of these trials, and, accordingly, it also does not plan to invest further in the development of ECHO, which is an ecDNA diagnostic clinical trial assay used in the POTENTIATE trial. Boundless Bio completed winding down the STARMAP trial of BBI-825 in 2025, while the wind down of the POTENTIATE trial is ongoing. </w:t>
      </w:r>
    </w:p>
    <w:p>
      <w:pPr>
        <w:pStyle w:val="TextBody"/>
        <w:bidi w:val="0"/>
        <w:spacing w:before="240" w:after="0"/>
        <w:jc w:val="left"/>
        <w:rPr>
          <w:rFonts w:ascii="Times New Roman" w:hAnsi="Times New Roman"/>
          <w:sz w:val="20"/>
        </w:rPr>
      </w:pPr>
      <w:r>
        <w:rPr>
          <w:rFonts w:ascii="Times New Roman" w:hAnsi="Times New Roman"/>
          <w:sz w:val="20"/>
        </w:rPr>
        <w:t xml:space="preserve">Spyglass is Boundless Bio’s internal proprietary platform used to identify new targets. Boundless Bio utilized Spyglass to identify targets that exploit cellular vulnerabilities of oncogene amplified cancers. Its target identification efforts revealed multiple distinct nodes of vulnerability within the lifecycle of ecDNA. In addition to the program described above, Boundless Bio has preclinically validated multiple additional targets and has historically initiated ecDTx drug discovery efforts to identify potential candidates against such targets.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Since Boundless Bio commenced operations in 2018, it has devoted substantially all of its efforts and resources to organizing and staffing its company, business planning, raising capital, building its proprietary Spyglass platform, discovering its ecDTx, developing its diagnostic, establishing its intellectual property portfolio, conducting research, preclinical studies, and clinical trials, establishing arrangements with third parties for the manufacture of its ecDTx and related raw materials, and providing general and administrative support for these operations. During this time, Boundless Bio has incurred significant operating losses and, as of June 30, 2026, it had an accumulated deficit of $296.9 million. Boundless Bio expects to continue to incur losses for the foreseeable future, and, in general, it anticipates these losses will increase substantially in the future if it continues its development of, seeks regulatory approval for, and potentially commercializes its current or any future ecDTx, conducts any clinical trials and preclinical studies, utilizes third parties to manufacture its ecDTx and related raw materials, leverages Spyglass to potentially identify additional development opportunities for its ecDTx and expands its therapeutic pipeline, seeks to expand and protect its intellectual property, as well as incurs additional costs associated with being a public company. If it obtains regulatory approval for its ecDTx, Boundless Bio expects to incur significant commercialization expenses related to product sales, marketing, manufacturing, and distribution. Boundless Bio’s net losses may fluctuate significantly from quarter-to-quarter and year-to-year, depending on the timing of its clinical trials, preclinical studies, and its other research and development activities and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Through June 30, 2026, Boundless Bio has raised a total of $353.9 million to fund its operations primarily from the gross proceeds from the sale and issuance of Boundless Bio Preferred Stock and Boundless Bio Common Stock. In April 2024, it completed its IPO, in which it sold and issued 6,250,000 shares of Boundless Bio Common Stock for gross proceeds of $100.0 million. In April 2025, it commenced an “at the market” offering as defined in Rule 415(a)(4) under the Securities Act, under which it may offer and sell shares of Boundless Bio Common Stock having an aggregate offering price of up to $14.5 million from time to time through or to its sales agent, as described further under “Liquidity and Capital Resources” below. As of June 30, 2026, Boundless Bio had cash, cash equivalents, and short-term investments of $72.6 million. </w:t>
      </w:r>
    </w:p>
    <w:p>
      <w:pPr>
        <w:pStyle w:val="TextBody"/>
        <w:bidi w:val="0"/>
        <w:spacing w:before="240" w:after="0"/>
        <w:jc w:val="left"/>
        <w:rPr>
          <w:rFonts w:ascii="Times New Roman" w:hAnsi="Times New Roman"/>
          <w:sz w:val="20"/>
        </w:rPr>
      </w:pPr>
      <w:r>
        <w:rPr>
          <w:rFonts w:ascii="Times New Roman" w:hAnsi="Times New Roman"/>
          <w:sz w:val="20"/>
        </w:rPr>
        <w:t xml:space="preserve">In response to clinical data and other market considerations, Boundless Bio has made a series of portfolio prioritization decisions and taken steps to streamline operations in connection with those decisions. In January 2026, it focused its research and development activities on BBI-940. In April 2026, it further streamlined its operations by restructuring its facilities footprint, terminating its long-term lease (the “2024 Lease”) for approximately 80,168 rentable square feet of laboratory and office space in San Diego effective May 31, 2026, and entering into a new, shorter-term lease for approximately 10,822 rentable square feet at a nearby location commencing June 1, 2026. The 2024 Lease termination involved a cash payment of $10.0 million by Boundless Bio to the landlord, and the landlord’s retention of Boundless Bio’s security deposit of approximately $0.5 million.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does not have any products approved for sale and has not generated any revenue to date. It does not expect to generate any revenue from product sales unless it decides to continue to develop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successfully complete development and obtain regulatory approval for one or more of its ecDTx, which it expects would take several years and may never occur. If the Merger is not completed, Boundless Bio will need substantial additional funding to support its continuing operations and pursue any long-term business plan, including to complete the development and commercialization of any ecDTx, if approved. Accordingly, until such time as Boundless Bio can generate significant revenue from sales of its ecDTx, if ever, it expects to finance its cash needs through equity offerings, debt financings, or other capital sources, including potential collaborations, licenses, and other similar arrangements. However, it may be unable to raise additional funds or enter such other arrangements when needed on favorable terms or at all. Boundless Bio’s failure to raise capital or enter such other arrangements when needed would have a negative impact on its financial condition and could force it to delay, limit, reduce, or terminate its research and development programs or other operations, or grant rights to develop and market ecDTx that it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Boundless Bio does not own or operate, and currently has no plans to establish, any manufacturing facilities. If the Merger is not completed, Boundless Bio expects to continue to rely on third parties for the manufacture of its ecDTx, for preclinical and clinical testing, as well as for commercial manufacture if it develops any ecDTx and any of such ecDTx were to obtain marketing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Proposed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with Serapha and Merger Sub,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The Merger is intended to qualify for federal income tax purposes as (1) a tax-free reorganization under the provisions of Section 368(a) of the Code and/or (2) an exchange of shares of Serapha Capital Stock for Boundless Bio Common Stock under Section 351(a)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signing of the Merger Agreement, Boundless Bio announced a reduction in workforce of approximately 75%. Boundless Bio recognized a charge of approximately $2.8 million during the three and six months ended June 30, 2026 and estimated aggregate one-time charges of approximately $3.0 million to $5.0 million, with the remainder to be recognized in the second half of 2026. See Note 1 to Boundless Bio’s unaudited condensed financial statements appearing elsewhere in this proxy statement/prospectus for further information regarding the reduction in workforce.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expected to close in the fourth quarter of 2026, subject to the satisfaction of certain closing conditions, along with the concurrent Serapha Pre-Closing Financing (as described below). Following completion of the Merger, the Combined Company plans to focus on advancing SERP-01, an investigational in vivo base editing therapy for AATD, and does not intend to continue development of any of Boundless Bio’s legacy ecDTx. Boundless Bio may continue to evaluate opportunities for its ecDTx,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Serapha Series A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certain institutional and accredited investors (the “Series A Investors”, led by affiliates of RTW Investments and RA Capital Management) and Serapha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entered into the Series A Financing Agreement, pursuant to which such persons invested in and purchased an aggregate of 30,668,708 shares of Serapha Series A Preferred Stock at a purchase price of $4.4997 per share for aggregate gross proceeds to Serapha of approximately $138.0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Serapha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Series A Investors also entered into the Securities Purchase Agreement with Serapha, pursuant to which such investors have agreed to purchase, immediately prior to the Merger, shares of Serapha Common Stock or, in lieu thereof, Serapha Pre-Funded Warrants, representing an aggregate commitment of approximately $92.0 million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Serapha Common Stock and Serapha Pre-Funded Warrants that are issued in the Serapha Pre-Closing Financing will be or will have the right to be, respectively, converted into shares of Boundless Bio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also contemplates Serapha and the investors participating in the Serapha Pre-Closing Financing entering into a registration rights agreement at the closing of the Serapha Pre-Closing Financing, pursuant to which, among other things, the Combined Company will agree to provide for the registration and resale of certain shares of Boundless Bio Common Stock that are held by the investors participating in the Serapha Pre-Closing Financing from time to time pursuant to Rule 415. </w:t>
      </w:r>
    </w:p>
    <w:p>
      <w:pPr>
        <w:pStyle w:val="TextBody"/>
        <w:bidi w:val="0"/>
        <w:spacing w:before="360" w:after="0"/>
        <w:jc w:val="left"/>
        <w:rPr>
          <w:rFonts w:ascii="Times New Roman" w:hAnsi="Times New Roman"/>
          <w:i/>
          <w:sz w:val="20"/>
        </w:rPr>
      </w:pPr>
      <w:r>
        <w:rPr>
          <w:rFonts w:ascii="Times New Roman" w:hAnsi="Times New Roman"/>
          <w:i/>
          <w:sz w:val="20"/>
        </w:rPr>
        <w:t xml:space="preserve">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 xml:space="preserve">Further, prior to the Closing, Boundless Bio expects to declare and set aside the aggregate cash amount to be paid in accordance with a special cash dividend (the “Boundless Bio Pre-Closing Dividend”) to holders of record of outstanding shares of Boundless Bio Common Stock as of a record date prior to the Effective Time, to be determined by the Boundless Bio Board of Directors. The ex-dividend date in respect of the Boundless Bio Pre-Closing Dividend will be determined by Nasdaq. Boundless Bio’s stockholders of record prior to the ex-dividend date will be entitled to receive the Boundless Bio Pre-Closing Dividend, regardless of whether they beneficially own such shares as of the dividend date. The amount of the Boundless Bio Pre-Closing Dividend is expected to be approximately $44 to $48 million in the aggregate. </w:t>
      </w:r>
    </w:p>
    <w:p>
      <w:pPr>
        <w:pStyle w:val="TextBody"/>
        <w:bidi w:val="0"/>
        <w:spacing w:before="360" w:after="0"/>
        <w:jc w:val="left"/>
        <w:rPr>
          <w:rFonts w:ascii="Times New Roman" w:hAnsi="Times New Roman"/>
          <w:b/>
          <w:sz w:val="20"/>
        </w:rPr>
      </w:pPr>
      <w:r>
        <w:rPr>
          <w:rFonts w:ascii="Times New Roman" w:hAnsi="Times New Roman"/>
          <w:b/>
          <w:sz w:val="20"/>
        </w:rPr>
        <w:t xml:space="preserve">Known Trends, Events and Uncertainties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Macroeconomic, Political, and Regulatory Environment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United States and global macroeconomic, political, and regulatory environments present significant risks to Boundless Bio’s business. Boundless Bio’s operating costs, ability to raise additional capital, and stock price could be materially and adversely affected by macroeconomic and geopolitical events and conditions outside of its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related thereto, liquidity concerns at financial institutions, supply chain disruptions, military conflicts, and other geopolitical events and instability. Further, one or more of Boundless Bio’s current service providers or vendors, manufacturers, clinical investigative sites, financial institutions, and other partners may be adversely affected by the foregoing risks, which could directly affect its ability to attain its operating goals on schedule and on budget. </w:t>
      </w:r>
    </w:p>
    <w:p>
      <w:pPr>
        <w:pStyle w:val="TextBody"/>
        <w:bidi w:val="0"/>
        <w:spacing w:before="240" w:after="0"/>
        <w:jc w:val="left"/>
        <w:rPr>
          <w:rFonts w:ascii="Times New Roman" w:hAnsi="Times New Roman"/>
          <w:sz w:val="20"/>
        </w:rPr>
      </w:pPr>
      <w:r>
        <w:rPr>
          <w:rFonts w:ascii="Times New Roman" w:hAnsi="Times New Roman"/>
          <w:sz w:val="20"/>
        </w:rPr>
        <w:t xml:space="preserve">In addition, FDA-regulated industries, such as Boundless Bio’s, face uncertainty with regard to the regulatory environment Boundless Bio will face if the Merger is not completed and it proceeds with research and development and possibly in the future commercialization. The FDA has recently experienced significant leadership changes, voluntary and involuntary staff departures, shifts in scientific and regulatory priorities,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political pressure to increase scrutiny of certain products. These and other factors increase uncertainties associated with interpreting the FDA’s guidance and predicting its areas of focus and responses to various issues. Changes and disruptions at the FDA, including due to federal government shutdowns, could impact the FDA’s ability to retain key personnel and hire additional personnel and may result in delays or limitations on Boundless Bio’s ability to obtain guidance from agency staff and slow review times for applications Boundless Bio may submit to obtain the requisite regulatory approvals in the future. Moreover, actions that the federal government recently has taken and may take in the future to freeze or reduce federal funding for medical research, has and could further decrease the ability of facilities that rely on such funding to conduct clinical trials or increase the costs to Boundless Bio of conducting clinical trials at those facilities. There remains general uncertainty regarding future activities. New executive orders, regulations, policies, or guidance could be issued or promulgated that adversely affect Boundless Bio or create a more challenging or costly environment to pursue the development and commercialization of its ecDTx, including in areas relating to regulatory framework and oversight, research and development funding, drug pricing reform, intellectual property rights, global trade policy, and tariffs. </w:t>
      </w:r>
    </w:p>
    <w:p>
      <w:pPr>
        <w:pStyle w:val="TextBody"/>
        <w:bidi w:val="0"/>
        <w:spacing w:before="240" w:after="0"/>
        <w:jc w:val="left"/>
        <w:rPr>
          <w:rFonts w:ascii="Times New Roman" w:hAnsi="Times New Roman"/>
          <w:sz w:val="20"/>
        </w:rPr>
      </w:pPr>
      <w:r>
        <w:rPr>
          <w:rFonts w:ascii="Times New Roman" w:hAnsi="Times New Roman"/>
          <w:sz w:val="20"/>
        </w:rPr>
        <w:t>Although, as of the date of this proxy statement/prospectus, Boundless Bio’s business has not been materially impacted, the ultimate impact of global economic and market conditions and changes in government agencies, regulations and policies remains highly uncertain and will depend on future developments and factors that continue to evolve. Boundless Bio will closely monitor these ongoing developments and the potential impact of these factors on its business, operating expenses, and cash position and, if circumstances warrant, it may make adjustments to Boundless Bio’s operating plan. For more information regarding these risks and uncertainties, see the section titled “</w:t>
      </w:r>
      <w:r>
        <w:rPr>
          <w:rFonts w:ascii="Times New Roman" w:hAnsi="Times New Roman"/>
          <w:i/>
          <w:sz w:val="20"/>
        </w:rPr>
        <w:t>Risk Factors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Boundless Bio has not generated any revenue from the sale of products. Boundless Bio does not expect to generate any such revenue unless and until such time that its ecDTx have advanced through clinical development and regulatory approval, if ever. If Boundless Bio fails to complete preclinical and clinical development of its ecDTx or obtain regulatory approval for them, its ability to generate future revenues, and its results of operations and financial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operating expenses consist of research and development expenses and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research and development (“R&amp;D”) expenses have related primarily to building its Spyglass platform, its ecDTx discovery efforts, its preclinical and clinical development activities, and the development of a diagnostic test. R&amp;D expenses are recognized as incurred, and payments made prior to the receipt of goods or services to be used in R&amp;D are capitalized until the goods or services are received. Boundless Bio uses internal resources primarily to conduct its research and discovery activities, as well as for managing its preclinical development, process development, manufacturing, and clinical development activities. Boundless Bio tracks direct costs on a development program specific basis. Indirect costs are not included in program costs, as these costs are general in nature and benefit all of its discovery efforts and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direct, or development program specific, R&amp;D costs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incurred under agreements with its contract research organizations (“CROs”), investigative sites, and consultants to conduct its clinical trials and preclinical studies, as well as third party costs related to the development of a diagnostic test;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related to manufacturing its ecDTx for clinical trials and preclinical studies, including fees paid to third-party manufacturers.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Bio’s indirect R&amp;D costs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costs, including salaries, severance, bonuses, benefits, travel, and stock-based compensation expenses for employees engaged in R&amp;D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outside services from third parties, including consultants,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lab and pharmacology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facilities-related costs, including rent and maintenance costs, and other costs including insurance, depreciation, supplies, and miscellaneous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costs, including costs related to travel, repairs and maintenance, service contracts, computer supplies, software, and publications and subscription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of Boundless Bio’s ecDTx is highly uncertain. There are numerous factors associated with the successful development of its ecDTx, including future trial design and various regulatory requirements, many of which cannot be determined with accuracy at this time based on its stage of development. In addition, future regulatory factors beyond its control may impact its clinical development programs. Product candidates in later stages of development generally have higher development costs than those in earlier stages of development.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resumes development of any ecDTx, Boundless Bio’s future R&amp;D expenses may vary significantly based on a wide variety of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scope, rate of progress, expense, and results of its clinical trials and preclinical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that participate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doses that patients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manufacturing its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its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decision not to advance the clinical development of an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necessity and cost of developing a diagnostic for its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laboratory supplies and equipment and pharmacology supplies for its preclinical activities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changes in government regulation and regulatory guidance;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that hinder its ability to perform routine activities or function in the normal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its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of any approvals from applicable regulatory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it establishes collaboration, license, or other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development of its ecDTx could significantly change the costs and timing associated with any development of its ecDTx.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conducting the necessary preclinical and clinical research to obtain regulatory approval is costly and time-consuming. The actual probability of success for its ecDTx or any future ecDTx may be affected by a variety of factors. Boundless Bio may never succeed in achieving regulatory approval for its ecDTx. Preclinical and clinical development timelines, the probability of success, and total development costs can differ materially from expectations. If the Merger is not completed, Boundless Bio anticipates that it will continue to make determinations as to how much funding to direct to any ecDTx it may decide to develop on an ongoing basis in response to the results of ongoing and future preclinical studies and clinical trials, regulatory developments, and its ongoing assessment of its ecDTx’s commercial potential. Boundless Bio will need to raise substantial additional capital in the future if the Merger is not completed and it decides to develop any ecDTx. In addition, it cannot forecast whether its ecDTx may be subject to future collaborations, when such arrangements will be secured, if at all, and to what degree such arrangements would affect its development plans and capital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(“G&amp;A”) expenses consist primarily of personnel-related costs, including salaries, bonuses, benefits, travel, severance, and stock-based compensation for employees in executive, accounting and finance, business development, legal, and other administrative functions. Other significant costs include allocated facility-related expenses, legal fees relating to intellectual property and corporate matters, professional fees for accounting and consulting services, insurance costs, and business development expenses. Boundless Bio also incurs costs associated with maintaining compliance with securities exchange listing and SEC requirements, including audit, legal, regulatory, and tax-related services, as well as director and officer insurance premiums and investor relations costs associated with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and Boundless Bio decides to develop any ecDTx, it anticipates that its G&amp;A expenses will increase in the long-term if it is successful in developing its ecDTx and growing its business and, if its ecDTx receives marketing approval, when it commences commercialization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primarily of interest income earned on Boundless Bio’s cash, cash equivalents, and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results of operations for each of the periods indicated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7"/>
        <w:gridCol w:w="306"/>
        <w:gridCol w:w="150"/>
        <w:gridCol w:w="788"/>
        <w:gridCol w:w="160"/>
        <w:gridCol w:w="306"/>
        <w:gridCol w:w="150"/>
        <w:gridCol w:w="788"/>
        <w:gridCol w:w="160"/>
        <w:gridCol w:w="306"/>
        <w:gridCol w:w="154"/>
        <w:gridCol w:w="673"/>
        <w:gridCol w:w="164"/>
      </w:tblGrid>
      <w:tr>
        <w:trPr/>
        <w:tc>
          <w:tcPr>
            <w:tcW w:w="446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6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27"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88" w:type="dxa"/>
            <w:tcBorders/>
            <w:vAlign w:val="bottom"/>
          </w:tcPr>
          <w:p>
            <w:pPr>
              <w:pStyle w:val="TableContents"/>
              <w:bidi w:val="0"/>
              <w:spacing w:before="0" w:after="283"/>
              <w:jc w:val="right"/>
              <w:rPr/>
            </w:pPr>
            <w:r>
              <w:rPr/>
              <w:t>13,973</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88" w:type="dxa"/>
            <w:tcBorders/>
            <w:vAlign w:val="bottom"/>
          </w:tcPr>
          <w:p>
            <w:pPr>
              <w:pStyle w:val="TableContents"/>
              <w:bidi w:val="0"/>
              <w:spacing w:before="0" w:after="283"/>
              <w:jc w:val="right"/>
              <w:rPr/>
            </w:pPr>
            <w:r>
              <w:rPr/>
              <w:t>12,218</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1,755</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10,411</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4,843</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5,568</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24,384</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17,061</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7,323</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(24,384</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(17,061</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(7,323</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78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78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690</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1,386</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(696</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1</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691</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1,386</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(695</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88" w:type="dxa"/>
            <w:tcBorders/>
            <w:vAlign w:val="bottom"/>
          </w:tcPr>
          <w:p>
            <w:pPr>
              <w:pStyle w:val="TableContents"/>
              <w:bidi w:val="0"/>
              <w:spacing w:before="0" w:after="283"/>
              <w:jc w:val="right"/>
              <w:rPr/>
            </w:pPr>
            <w:r>
              <w:rPr/>
              <w:t>(23,693</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88" w:type="dxa"/>
            <w:tcBorders/>
            <w:vAlign w:val="bottom"/>
          </w:tcPr>
          <w:p>
            <w:pPr>
              <w:pStyle w:val="TableContents"/>
              <w:bidi w:val="0"/>
              <w:spacing w:before="0" w:after="283"/>
              <w:jc w:val="right"/>
              <w:rPr/>
            </w:pPr>
            <w:r>
              <w:rPr/>
              <w:t>(15,675</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(8,018</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R&amp;D expenses for each of the periods indicated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98"/>
        <w:gridCol w:w="300"/>
        <w:gridCol w:w="149"/>
        <w:gridCol w:w="735"/>
        <w:gridCol w:w="159"/>
        <w:gridCol w:w="300"/>
        <w:gridCol w:w="149"/>
        <w:gridCol w:w="735"/>
        <w:gridCol w:w="60"/>
        <w:gridCol w:w="300"/>
        <w:gridCol w:w="147"/>
        <w:gridCol w:w="672"/>
        <w:gridCol w:w="168"/>
      </w:tblGrid>
      <w:tr>
        <w:trPr/>
        <w:tc>
          <w:tcPr>
            <w:tcW w:w="4698"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9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2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r>
      <w:tr>
        <w:trPr/>
        <w:tc>
          <w:tcPr>
            <w:tcW w:w="469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8" w:type="dxa"/>
            <w:tcBorders/>
            <w:vAlign w:val="bottom"/>
          </w:tcPr>
          <w:p>
            <w:pPr>
              <w:pStyle w:val="TableContents"/>
              <w:bidi w:val="0"/>
              <w:spacing w:before="0" w:after="283"/>
              <w:jc w:val="left"/>
              <w:rPr/>
            </w:pPr>
            <w:r>
              <w:rPr/>
              <w:t> </w:t>
            </w:r>
          </w:p>
        </w:tc>
      </w:tr>
      <w:tr>
        <w:trPr/>
        <w:tc>
          <w:tcPr>
            <w:tcW w:w="46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Direct program costs:</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4698" w:type="dxa"/>
            <w:tcBorders/>
          </w:tcPr>
          <w:p>
            <w:pPr>
              <w:pStyle w:val="TableContents"/>
              <w:bidi w:val="0"/>
              <w:spacing w:before="0" w:after="0"/>
              <w:jc w:val="left"/>
              <w:rPr>
                <w:rFonts w:ascii="Times New Roman" w:hAnsi="Times New Roman"/>
                <w:sz w:val="20"/>
              </w:rPr>
            </w:pPr>
            <w:r>
              <w:rPr>
                <w:rFonts w:ascii="Times New Roman" w:hAnsi="Times New Roman"/>
                <w:sz w:val="20"/>
              </w:rPr>
              <w:t>BBI-940</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3,740</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1,554</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72" w:type="dxa"/>
            <w:tcBorders/>
            <w:vAlign w:val="bottom"/>
          </w:tcPr>
          <w:p>
            <w:pPr>
              <w:pStyle w:val="TableContents"/>
              <w:bidi w:val="0"/>
              <w:spacing w:before="0" w:after="283"/>
              <w:jc w:val="right"/>
              <w:rPr/>
            </w:pPr>
            <w:r>
              <w:rPr/>
              <w:t>2,186</w:t>
            </w:r>
          </w:p>
        </w:tc>
        <w:tc>
          <w:tcPr>
            <w:tcW w:w="168" w:type="dxa"/>
            <w:tcBorders/>
            <w:vAlign w:val="bottom"/>
          </w:tcPr>
          <w:p>
            <w:pPr>
              <w:pStyle w:val="TableContents"/>
              <w:bidi w:val="0"/>
              <w:spacing w:before="0" w:after="283"/>
              <w:jc w:val="left"/>
              <w:rPr/>
            </w:pPr>
            <w:r>
              <w:rPr/>
              <w:t> </w:t>
            </w:r>
          </w:p>
        </w:tc>
      </w:tr>
      <w:tr>
        <w:trPr/>
        <w:tc>
          <w:tcPr>
            <w:tcW w:w="4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BBI-355</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(396</w:t>
            </w:r>
          </w:p>
        </w:tc>
        <w:tc>
          <w:tcPr>
            <w:tcW w:w="1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2,808</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(3,204</w:t>
            </w:r>
          </w:p>
        </w:tc>
        <w:tc>
          <w:tcPr>
            <w:tcW w:w="168" w:type="dxa"/>
            <w:tcBorders/>
            <w:shd w:fill="CCEEFF" w:val="clear"/>
            <w:vAlign w:val="bottom"/>
          </w:tcPr>
          <w:p>
            <w:pPr>
              <w:pStyle w:val="TableContents"/>
              <w:bidi w:val="0"/>
              <w:spacing w:before="0" w:after="283"/>
              <w:jc w:val="left"/>
              <w:rPr/>
            </w:pPr>
            <w:r>
              <w:rPr/>
              <w:t>) </w:t>
            </w:r>
          </w:p>
        </w:tc>
      </w:tr>
      <w:tr>
        <w:trPr/>
        <w:tc>
          <w:tcPr>
            <w:tcW w:w="4698" w:type="dxa"/>
            <w:tcBorders/>
          </w:tcPr>
          <w:p>
            <w:pPr>
              <w:pStyle w:val="TableContents"/>
              <w:bidi w:val="0"/>
              <w:spacing w:before="0" w:after="0"/>
              <w:jc w:val="left"/>
              <w:rPr>
                <w:rFonts w:ascii="Times New Roman" w:hAnsi="Times New Roman"/>
                <w:sz w:val="20"/>
              </w:rPr>
            </w:pPr>
            <w:r>
              <w:rPr>
                <w:rFonts w:ascii="Times New Roman" w:hAnsi="Times New Roman"/>
                <w:sz w:val="20"/>
              </w:rPr>
              <w:t>BBI-825</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839</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(839</w:t>
            </w:r>
          </w:p>
        </w:tc>
        <w:tc>
          <w:tcPr>
            <w:tcW w:w="168" w:type="dxa"/>
            <w:tcBorders/>
            <w:vAlign w:val="bottom"/>
          </w:tcPr>
          <w:p>
            <w:pPr>
              <w:pStyle w:val="TableContents"/>
              <w:bidi w:val="0"/>
              <w:spacing w:before="0" w:after="283"/>
              <w:jc w:val="left"/>
              <w:rPr/>
            </w:pPr>
            <w:r>
              <w:rPr/>
              <w:t>) </w:t>
            </w:r>
          </w:p>
        </w:tc>
      </w:tr>
      <w:tr>
        <w:trPr/>
        <w:tc>
          <w:tcPr>
            <w:tcW w:w="4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development programs</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(24</w:t>
            </w:r>
          </w:p>
        </w:tc>
        <w:tc>
          <w:tcPr>
            <w:tcW w:w="168" w:type="dxa"/>
            <w:tcBorders/>
            <w:shd w:fill="CCEEFF" w:val="clear"/>
            <w:vAlign w:val="bottom"/>
          </w:tcPr>
          <w:p>
            <w:pPr>
              <w:pStyle w:val="TableContents"/>
              <w:bidi w:val="0"/>
              <w:spacing w:before="0" w:after="283"/>
              <w:jc w:val="left"/>
              <w:rPr/>
            </w:pPr>
            <w:r>
              <w:rPr/>
              <w:t>) </w:t>
            </w:r>
          </w:p>
        </w:tc>
      </w:tr>
      <w:tr>
        <w:trPr/>
        <w:tc>
          <w:tcPr>
            <w:tcW w:w="469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698" w:type="dxa"/>
            <w:tcBorders/>
          </w:tcPr>
          <w:p>
            <w:pPr>
              <w:pStyle w:val="TableContents"/>
              <w:bidi w:val="0"/>
              <w:spacing w:before="0" w:after="0"/>
              <w:jc w:val="left"/>
              <w:rPr>
                <w:rFonts w:ascii="Times New Roman" w:hAnsi="Times New Roman"/>
                <w:sz w:val="20"/>
              </w:rPr>
            </w:pPr>
            <w:r>
              <w:rPr>
                <w:rFonts w:ascii="Times New Roman" w:hAnsi="Times New Roman"/>
                <w:sz w:val="20"/>
              </w:rPr>
              <w:t>Total direct program costs</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3,348</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5,229</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(1,881</w:t>
            </w:r>
          </w:p>
        </w:tc>
        <w:tc>
          <w:tcPr>
            <w:tcW w:w="168" w:type="dxa"/>
            <w:tcBorders/>
            <w:vAlign w:val="bottom"/>
          </w:tcPr>
          <w:p>
            <w:pPr>
              <w:pStyle w:val="TableContents"/>
              <w:bidi w:val="0"/>
              <w:spacing w:before="0" w:after="283"/>
              <w:jc w:val="left"/>
              <w:rPr/>
            </w:pPr>
            <w:r>
              <w:rPr/>
              <w:t>) </w:t>
            </w:r>
          </w:p>
        </w:tc>
      </w:tr>
      <w:tr>
        <w:trPr/>
        <w:tc>
          <w:tcPr>
            <w:tcW w:w="469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6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Indirect program costs:</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4698"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 compensation)</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3,421</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3,862</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(441</w:t>
            </w:r>
          </w:p>
        </w:tc>
        <w:tc>
          <w:tcPr>
            <w:tcW w:w="168" w:type="dxa"/>
            <w:tcBorders/>
            <w:vAlign w:val="bottom"/>
          </w:tcPr>
          <w:p>
            <w:pPr>
              <w:pStyle w:val="TableContents"/>
              <w:bidi w:val="0"/>
              <w:spacing w:before="0" w:after="283"/>
              <w:jc w:val="left"/>
              <w:rPr/>
            </w:pPr>
            <w:r>
              <w:rPr/>
              <w:t>) </w:t>
            </w:r>
          </w:p>
        </w:tc>
      </w:tr>
      <w:tr>
        <w:trPr/>
        <w:tc>
          <w:tcPr>
            <w:tcW w:w="4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Outside services and consulting</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218</w:t>
            </w:r>
          </w:p>
        </w:tc>
        <w:tc>
          <w:tcPr>
            <w:tcW w:w="1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426</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(208</w:t>
            </w:r>
          </w:p>
        </w:tc>
        <w:tc>
          <w:tcPr>
            <w:tcW w:w="168" w:type="dxa"/>
            <w:tcBorders/>
            <w:shd w:fill="CCEEFF" w:val="clear"/>
            <w:vAlign w:val="bottom"/>
          </w:tcPr>
          <w:p>
            <w:pPr>
              <w:pStyle w:val="TableContents"/>
              <w:bidi w:val="0"/>
              <w:spacing w:before="0" w:after="283"/>
              <w:jc w:val="left"/>
              <w:rPr/>
            </w:pPr>
            <w:r>
              <w:rPr/>
              <w:t>) </w:t>
            </w:r>
          </w:p>
        </w:tc>
      </w:tr>
      <w:tr>
        <w:trPr/>
        <w:tc>
          <w:tcPr>
            <w:tcW w:w="4698" w:type="dxa"/>
            <w:tcBorders/>
          </w:tcPr>
          <w:p>
            <w:pPr>
              <w:pStyle w:val="TableContents"/>
              <w:bidi w:val="0"/>
              <w:spacing w:before="0" w:after="0"/>
              <w:jc w:val="left"/>
              <w:rPr>
                <w:rFonts w:ascii="Times New Roman" w:hAnsi="Times New Roman"/>
                <w:sz w:val="20"/>
              </w:rPr>
            </w:pPr>
            <w:r>
              <w:rPr>
                <w:rFonts w:ascii="Times New Roman" w:hAnsi="Times New Roman"/>
                <w:sz w:val="20"/>
              </w:rPr>
              <w:t>Lab and pharmacology supplies</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67</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192</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(125</w:t>
            </w:r>
          </w:p>
        </w:tc>
        <w:tc>
          <w:tcPr>
            <w:tcW w:w="168" w:type="dxa"/>
            <w:tcBorders/>
            <w:vAlign w:val="bottom"/>
          </w:tcPr>
          <w:p>
            <w:pPr>
              <w:pStyle w:val="TableContents"/>
              <w:bidi w:val="0"/>
              <w:spacing w:before="0" w:after="283"/>
              <w:jc w:val="left"/>
              <w:rPr/>
            </w:pPr>
            <w:r>
              <w:rPr/>
              <w:t>) </w:t>
            </w:r>
          </w:p>
        </w:tc>
      </w:tr>
      <w:tr>
        <w:trPr/>
        <w:tc>
          <w:tcPr>
            <w:tcW w:w="4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(including depreciation)</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5,268</w:t>
            </w:r>
          </w:p>
        </w:tc>
        <w:tc>
          <w:tcPr>
            <w:tcW w:w="1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2,082</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3,186</w:t>
            </w:r>
          </w:p>
        </w:tc>
        <w:tc>
          <w:tcPr>
            <w:tcW w:w="168" w:type="dxa"/>
            <w:tcBorders/>
            <w:shd w:fill="CCEEFF" w:val="clear"/>
            <w:vAlign w:val="bottom"/>
          </w:tcPr>
          <w:p>
            <w:pPr>
              <w:pStyle w:val="TableContents"/>
              <w:bidi w:val="0"/>
              <w:spacing w:before="0" w:after="283"/>
              <w:jc w:val="left"/>
              <w:rPr/>
            </w:pPr>
            <w:r>
              <w:rPr/>
              <w:t> </w:t>
            </w:r>
          </w:p>
        </w:tc>
      </w:tr>
      <w:tr>
        <w:trPr/>
        <w:tc>
          <w:tcPr>
            <w:tcW w:w="469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1,055</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1,055</w:t>
            </w:r>
          </w:p>
        </w:tc>
        <w:tc>
          <w:tcPr>
            <w:tcW w:w="168" w:type="dxa"/>
            <w:tcBorders/>
            <w:vAlign w:val="bottom"/>
          </w:tcPr>
          <w:p>
            <w:pPr>
              <w:pStyle w:val="TableContents"/>
              <w:bidi w:val="0"/>
              <w:spacing w:before="0" w:after="283"/>
              <w:jc w:val="left"/>
              <w:rPr/>
            </w:pPr>
            <w:r>
              <w:rPr/>
              <w:t> </w:t>
            </w:r>
          </w:p>
        </w:tc>
      </w:tr>
      <w:tr>
        <w:trPr/>
        <w:tc>
          <w:tcPr>
            <w:tcW w:w="4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indirect program costs</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596</w:t>
            </w:r>
          </w:p>
        </w:tc>
        <w:tc>
          <w:tcPr>
            <w:tcW w:w="1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427</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169</w:t>
            </w:r>
          </w:p>
        </w:tc>
        <w:tc>
          <w:tcPr>
            <w:tcW w:w="168" w:type="dxa"/>
            <w:tcBorders/>
            <w:shd w:fill="CCEEFF" w:val="clear"/>
            <w:vAlign w:val="bottom"/>
          </w:tcPr>
          <w:p>
            <w:pPr>
              <w:pStyle w:val="TableContents"/>
              <w:bidi w:val="0"/>
              <w:spacing w:before="0" w:after="283"/>
              <w:jc w:val="left"/>
              <w:rPr/>
            </w:pPr>
            <w:r>
              <w:rPr/>
              <w:t> </w:t>
            </w:r>
          </w:p>
        </w:tc>
      </w:tr>
      <w:tr>
        <w:trPr/>
        <w:tc>
          <w:tcPr>
            <w:tcW w:w="469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698" w:type="dxa"/>
            <w:tcBorders/>
          </w:tcPr>
          <w:p>
            <w:pPr>
              <w:pStyle w:val="TableContents"/>
              <w:bidi w:val="0"/>
              <w:spacing w:before="0" w:after="0"/>
              <w:jc w:val="left"/>
              <w:rPr>
                <w:rFonts w:ascii="Times New Roman" w:hAnsi="Times New Roman"/>
                <w:sz w:val="20"/>
              </w:rPr>
            </w:pPr>
            <w:r>
              <w:rPr>
                <w:rFonts w:ascii="Times New Roman" w:hAnsi="Times New Roman"/>
                <w:sz w:val="20"/>
              </w:rPr>
              <w:t>Total indirect program costs</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10,625</w:t>
            </w:r>
          </w:p>
        </w:tc>
        <w:tc>
          <w:tcPr>
            <w:tcW w:w="1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6,989</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3,636</w:t>
            </w:r>
          </w:p>
        </w:tc>
        <w:tc>
          <w:tcPr>
            <w:tcW w:w="168" w:type="dxa"/>
            <w:tcBorders/>
            <w:vAlign w:val="bottom"/>
          </w:tcPr>
          <w:p>
            <w:pPr>
              <w:pStyle w:val="TableContents"/>
              <w:bidi w:val="0"/>
              <w:spacing w:before="0" w:after="283"/>
              <w:jc w:val="left"/>
              <w:rPr/>
            </w:pPr>
            <w:r>
              <w:rPr/>
              <w:t> </w:t>
            </w:r>
          </w:p>
        </w:tc>
      </w:tr>
      <w:tr>
        <w:trPr/>
        <w:tc>
          <w:tcPr>
            <w:tcW w:w="469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R&amp;D expenses</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13,973</w:t>
            </w:r>
          </w:p>
        </w:tc>
        <w:tc>
          <w:tcPr>
            <w:tcW w:w="1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12,218</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2" w:type="dxa"/>
            <w:tcBorders/>
            <w:shd w:fill="CCEEFF" w:val="clear"/>
            <w:vAlign w:val="bottom"/>
          </w:tcPr>
          <w:p>
            <w:pPr>
              <w:pStyle w:val="TableContents"/>
              <w:bidi w:val="0"/>
              <w:spacing w:before="0" w:after="283"/>
              <w:jc w:val="right"/>
              <w:rPr/>
            </w:pPr>
            <w:r>
              <w:rPr/>
              <w:t>1,755</w:t>
            </w:r>
          </w:p>
        </w:tc>
        <w:tc>
          <w:tcPr>
            <w:tcW w:w="168" w:type="dxa"/>
            <w:tcBorders/>
            <w:shd w:fill="CCEEFF" w:val="clear"/>
            <w:vAlign w:val="bottom"/>
          </w:tcPr>
          <w:p>
            <w:pPr>
              <w:pStyle w:val="TableContents"/>
              <w:bidi w:val="0"/>
              <w:spacing w:before="0" w:after="283"/>
              <w:jc w:val="left"/>
              <w:rPr/>
            </w:pPr>
            <w:r>
              <w:rPr/>
              <w:t> </w:t>
            </w:r>
          </w:p>
        </w:tc>
      </w:tr>
      <w:tr>
        <w:trPr/>
        <w:tc>
          <w:tcPr>
            <w:tcW w:w="469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R&amp;D expenses were $14.0 million and $12.2 million for the three months ended June 30, 2026 and 2025, respectively. The $1.8 million increase was primarily attributable to (i) a $3.2 million increase in facilities-related costs due to the early termination of the 2024 Lease, and (ii) a $1.1 million increase related to the impairment of property and equipment as a result of its early termination of the 2024 Lease, partially offset by (iii) a $1.9 million decrease in direct program costs, (iv) a $0.4 million decrease in personnel-related costs, reflecting a decline in ongoing compensation costs resulting from the reduction in workforce, substantially offset by severance costs and stock-based compensation recognized in connection with the amendment of its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options during the second quarter of 2026, and (v) a $0.2 million decrease in outside services and consulting costs. The increase in BBI-940 direct program costs for the three months ended June 30, 2026 compared with the same period in 2025 was primarily due to costs relating to the KOMODO-1 clinical trial initiated in early 2026, and the decreases in BBI-355 and BBI-825 direct program costs for the three months ended June 30, 2026 compared with the same period in 2025 were primarily due to Boundless Bio’s decisions to wind down the POTENTIATE and STARMAP clinical trials,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BBI-940 direct program costs are shown as a separate component of R&amp;D expenses in the table above for all periods presented. Such costs were included in “other development programs” in its annual financial statements for the year ended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G&amp;A expenses were $10.4 million and $4.8 million for the three months ended June 30, 2026 and 2025, respectively. The $5.6 million increase in G&amp;A expenses was primarily attributable to (i) a $1.7 million increase in personnel-related costs, primarily related to severance costs and stock-based compensation expense recognized in connection with the amendment of its stock options (see Notes 1 and 9 to Boundless Bio’s unaudited condensed financial statements appearing elsewhere in this proxy statement/prospectus), (ii) a $2.0 million increase in facilities-related costs due to the early termination of the 2024 Lease, (iii) a $1.4 million increase in professional fees, primarily related to legal fees incurred in connection with the Merger, and (iv) a $0.5 million increase in other G&amp;A costs.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$0.7 million and $1.4 million for the three months ended June 30, 2026 and 2025, respectively. The $0.7 million decrease resulted from a reduction in interest income generated by Boundless Bio’s available-for-sale investment securities portfolio due to a decrease in the amount of cash and cash equivalents available for investing purposes as well as a decline in the market yields available for such investment securities compared to the prior year period.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expects interest income to decrease prior to the Closing as it winds down its R&amp;D activities and incurs costs associated with the Merger, and as its investable asset base declines, including the anticipated Boundless Bio Pre-Closing Dividend described under “Boundless Bio Pre-Closing Dividend” above. Market yields on Boundless Bio’s investment portfolio may also fluctuate in response to changes in monetary policy and broader interest rate conditions, which could further affect interest income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results of operations for each of the periods indicated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85"/>
        <w:gridCol w:w="305"/>
        <w:gridCol w:w="146"/>
        <w:gridCol w:w="769"/>
        <w:gridCol w:w="156"/>
        <w:gridCol w:w="305"/>
        <w:gridCol w:w="146"/>
        <w:gridCol w:w="769"/>
        <w:gridCol w:w="156"/>
        <w:gridCol w:w="305"/>
        <w:gridCol w:w="150"/>
        <w:gridCol w:w="714"/>
        <w:gridCol w:w="166"/>
      </w:tblGrid>
      <w:tr>
        <w:trPr/>
        <w:tc>
          <w:tcPr>
            <w:tcW w:w="4485"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64"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448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6" w:type="dxa"/>
            <w:tcBorders/>
            <w:vAlign w:val="bottom"/>
          </w:tcPr>
          <w:p>
            <w:pPr>
              <w:pStyle w:val="TableContents"/>
              <w:bidi w:val="0"/>
              <w:spacing w:before="0" w:after="283"/>
              <w:jc w:val="left"/>
              <w:rPr/>
            </w:pPr>
            <w:r>
              <w:rPr/>
              <w:t> </w:t>
            </w:r>
          </w:p>
        </w:tc>
      </w:tr>
      <w:tr>
        <w:trPr/>
        <w:tc>
          <w:tcPr>
            <w:tcW w:w="4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448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23,707</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24,355</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(648</w:t>
            </w:r>
          </w:p>
        </w:tc>
        <w:tc>
          <w:tcPr>
            <w:tcW w:w="166" w:type="dxa"/>
            <w:tcBorders/>
            <w:vAlign w:val="bottom"/>
          </w:tcPr>
          <w:p>
            <w:pPr>
              <w:pStyle w:val="TableContents"/>
              <w:bidi w:val="0"/>
              <w:spacing w:before="0" w:after="283"/>
              <w:jc w:val="left"/>
              <w:rPr/>
            </w:pPr>
            <w:r>
              <w:rPr/>
              <w:t>) </w:t>
            </w:r>
          </w:p>
        </w:tc>
      </w:tr>
      <w:tr>
        <w:trPr/>
        <w:tc>
          <w:tcPr>
            <w:tcW w:w="4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15,152</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10,047</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5,105</w:t>
            </w:r>
          </w:p>
        </w:tc>
        <w:tc>
          <w:tcPr>
            <w:tcW w:w="166" w:type="dxa"/>
            <w:tcBorders/>
            <w:shd w:fill="CCEEFF" w:val="clear"/>
            <w:vAlign w:val="bottom"/>
          </w:tcPr>
          <w:p>
            <w:pPr>
              <w:pStyle w:val="TableContents"/>
              <w:bidi w:val="0"/>
              <w:spacing w:before="0" w:after="283"/>
              <w:jc w:val="left"/>
              <w:rPr/>
            </w:pPr>
            <w:r>
              <w:rPr/>
              <w:t> </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38,859</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34,402</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4,457</w:t>
            </w:r>
          </w:p>
        </w:tc>
        <w:tc>
          <w:tcPr>
            <w:tcW w:w="166" w:type="dxa"/>
            <w:tcBorders/>
            <w:vAlign w:val="bottom"/>
          </w:tcPr>
          <w:p>
            <w:pPr>
              <w:pStyle w:val="TableContents"/>
              <w:bidi w:val="0"/>
              <w:spacing w:before="0" w:after="283"/>
              <w:jc w:val="left"/>
              <w:rPr/>
            </w:pPr>
            <w:r>
              <w:rPr/>
              <w:t> </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(38,859</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(34,402</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(4,457</w:t>
            </w:r>
          </w:p>
        </w:tc>
        <w:tc>
          <w:tcPr>
            <w:tcW w:w="166" w:type="dxa"/>
            <w:tcBorders/>
            <w:shd w:fill="CCEEFF" w:val="clear"/>
            <w:vAlign w:val="bottom"/>
          </w:tcPr>
          <w:p>
            <w:pPr>
              <w:pStyle w:val="TableContents"/>
              <w:bidi w:val="0"/>
              <w:spacing w:before="0" w:after="283"/>
              <w:jc w:val="left"/>
              <w:rPr/>
            </w:pPr>
            <w:r>
              <w:rPr/>
              <w:t>) </w:t>
            </w:r>
          </w:p>
        </w:tc>
      </w:tr>
      <w:tr>
        <w:trPr/>
        <w:tc>
          <w:tcPr>
            <w:tcW w:w="448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4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1,610</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2,971</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(1,361</w:t>
            </w:r>
          </w:p>
        </w:tc>
        <w:tc>
          <w:tcPr>
            <w:tcW w:w="166" w:type="dxa"/>
            <w:tcBorders/>
            <w:shd w:fill="CCEEFF" w:val="clear"/>
            <w:vAlign w:val="bottom"/>
          </w:tcPr>
          <w:p>
            <w:pPr>
              <w:pStyle w:val="TableContents"/>
              <w:bidi w:val="0"/>
              <w:spacing w:before="0" w:after="283"/>
              <w:jc w:val="left"/>
              <w:rPr/>
            </w:pPr>
            <w:r>
              <w:rPr/>
              <w:t>) </w:t>
            </w:r>
          </w:p>
        </w:tc>
      </w:tr>
      <w:tr>
        <w:trPr/>
        <w:tc>
          <w:tcPr>
            <w:tcW w:w="448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3</w:t>
            </w:r>
          </w:p>
        </w:tc>
        <w:tc>
          <w:tcPr>
            <w:tcW w:w="166" w:type="dxa"/>
            <w:tcBorders/>
            <w:vAlign w:val="bottom"/>
          </w:tcPr>
          <w:p>
            <w:pPr>
              <w:pStyle w:val="TableContents"/>
              <w:bidi w:val="0"/>
              <w:spacing w:before="0" w:after="283"/>
              <w:jc w:val="left"/>
              <w:rPr/>
            </w:pPr>
            <w:r>
              <w:rPr/>
              <w:t> </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1,611</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2,969</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(1,358</w:t>
            </w:r>
          </w:p>
        </w:tc>
        <w:tc>
          <w:tcPr>
            <w:tcW w:w="166" w:type="dxa"/>
            <w:tcBorders/>
            <w:shd w:fill="CCEEFF" w:val="clear"/>
            <w:vAlign w:val="bottom"/>
          </w:tcPr>
          <w:p>
            <w:pPr>
              <w:pStyle w:val="TableContents"/>
              <w:bidi w:val="0"/>
              <w:spacing w:before="0" w:after="283"/>
              <w:jc w:val="left"/>
              <w:rPr/>
            </w:pPr>
            <w:r>
              <w:rPr/>
              <w:t>) </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(37,248</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(31,433</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(5,815</w:t>
            </w:r>
          </w:p>
        </w:tc>
        <w:tc>
          <w:tcPr>
            <w:tcW w:w="166" w:type="dxa"/>
            <w:tcBorders/>
            <w:vAlign w:val="bottom"/>
          </w:tcPr>
          <w:p>
            <w:pPr>
              <w:pStyle w:val="TableContents"/>
              <w:bidi w:val="0"/>
              <w:spacing w:before="0" w:after="283"/>
              <w:jc w:val="left"/>
              <w:rPr/>
            </w:pPr>
            <w:r>
              <w:rPr/>
              <w:t>) </w:t>
            </w:r>
          </w:p>
        </w:tc>
      </w:tr>
      <w:tr>
        <w:trPr/>
        <w:tc>
          <w:tcPr>
            <w:tcW w:w="448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R&amp;D expenses for each of the periods indicated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89"/>
        <w:gridCol w:w="305"/>
        <w:gridCol w:w="149"/>
        <w:gridCol w:w="733"/>
        <w:gridCol w:w="60"/>
        <w:gridCol w:w="305"/>
        <w:gridCol w:w="149"/>
        <w:gridCol w:w="733"/>
        <w:gridCol w:w="60"/>
        <w:gridCol w:w="305"/>
        <w:gridCol w:w="153"/>
        <w:gridCol w:w="667"/>
        <w:gridCol w:w="164"/>
      </w:tblGrid>
      <w:tr>
        <w:trPr/>
        <w:tc>
          <w:tcPr>
            <w:tcW w:w="4789"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8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1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478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7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Direct program costs:</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6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789" w:type="dxa"/>
            <w:tcBorders/>
          </w:tcPr>
          <w:p>
            <w:pPr>
              <w:pStyle w:val="TableContents"/>
              <w:bidi w:val="0"/>
              <w:spacing w:before="0" w:after="0"/>
              <w:jc w:val="left"/>
              <w:rPr>
                <w:rFonts w:ascii="Times New Roman" w:hAnsi="Times New Roman"/>
                <w:sz w:val="20"/>
              </w:rPr>
            </w:pPr>
            <w:r>
              <w:rPr>
                <w:rFonts w:ascii="Times New Roman" w:hAnsi="Times New Roman"/>
                <w:sz w:val="20"/>
              </w:rPr>
              <w:t>BBI-940</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7,630</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2,340</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67" w:type="dxa"/>
            <w:tcBorders/>
            <w:vAlign w:val="bottom"/>
          </w:tcPr>
          <w:p>
            <w:pPr>
              <w:pStyle w:val="TableContents"/>
              <w:bidi w:val="0"/>
              <w:spacing w:before="0" w:after="283"/>
              <w:jc w:val="right"/>
              <w:rPr/>
            </w:pPr>
            <w:r>
              <w:rPr/>
              <w:t>5,290</w:t>
            </w:r>
          </w:p>
        </w:tc>
        <w:tc>
          <w:tcPr>
            <w:tcW w:w="164" w:type="dxa"/>
            <w:tcBorders/>
            <w:vAlign w:val="bottom"/>
          </w:tcPr>
          <w:p>
            <w:pPr>
              <w:pStyle w:val="TableContents"/>
              <w:bidi w:val="0"/>
              <w:spacing w:before="0" w:after="283"/>
              <w:jc w:val="left"/>
              <w:rPr/>
            </w:pPr>
            <w:r>
              <w:rPr/>
              <w:t> </w:t>
            </w:r>
          </w:p>
        </w:tc>
      </w:tr>
      <w:tr>
        <w:trPr/>
        <w:tc>
          <w:tcPr>
            <w:tcW w:w="4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BBI-355</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504</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5,776</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(5,272</w:t>
            </w:r>
          </w:p>
        </w:tc>
        <w:tc>
          <w:tcPr>
            <w:tcW w:w="164" w:type="dxa"/>
            <w:tcBorders/>
            <w:shd w:fill="CCEEFF" w:val="clear"/>
            <w:vAlign w:val="bottom"/>
          </w:tcPr>
          <w:p>
            <w:pPr>
              <w:pStyle w:val="TableContents"/>
              <w:bidi w:val="0"/>
              <w:spacing w:before="0" w:after="283"/>
              <w:jc w:val="left"/>
              <w:rPr/>
            </w:pPr>
            <w:r>
              <w:rPr/>
              <w:t>) </w:t>
            </w:r>
          </w:p>
        </w:tc>
      </w:tr>
      <w:tr>
        <w:trPr/>
        <w:tc>
          <w:tcPr>
            <w:tcW w:w="4789" w:type="dxa"/>
            <w:tcBorders/>
          </w:tcPr>
          <w:p>
            <w:pPr>
              <w:pStyle w:val="TableContents"/>
              <w:bidi w:val="0"/>
              <w:spacing w:before="0" w:after="0"/>
              <w:jc w:val="left"/>
              <w:rPr>
                <w:rFonts w:ascii="Times New Roman" w:hAnsi="Times New Roman"/>
                <w:sz w:val="20"/>
              </w:rPr>
            </w:pPr>
            <w:r>
              <w:rPr>
                <w:rFonts w:ascii="Times New Roman" w:hAnsi="Times New Roman"/>
                <w:sz w:val="20"/>
              </w:rPr>
              <w:t>BBI-825</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1,989</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(1,989</w:t>
            </w:r>
          </w:p>
        </w:tc>
        <w:tc>
          <w:tcPr>
            <w:tcW w:w="164" w:type="dxa"/>
            <w:tcBorders/>
            <w:vAlign w:val="bottom"/>
          </w:tcPr>
          <w:p>
            <w:pPr>
              <w:pStyle w:val="TableContents"/>
              <w:bidi w:val="0"/>
              <w:spacing w:before="0" w:after="283"/>
              <w:jc w:val="left"/>
              <w:rPr/>
            </w:pPr>
            <w:r>
              <w:rPr/>
              <w:t>) </w:t>
            </w:r>
          </w:p>
        </w:tc>
      </w:tr>
      <w:tr>
        <w:trPr/>
        <w:tc>
          <w:tcPr>
            <w:tcW w:w="4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development programs</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(54</w:t>
            </w:r>
          </w:p>
        </w:tc>
        <w:tc>
          <w:tcPr>
            <w:tcW w:w="164" w:type="dxa"/>
            <w:tcBorders/>
            <w:shd w:fill="CCEEFF" w:val="clear"/>
            <w:vAlign w:val="bottom"/>
          </w:tcPr>
          <w:p>
            <w:pPr>
              <w:pStyle w:val="TableContents"/>
              <w:bidi w:val="0"/>
              <w:spacing w:before="0" w:after="283"/>
              <w:jc w:val="left"/>
              <w:rPr/>
            </w:pPr>
            <w:r>
              <w:rPr/>
              <w:t>) </w:t>
            </w:r>
          </w:p>
        </w:tc>
      </w:tr>
      <w:tr>
        <w:trPr/>
        <w:tc>
          <w:tcPr>
            <w:tcW w:w="4789"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89" w:type="dxa"/>
            <w:tcBorders/>
          </w:tcPr>
          <w:p>
            <w:pPr>
              <w:pStyle w:val="TableContents"/>
              <w:bidi w:val="0"/>
              <w:spacing w:before="0" w:after="0"/>
              <w:jc w:val="left"/>
              <w:rPr>
                <w:rFonts w:ascii="Times New Roman" w:hAnsi="Times New Roman"/>
                <w:sz w:val="20"/>
              </w:rPr>
            </w:pPr>
            <w:r>
              <w:rPr>
                <w:rFonts w:ascii="Times New Roman" w:hAnsi="Times New Roman"/>
                <w:sz w:val="20"/>
              </w:rPr>
              <w:t>Total direct program costs</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8,137</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10,162</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(2,025</w:t>
            </w:r>
          </w:p>
        </w:tc>
        <w:tc>
          <w:tcPr>
            <w:tcW w:w="164" w:type="dxa"/>
            <w:tcBorders/>
            <w:vAlign w:val="bottom"/>
          </w:tcPr>
          <w:p>
            <w:pPr>
              <w:pStyle w:val="TableContents"/>
              <w:bidi w:val="0"/>
              <w:spacing w:before="0" w:after="283"/>
              <w:jc w:val="left"/>
              <w:rPr/>
            </w:pPr>
            <w:r>
              <w:rPr/>
              <w:t>) </w:t>
            </w:r>
          </w:p>
        </w:tc>
      </w:tr>
      <w:tr>
        <w:trPr/>
        <w:tc>
          <w:tcPr>
            <w:tcW w:w="4789"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Indirect program costs</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6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789"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 compensation)</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5,943</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7,871</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(1,928</w:t>
            </w:r>
          </w:p>
        </w:tc>
        <w:tc>
          <w:tcPr>
            <w:tcW w:w="164" w:type="dxa"/>
            <w:tcBorders/>
            <w:vAlign w:val="bottom"/>
          </w:tcPr>
          <w:p>
            <w:pPr>
              <w:pStyle w:val="TableContents"/>
              <w:bidi w:val="0"/>
              <w:spacing w:before="0" w:after="283"/>
              <w:jc w:val="left"/>
              <w:rPr/>
            </w:pPr>
            <w:r>
              <w:rPr/>
              <w:t>) </w:t>
            </w:r>
          </w:p>
        </w:tc>
      </w:tr>
      <w:tr>
        <w:trPr/>
        <w:tc>
          <w:tcPr>
            <w:tcW w:w="4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Outside services and consulting</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276</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795</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(519</w:t>
            </w:r>
          </w:p>
        </w:tc>
        <w:tc>
          <w:tcPr>
            <w:tcW w:w="164" w:type="dxa"/>
            <w:tcBorders/>
            <w:shd w:fill="CCEEFF" w:val="clear"/>
            <w:vAlign w:val="bottom"/>
          </w:tcPr>
          <w:p>
            <w:pPr>
              <w:pStyle w:val="TableContents"/>
              <w:bidi w:val="0"/>
              <w:spacing w:before="0" w:after="283"/>
              <w:jc w:val="left"/>
              <w:rPr/>
            </w:pPr>
            <w:r>
              <w:rPr/>
              <w:t>) </w:t>
            </w:r>
          </w:p>
        </w:tc>
      </w:tr>
      <w:tr>
        <w:trPr/>
        <w:tc>
          <w:tcPr>
            <w:tcW w:w="4789" w:type="dxa"/>
            <w:tcBorders/>
          </w:tcPr>
          <w:p>
            <w:pPr>
              <w:pStyle w:val="TableContents"/>
              <w:bidi w:val="0"/>
              <w:spacing w:before="0" w:after="0"/>
              <w:jc w:val="left"/>
              <w:rPr>
                <w:rFonts w:ascii="Times New Roman" w:hAnsi="Times New Roman"/>
                <w:sz w:val="20"/>
              </w:rPr>
            </w:pPr>
            <w:r>
              <w:rPr>
                <w:rFonts w:ascii="Times New Roman" w:hAnsi="Times New Roman"/>
                <w:sz w:val="20"/>
              </w:rPr>
              <w:t>Lab and pharmacology supplies</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199</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425</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(226</w:t>
            </w:r>
          </w:p>
        </w:tc>
        <w:tc>
          <w:tcPr>
            <w:tcW w:w="164" w:type="dxa"/>
            <w:tcBorders/>
            <w:vAlign w:val="bottom"/>
          </w:tcPr>
          <w:p>
            <w:pPr>
              <w:pStyle w:val="TableContents"/>
              <w:bidi w:val="0"/>
              <w:spacing w:before="0" w:after="283"/>
              <w:jc w:val="left"/>
              <w:rPr/>
            </w:pPr>
            <w:r>
              <w:rPr/>
              <w:t>) </w:t>
            </w:r>
          </w:p>
        </w:tc>
      </w:tr>
      <w:tr>
        <w:trPr/>
        <w:tc>
          <w:tcPr>
            <w:tcW w:w="4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(including depreciation)</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7,139</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4,092</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3,047</w:t>
            </w:r>
          </w:p>
        </w:tc>
        <w:tc>
          <w:tcPr>
            <w:tcW w:w="164" w:type="dxa"/>
            <w:tcBorders/>
            <w:shd w:fill="CCEEFF" w:val="clear"/>
            <w:vAlign w:val="bottom"/>
          </w:tcPr>
          <w:p>
            <w:pPr>
              <w:pStyle w:val="TableContents"/>
              <w:bidi w:val="0"/>
              <w:spacing w:before="0" w:after="283"/>
              <w:jc w:val="left"/>
              <w:rPr/>
            </w:pPr>
            <w:r>
              <w:rPr/>
              <w:t> </w:t>
            </w:r>
          </w:p>
        </w:tc>
      </w:tr>
      <w:tr>
        <w:trPr/>
        <w:tc>
          <w:tcPr>
            <w:tcW w:w="4789"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1,055</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1,055</w:t>
            </w:r>
          </w:p>
        </w:tc>
        <w:tc>
          <w:tcPr>
            <w:tcW w:w="164" w:type="dxa"/>
            <w:tcBorders/>
            <w:vAlign w:val="bottom"/>
          </w:tcPr>
          <w:p>
            <w:pPr>
              <w:pStyle w:val="TableContents"/>
              <w:bidi w:val="0"/>
              <w:spacing w:before="0" w:after="283"/>
              <w:jc w:val="left"/>
              <w:rPr/>
            </w:pPr>
            <w:r>
              <w:rPr/>
              <w:t> </w:t>
            </w:r>
          </w:p>
        </w:tc>
      </w:tr>
      <w:tr>
        <w:trPr/>
        <w:tc>
          <w:tcPr>
            <w:tcW w:w="4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indirect program costs</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958</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1,010</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(52</w:t>
            </w:r>
          </w:p>
        </w:tc>
        <w:tc>
          <w:tcPr>
            <w:tcW w:w="164" w:type="dxa"/>
            <w:tcBorders/>
            <w:shd w:fill="CCEEFF" w:val="clear"/>
            <w:vAlign w:val="bottom"/>
          </w:tcPr>
          <w:p>
            <w:pPr>
              <w:pStyle w:val="TableContents"/>
              <w:bidi w:val="0"/>
              <w:spacing w:before="0" w:after="283"/>
              <w:jc w:val="left"/>
              <w:rPr/>
            </w:pPr>
            <w:r>
              <w:rPr/>
              <w:t>) </w:t>
            </w:r>
          </w:p>
        </w:tc>
      </w:tr>
      <w:tr>
        <w:trPr/>
        <w:tc>
          <w:tcPr>
            <w:tcW w:w="4789"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89" w:type="dxa"/>
            <w:tcBorders/>
          </w:tcPr>
          <w:p>
            <w:pPr>
              <w:pStyle w:val="TableContents"/>
              <w:bidi w:val="0"/>
              <w:spacing w:before="0" w:after="0"/>
              <w:jc w:val="left"/>
              <w:rPr>
                <w:rFonts w:ascii="Times New Roman" w:hAnsi="Times New Roman"/>
                <w:sz w:val="20"/>
              </w:rPr>
            </w:pPr>
            <w:r>
              <w:rPr>
                <w:rFonts w:ascii="Times New Roman" w:hAnsi="Times New Roman"/>
                <w:sz w:val="20"/>
              </w:rPr>
              <w:t>Total indirect program costs</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15,570</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14,193</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1,377</w:t>
            </w:r>
          </w:p>
        </w:tc>
        <w:tc>
          <w:tcPr>
            <w:tcW w:w="164" w:type="dxa"/>
            <w:tcBorders/>
            <w:vAlign w:val="bottom"/>
          </w:tcPr>
          <w:p>
            <w:pPr>
              <w:pStyle w:val="TableContents"/>
              <w:bidi w:val="0"/>
              <w:spacing w:before="0" w:after="283"/>
              <w:jc w:val="left"/>
              <w:rPr/>
            </w:pPr>
            <w:r>
              <w:rPr/>
              <w:t> </w:t>
            </w:r>
          </w:p>
        </w:tc>
      </w:tr>
      <w:tr>
        <w:trPr/>
        <w:tc>
          <w:tcPr>
            <w:tcW w:w="4789"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R&amp;D expenses</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23,707</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24,355</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(648</w:t>
            </w:r>
          </w:p>
        </w:tc>
        <w:tc>
          <w:tcPr>
            <w:tcW w:w="164" w:type="dxa"/>
            <w:tcBorders/>
            <w:shd w:fill="CCEEFF" w:val="clear"/>
            <w:vAlign w:val="bottom"/>
          </w:tcPr>
          <w:p>
            <w:pPr>
              <w:pStyle w:val="TableContents"/>
              <w:bidi w:val="0"/>
              <w:spacing w:before="0" w:after="283"/>
              <w:jc w:val="left"/>
              <w:rPr/>
            </w:pPr>
            <w:r>
              <w:rPr/>
              <w:t>) </w:t>
            </w:r>
          </w:p>
        </w:tc>
      </w:tr>
      <w:tr>
        <w:trPr/>
        <w:tc>
          <w:tcPr>
            <w:tcW w:w="4789"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R&amp;D expenses were $23.7 million and $24.4 million for the six months ended June 30, 2026 and 2025, respectively. The $0.6 million decrease was primarily attributable to (i) a $2.0 million decrease in direct program costs, (ii) a $1.9 million decrease in personnel-related costs, reflecting a decline in ongoing compensation costs resulting from the reduction in workforce, partially offset by severance costs recognized during the second quarter of 2026, and (iii) a $0.8 million decrease in other R&amp;D costs, partially offset by (iv) a $3.0 million increase in facilities-related costs due to the early termination of the 2024 Lease, and (v) a $1.1 million increase related to the impairment of property and equipment as a result of its early termination of the 2024 Lease. The increase in BBI-940 direct program costs for the six months ended June 30, 2026 compared with the same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2025 was primarily due to costs relating to the KOMODO-1 clinical trial initiated in early 2026, and the decreases in BBI-355 and BBI-825 direct program costs for the six months ended June 30, 2026 compared with the same period in 2025 were primarily due to Boundless Bio’s decisions to wind down the POTENTIATE and STARMAP clinical trials,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BBI-940 direct program costs are shown as a separate component of R&amp;D expenses in the table above for all periods presented. Such costs were included in “other development programs” in Boundless Bio’s annual financial statements for the year ended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G&amp;A expenses were $15.2 million and $10.0 million for the six months ended June 30, 2026 and 2025, respectively. The $5.1 million increase in G&amp;A expenses was primarily attributable to (i) a $1.5 million increase in personnel-related costs, primarily related to severance costs and stock-based compensation expense recognized in connection with the amendment of its stock options (see Notes 1 and 9 to Boundless Bio’s unaudited condensed financial statements appearing elsewhere in this proxy statement/prospectus), (ii) a $2.4 million increase in facilities-related costs due to the early termination of the 2024 Lease, and (iii) a $1.2 million increase in professional fees.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$1.6 million and $3.0 million for the six months ended June 30, 2026 and 2025, respectively. The $1.4 million decrease resulted from a reduction in interest income generated by Boundless Bio’s available-for-sale investment securities portfolio due to a decrease in the amount of cash and cash equivalents available for investing purposes as well as a decline in the market yields available for such investment securities compared to the prior 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results of operations for each of the periods indicated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0"/>
        <w:gridCol w:w="306"/>
        <w:gridCol w:w="145"/>
        <w:gridCol w:w="765"/>
        <w:gridCol w:w="155"/>
        <w:gridCol w:w="306"/>
        <w:gridCol w:w="145"/>
        <w:gridCol w:w="765"/>
        <w:gridCol w:w="155"/>
        <w:gridCol w:w="306"/>
        <w:gridCol w:w="145"/>
        <w:gridCol w:w="765"/>
        <w:gridCol w:w="164"/>
      </w:tblGrid>
      <w:tr>
        <w:trPr/>
        <w:tc>
          <w:tcPr>
            <w:tcW w:w="445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2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44,845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55,267</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(10,422</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18,707</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18,000</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707</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63,552</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73,267</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(9,715</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(63,552</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(73,267</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9,715</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5,357</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7,892</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(2,535</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(14</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5,355</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7,904</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(2,549</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(58,197</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(65,363</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7,166</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R&amp;D expenses for each of the periods indicated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22"/>
        <w:gridCol w:w="307"/>
        <w:gridCol w:w="146"/>
        <w:gridCol w:w="721"/>
        <w:gridCol w:w="60"/>
        <w:gridCol w:w="307"/>
        <w:gridCol w:w="146"/>
        <w:gridCol w:w="721"/>
        <w:gridCol w:w="60"/>
        <w:gridCol w:w="307"/>
        <w:gridCol w:w="146"/>
        <w:gridCol w:w="768"/>
        <w:gridCol w:w="161"/>
      </w:tblGrid>
      <w:tr>
        <w:trPr/>
        <w:tc>
          <w:tcPr>
            <w:tcW w:w="4722"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1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14"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Direct program costs:</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BBI-355</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9,687</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10,024</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(337</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BBI-825</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2,887</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11,644</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(8,757</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Other development programs</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7,659</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5,178</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2,481</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direct program costs</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20,233</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26,846</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(6,613</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Indirect program costs:</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 compensation)</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12,740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16,820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(4,080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Outside services and consulting</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1,670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4,079</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(2,409</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and pharmacology supplies</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580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1,899</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(1,319</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Facilities-related (including depreciation)</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7,797</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3,818</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3,979</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indirect program costs</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1,825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1,805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Total indirect program costs</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24,612</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28,421</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(3,809</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R&amp;D expenses</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44,845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55,267</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(10,422</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R&amp;D expenses were $44.8 million and $55.3 million for the years ended December 31, 2025 and 2024, respectively. The $10.4 million decrease was primarily attributable to (i) a $6.6 million decrease in direct program costs, driven by reduced spending on the STARMAP and POTENTIATE trials, partially offset by increased investment in other development programs, primarily BBI-940, (ii) a $4.1 million decrease in personnel-related costs, primarily due to workforce reductions implemented in 2024 and 2025, (iii) a $2.4 million decrease in outside services and consulting costs, and (iv) a $1.3 million decrease in laboratory and pharmacology supply costs due to lower material needs in certain development programs. These decreases were partially offset by a $4.0 million increase in facilities-related expenses, primarily due to the commencement of the lease related to its corporate headquarters in the fourth quarter of 2024, which resulted in a full-year impact on facilities-related costs in 2025 compared to a partial-year impact in 2024.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G&amp;A expenses were $18.7 million and $18.0 million for the years ended December 31, 2025 and 2024, respectively. The $0.7 million increase in G&amp;A expenses was primarily attributable to a $1.9 million increase in facilities-related costs, primarily due to the relocation of its corporate headquarters in the fourth quarter of 2024, partially offset by a $1.2 million decrease in personnel-related costs, primarily due to workforce reductions implemented in 2024 and 2025.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$5.4 million and $7.9 million for the years ended December 31, 2025 and 2024, respectively. The $2.5 million decrease resulted primarily from a reduction in interest income generated by Boundless Bio’s available-for-sale investment securities portfolio, due to both a decrease in the amount of cash equivalents available for investing purposes and a decline in the market yields available for such investment securities compared to the prior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pursuant to which, among other matters, Merger Sub will merge with and into Serapha, with Serapha surviving as a wholly owned subsidiary of Boundless Bio. The Closing is subject to approval by Boundless Bio stockholders and the stockholders of Serapha and other closing conditions. Boundless Bio’s future operations are highly dependent on the success of the proposed Merger with Serapha. </w:t>
      </w:r>
    </w:p>
    <w:p>
      <w:pPr>
        <w:pStyle w:val="TextBody"/>
        <w:bidi w:val="0"/>
        <w:spacing w:before="240" w:after="0"/>
        <w:jc w:val="left"/>
        <w:rPr>
          <w:rFonts w:ascii="Times New Roman" w:hAnsi="Times New Roman"/>
          <w:sz w:val="20"/>
        </w:rPr>
      </w:pPr>
      <w:r>
        <w:rPr>
          <w:rFonts w:ascii="Times New Roman" w:hAnsi="Times New Roman"/>
          <w:sz w:val="20"/>
        </w:rPr>
        <w:t xml:space="preserve">Through June 30, 2026, Boundless Bio has raised a total of $353.9 million to fund its operations primarily from the gross proceeds from the sale and issuance of shares of Boundless Bio Preferred Stock prior to its IPO and the sale and issuance of 6,250,000 shares of Boundless Bio Common Stock in its IPO, which closed in April 2024. Boundless Bio’s IPO generated gross proceeds of $100.0 million, which resulted in net proceeds to it of approximately $87.7 million, after deducting underwriting discounts and commissions and other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April 2025, Boundless Bio entered into an Open Market Sale AgreementSM (the “Sales Agreement”) with Jefferies LLC (the “Agent”), pursuant to which Boundless Bio may, from time to time, sell shares of Boundless Bio Common Stock in “at-the-market” offerings through or to the Agent, acting as sales agent or principal. See Note 1 to Boundless Bio’s unaudited condensed financial statements appearing elsewhere in this proxy statement/prospectus for further information. Boundless Bio is not obligated to sell any shares under the Sales Agreement, and the Agent is not obligated to buy or sell any shares of Boundless Bio Common Stock. Boundless Bio cannot provide any assurance that it will sell any shares under the Sales Agreement, or, if it does, as to the prices, amounts, or timing of any such sales. As of June 30, 2026, no shares had been sold under the Sales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Boundless Bio had cash, cash equivalents, and short-term investments of $72.6 million. As of December 31, 2025, Boundless Bio had cash, cash equivalents, and short-term investments of $107.6 million. In April 2026, Boundless Bio terminated the 2024 Lease and entered into a new, shorter-term lease, the term of which commenced June 1, 2026. The lease termination involved a cash payment of $10.0 million by Boundless Bio to the landlord, and the landlord’s retention of Boundless Bio’s security deposit of approximately $0.5 million. See Note 7 to Boundless Bio’s unaudited condensed financial statements appearing elsewhere in this proxy statement/prospectus for further information regarding the lease termination and new lease. Based on Boundless Bio’s current operating plan, and without giving effect to the anticipated Boundless Bio Pre-Closing Dividend of approximately $44 to $48 million or the proposed Merger, Boundless Bio believes that its existing cash, cash equivalents, and short-term investments will be sufficient to fund its operations through the anticipated closing date of the Merger and for a period of at least 12 months from the date of issuance of the unaudited condensed financial statements of Boundless Bio appearing elsewhere in this proxy statement/prospectus. However, Boundless Bio’s operating plan may change, whether or not the Merger is completed. Boundless Bio has based this estimate on assumptions that may prove to be wrong, and it could deplete its capital resources sooner than it expects. Additionally, the process of conducting preclinical studies, manufacturing any ecDTx or other product candidates, and testing ecDTx or other product candidates in clinical trials is costly, and the timing of progress and expenses in these studies and trials is uncertain.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primary uses of capital were historically compensation and related expenses, research and development costs to support its ecDTx pipeline, legal and other regulatory expenses and general overhead costs. Now that Boundless Bio has suspended and is winding down its research and development activities in anticipation of the Merger with Serapha, its operations will be limited and it expects that Boundless Bio expenses other than those related to the Merger will decrease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future operations are highly dependent on the success of the proposed Merger with Serapha. If the Merger with Serapha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incurred significant operating losses since its inception and, as of June 30, 2026, it had an accumulated deficit of $296.9 million. Boundless Bio expects to continue to incur losses for the foreseeable future, and, in general, it anticipates these losses will increase substantially in the future if it decides to develop, seek regulatory approval for, and potentially commercialize any ecDTx, conduct clinical trials and preclinical studies, utilize third parties to manufacture any ecDTx and related raw materials, leverage Spyglass to potentially identify additional development opportunities for its ecDTx and expand its therapeutic pipeline, seek to expand and protect its intellectual property, as well as incur additional costs associated with being a public company. If Boundless Bio obtains regulatory approval for its ecDTx, it expects to incur significant commercialization expenses related to product sales, marketing, manufacturing, and distribution. Boundless Bio’s net losses may fluctuate significantly from quarter-to-quarter and year-to-year, depending on the timing of its clinical trials, preclinical studies, and its other research and development activities and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future capital requirements are difficult to predict and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complete the Merger or, if the Merger is not completed, identify and consummate another strategic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any ecDTx that Boundless Bio may choose to pursue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for any ecDTx, including commercial manufacture at sufficient scale, if its ecDTx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obtaining raw materials for manufacturing sufficient quantities of its ecDTx or obtaining sufficient quantities of any combination agents or other materials needed for use in its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developing diagnostics, if required, and the outcome of their regulatory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meetings and reviews of its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policies or approval pathways;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that hinder its ability to perform routine activities or function in the normal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seeking to obtain, maintain, expand, enforce, defend, and protect its patents and other intellectual property and proprietary rights or, if necessary, challenging third-party patents and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purchasing laboratory supplies and equipment and pharmacology supplies for its preclinical activities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costs not currently contemplated due to events that may occur as a result of, or that are associated with, streamlining its operations as discussed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needed, to support any clinical and preclinical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or securing sales and marketing capabilities if any ecDTx is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it may in-license or acquire;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competing technological and market developments as well as disruptions to and volatility in the credit and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 has no committed sources of capital. Until it can generate sufficient product revenue to finance its cash requirements, if ever, it expects to finance its future cash needs primarily through equity offerings (including through the Sales Agreement), debt financings, or other capital sources, including potential collaborations, licenses, and other similar arrangements. However, Boundless Bio may be unable to raise additional funds or enter such other arrangements when needed on favorable terms or at all. To the extent that it raises additional capital through the sale of equity or convertible debt securities, the ownership interest of its stockholders will be, or could be diluted, and the terms of these securities may include liquidation or other preferences that adversely affect the rights of its common stockholders. Debt financing, if available, may involve agreements that include covenants limiting or restricting its ability to take specific actions, such as incurring additional debt, making capital expenditures, or declaring dividends. If Boundless Bio raises additional funds through other collaborations or licensing arrangements with third parties, it may have to relinquish valuable rights to its future revenue streams, ecDTx, research programs, intellectual property, or proprietary technology, or grant licenses on terms that may not be favorable to it. Boundless Bio’s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increases in unemployment rates, and uncertainty about economic stability. If Boundless Bio is unable to raise additional funds through equity or debt financings or other arrangements when needed, it may be required to delay, limit, reduce, or terminate any ecDTx development or other operations, or grant rights to develop and market ecDTx to third parties that it would otherwise prefer to develop and market itself, or on less favorable terms than it would otherwise choose.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Boundless Bio’s cash flows for each of the periods indicated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38"/>
        <w:gridCol w:w="312"/>
        <w:gridCol w:w="145"/>
        <w:gridCol w:w="764"/>
        <w:gridCol w:w="155"/>
        <w:gridCol w:w="312"/>
        <w:gridCol w:w="145"/>
        <w:gridCol w:w="764"/>
        <w:gridCol w:w="155"/>
        <w:gridCol w:w="312"/>
        <w:gridCol w:w="145"/>
        <w:gridCol w:w="764"/>
        <w:gridCol w:w="161"/>
      </w:tblGrid>
      <w:tr>
        <w:trPr/>
        <w:tc>
          <w:tcPr>
            <w:tcW w:w="4438"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3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2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43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(35,945</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(26,359</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(9,586</w:t>
            </w:r>
          </w:p>
        </w:tc>
        <w:tc>
          <w:tcPr>
            <w:tcW w:w="161" w:type="dxa"/>
            <w:tcBorders/>
            <w:shd w:fill="CCEEFF" w:val="clear"/>
            <w:vAlign w:val="bottom"/>
          </w:tcPr>
          <w:p>
            <w:pPr>
              <w:pStyle w:val="TableContents"/>
              <w:bidi w:val="0"/>
              <w:spacing w:before="0" w:after="283"/>
              <w:jc w:val="left"/>
              <w:rPr/>
            </w:pPr>
            <w:r>
              <w:rPr/>
              <w:t>) </w:t>
            </w:r>
          </w:p>
        </w:tc>
      </w:tr>
      <w:tr>
        <w:trPr/>
        <w:tc>
          <w:tcPr>
            <w:tcW w:w="443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37,657</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14,352</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23,305</w:t>
            </w:r>
          </w:p>
        </w:tc>
        <w:tc>
          <w:tcPr>
            <w:tcW w:w="161" w:type="dxa"/>
            <w:tcBorders/>
            <w:vAlign w:val="bottom"/>
          </w:tcPr>
          <w:p>
            <w:pPr>
              <w:pStyle w:val="TableContents"/>
              <w:bidi w:val="0"/>
              <w:spacing w:before="0" w:after="283"/>
              <w:jc w:val="left"/>
              <w:rPr/>
            </w:pPr>
            <w:r>
              <w:rPr/>
              <w:t> </w:t>
            </w:r>
          </w:p>
        </w:tc>
      </w:tr>
      <w:tr>
        <w:trPr/>
        <w:tc>
          <w:tcPr>
            <w:tcW w:w="4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(44</w:t>
            </w:r>
          </w:p>
        </w:tc>
        <w:tc>
          <w:tcPr>
            <w:tcW w:w="161" w:type="dxa"/>
            <w:tcBorders/>
            <w:shd w:fill="CCEEFF" w:val="clear"/>
            <w:vAlign w:val="bottom"/>
          </w:tcPr>
          <w:p>
            <w:pPr>
              <w:pStyle w:val="TableContents"/>
              <w:bidi w:val="0"/>
              <w:spacing w:before="0" w:after="283"/>
              <w:jc w:val="left"/>
              <w:rPr/>
            </w:pPr>
            <w:r>
              <w:rPr/>
              <w:t>) </w:t>
            </w:r>
          </w:p>
        </w:tc>
      </w:tr>
      <w:tr>
        <w:trPr/>
        <w:tc>
          <w:tcPr>
            <w:tcW w:w="443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38"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1,785</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(11,890</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13,675</w:t>
            </w:r>
          </w:p>
        </w:tc>
        <w:tc>
          <w:tcPr>
            <w:tcW w:w="161" w:type="dxa"/>
            <w:tcBorders/>
            <w:vAlign w:val="bottom"/>
          </w:tcPr>
          <w:p>
            <w:pPr>
              <w:pStyle w:val="TableContents"/>
              <w:bidi w:val="0"/>
              <w:spacing w:before="0" w:after="283"/>
              <w:jc w:val="left"/>
              <w:rPr/>
            </w:pPr>
            <w:r>
              <w:rPr/>
              <w:t> </w:t>
            </w:r>
          </w:p>
        </w:tc>
      </w:tr>
      <w:tr>
        <w:trPr/>
        <w:tc>
          <w:tcPr>
            <w:tcW w:w="443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240" w:hRule="atLeast"/>
        </w:trPr>
        <w:tc>
          <w:tcPr>
            <w:tcW w:w="4438" w:type="dxa"/>
            <w:tcBorders/>
            <w:vAlign w:val="center"/>
          </w:tcPr>
          <w:p>
            <w:pPr>
              <w:pStyle w:val="TableContents"/>
              <w:bidi w:val="0"/>
              <w:spacing w:before="0" w:after="283"/>
              <w:jc w:val="left"/>
              <w:rPr>
                <w:sz w:val="4"/>
                <w:szCs w:val="4"/>
              </w:rPr>
            </w:pPr>
            <w:r>
              <w:rPr>
                <w:sz w:val="4"/>
                <w:szCs w:val="4"/>
              </w:rPr>
            </w:r>
          </w:p>
        </w:tc>
        <w:tc>
          <w:tcPr>
            <w:tcW w:w="2752" w:type="dxa"/>
            <w:gridSpan w:val="8"/>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r>
      <w:tr>
        <w:trPr/>
        <w:tc>
          <w:tcPr>
            <w:tcW w:w="443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2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43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(46,661</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(60,841</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14,180</w:t>
            </w:r>
          </w:p>
        </w:tc>
        <w:tc>
          <w:tcPr>
            <w:tcW w:w="161" w:type="dxa"/>
            <w:tcBorders/>
            <w:shd w:fill="CCEEFF" w:val="clear"/>
            <w:vAlign w:val="bottom"/>
          </w:tcPr>
          <w:p>
            <w:pPr>
              <w:pStyle w:val="TableContents"/>
              <w:bidi w:val="0"/>
              <w:spacing w:before="0" w:after="283"/>
              <w:jc w:val="left"/>
              <w:rPr/>
            </w:pPr>
            <w:r>
              <w:rPr/>
              <w:t> </w:t>
            </w:r>
          </w:p>
        </w:tc>
      </w:tr>
      <w:tr>
        <w:trPr/>
        <w:tc>
          <w:tcPr>
            <w:tcW w:w="443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37,801</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(26,101</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63,902</w:t>
            </w:r>
          </w:p>
        </w:tc>
        <w:tc>
          <w:tcPr>
            <w:tcW w:w="161" w:type="dxa"/>
            <w:tcBorders/>
            <w:vAlign w:val="bottom"/>
          </w:tcPr>
          <w:p>
            <w:pPr>
              <w:pStyle w:val="TableContents"/>
              <w:bidi w:val="0"/>
              <w:spacing w:before="0" w:after="283"/>
              <w:jc w:val="left"/>
              <w:rPr/>
            </w:pPr>
            <w:r>
              <w:rPr/>
              <w:t> </w:t>
            </w:r>
          </w:p>
        </w:tc>
      </w:tr>
      <w:tr>
        <w:trPr/>
        <w:tc>
          <w:tcPr>
            <w:tcW w:w="4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89,823</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(89,682</w:t>
            </w:r>
          </w:p>
        </w:tc>
        <w:tc>
          <w:tcPr>
            <w:tcW w:w="161" w:type="dxa"/>
            <w:tcBorders/>
            <w:shd w:fill="CCEEFF" w:val="clear"/>
            <w:vAlign w:val="bottom"/>
          </w:tcPr>
          <w:p>
            <w:pPr>
              <w:pStyle w:val="TableContents"/>
              <w:bidi w:val="0"/>
              <w:spacing w:before="0" w:after="283"/>
              <w:jc w:val="left"/>
              <w:rPr/>
            </w:pPr>
            <w:r>
              <w:rPr/>
              <w:t>) </w:t>
            </w:r>
          </w:p>
        </w:tc>
      </w:tr>
      <w:tr>
        <w:trPr/>
        <w:tc>
          <w:tcPr>
            <w:tcW w:w="443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38"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(8,719</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2,881</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(11,600</w:t>
            </w:r>
          </w:p>
        </w:tc>
        <w:tc>
          <w:tcPr>
            <w:tcW w:w="161" w:type="dxa"/>
            <w:tcBorders/>
            <w:vAlign w:val="bottom"/>
          </w:tcPr>
          <w:p>
            <w:pPr>
              <w:pStyle w:val="TableContents"/>
              <w:bidi w:val="0"/>
              <w:spacing w:before="0" w:after="283"/>
              <w:jc w:val="left"/>
              <w:rPr/>
            </w:pPr>
            <w:r>
              <w:rPr/>
              <w:t>) </w:t>
            </w:r>
          </w:p>
        </w:tc>
      </w:tr>
      <w:tr>
        <w:trPr/>
        <w:tc>
          <w:tcPr>
            <w:tcW w:w="443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$35.9 million and $26.4 million for the six months ended June 30, 2026 and 2025, respectively. The net cash used in operating activities during the six months ended June 30, 2026 was primarily driven by Boundless Bio’s reported net loss of $37.2 million, net of noncash charges (including stock-based compensation expense, depreciation, impairment of property and equipment, and right-of-use asset amortization) totaling $14.3 million and a $13.0 million increase of Boundless Bio’s net operating assets. The net cash used in operating activities during the six months ended June 30, 2025 was primarily driven by Boundless Bio’s reported net loss of $31.4 million, net of noncash charges (including stock-based compensation expense, depreciation, and right-of-use asset amortization) totaling $4.3 million and a $0.8 million decrease of Boundless Bio’s net operating assets. The increase in cash used in operations during the six months ended June 30, 2026 in comparison to the six months ended June 30, 2025 was primarily attributable to the $10.0 million cash payment associated with the termination of the 2024 Lease, partially offset by a decrease in third-party spending associated with Boundless Bio’s discovery, development, and clinical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$46.7 million and $60.8 million for the years ended December 31, 2025 and 2024, respectively. The net cash used in operating activities during the year ended December 31, 2025 was primarily due to Boundless Bio’s reported net loss of $58.2 million, net of noncash charges (including stock-based compensation expense, depreciation, and right-of-use (“ROU”) asset amortization) totaling $8.1 million and a $3.5 million decrease of its net operating assets. The net cash used in operating activities during the year ended December 31, 2024 was primarily due to Boundless Bio’s reported net loss of $65.4 million, net of noncash charges (including stock-based compensation expense, depreciation, and ROU asset amortization) totaling $6.2 million and a $1.7 million increase of its net operating assets. The decrease in cash used in operations during the year ended December 31, 2025 in comparison to the year ended December 31, 2024 was primarily attributable to a decrease in third-party spending associated with its discovery, development, and clinical activities and a decrease in personnel-related costs, each resulting from a reduction in scope of its programs and its headcount following its portfolio prioritization.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Investing activities consist primarily of purchases and maturities of investment securities and purchases of property and equipment. Such activities resulted in a net cash inflow of approximately $37.7 million and $14.4 million during the six months ended June 30, 2026 and 2025, respectively, in each case, primarily from the net maturities of Boundless Bio’s available-for-sale securities portfolio. </w:t>
      </w:r>
    </w:p>
    <w:p>
      <w:pPr>
        <w:pStyle w:val="TextBody"/>
        <w:bidi w:val="0"/>
        <w:spacing w:before="240" w:after="0"/>
        <w:jc w:val="left"/>
        <w:rPr>
          <w:rFonts w:ascii="Times New Roman" w:hAnsi="Times New Roman"/>
          <w:sz w:val="20"/>
        </w:rPr>
      </w:pPr>
      <w:r>
        <w:rPr>
          <w:rFonts w:ascii="Times New Roman" w:hAnsi="Times New Roman"/>
          <w:sz w:val="20"/>
        </w:rPr>
        <w:t xml:space="preserve">Investing activities resulted in a net cash inflow of approximately $37.8 million during the year ended December 31, 2025, compared to a net cash outflow of approximately $26.1 million during the year ended December 31, 2024. The net inflow during 2025 was primarily driven by higher maturities of investment securities relative to purchases as Boundless Bio managed its available-for-sale securities portfolio to maintain liquidity. In contrast, the net outflow during 2024 was primarily attributable to greater purchases of investment securities as it invested proceeds from financing activities, primarily the issuance of shares of Boundless Bio Common Stock in its IPO. Purchases of property and equipment were $0.5 million in 2025, compared to $2.5 million in 2024, reflecting lower capital investment requirements following the company’s relocation to its new headquarters in 2024.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Financing activities during the six months ended June 30, 2026 consisted of less than $0.1 million in proceeds from the sale of Boundless Bio Common Stock under the Boundless Bio ESPP and less than $0.1 million in proceeds from the exercise of stock options. Financing activities during the six months ended June 30, 2025 consisted of $0.1 million in proceeds from the sale of Boundless Bio Common Stock under the Boundless Bio ESPP.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$0.1 million during the year ended December 31, 2025, representing net proceeds from the sale of shares of Boundless Bio Common Stock under the Boundless Bio ESPP. Net cash provided by financing activities was $89.8 million during the year ended December 31, 2024, primarily due to the net proceeds from its IPO.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In April 2026, Boundless Bio terminated the 2024 Lease effective May 31, 2026. In connection with the termination, Boundless Bio paid the landlord $10.0 million, and the landlord retained Boundless Bio’s security deposit of approximately $0.5 million. As of June 30, 2026, Boundless Bio has no remaining obligations under the 2024 Lease. See Note 7 to Boundless Bio’s unaudited condensed financial statements appearing elsewhere in this proxy statement/prospectus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2026, Boundless Bio entered into a new, shorter-term facility lease for approximately 10,822 square feet of laboratory and office space in La Jolla, California, with an initial term of 12 months commencing June 1, 2026. Monthly base rent payments are approximately $56,000, with two months of base rent abatement during the second and third full calendar months of the lease term. As of June 30, 2026, Boundless Bio’s remaining obligations under this lease were approximately $0.5 million.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enters into contracts in the normal course of Boundless Bio’s business with various third parties for clinical trial and preclinical research services, contract manufacturing services, and professional and other services and products related to Boundless Bio’s business. These contracts generally provide for termination after a notice period and are therefore cancellable contracts and not separately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Boundless Bio has not had, and it does not currently have, any off-balance sheet arrangements as defined under rules and regulations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Significant Estimates and Judgments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management’s discussion and analysis of its financial condition and results of operations are based on its financial statements, which have been prepared in accordance with U.S. generally accepted accounting principles. The preparation of these financial statements requires it to make estimates, assumptions, and judgments that affect the reported amounts of assets, liabilities, and expenses and the disclosure of contingent assets and liabilities in its financial statements. On an ongoing basis, Boundless Bio evaluates its estimates, assumptions, and judgments, including those related to accrued R&amp;D expenses and stock-based compensation expense. It bases its estimates on historical experience, known trends and events, and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Boundless Bio’s significant accounting policies are described in more detail in Note 2 to its financial statements included elsewhere in this proxy statement/prospectus, it believes that the accounting policies described below are critical to understanding and evaluating its financial condition and results of operations because they involve a significant degree of estimation uncertainty and have had, or are reasonably likely to have, a material impact on Boundless Bio’s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R&amp;D Expenses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process of preparing its financial statements, Boundless Bio is required to estimate its accrued R&amp;D expenses as of each balance sheet date. This process involves reviewing open contracts and purchase orders, communicating with its personnel to identify services that have been performed on its behalf, and estimating the level of service performed and the associated cost incurred for the service when it has not yet been invoiced or otherwise notified of the actual cost. Boundless Bio makes estimates of its accrued R&amp;D expenses as of each balance sheet date based on facts and circumstances known to it at that time. The significant estimates in Boundless Bio’s accrued R&amp;D expenses include the costs incurred for services performed by its vendors in connection with services for which it has not yet been invoiced.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bases its expenses related to R&amp;D activities on its estimates of the services received and efforts expended pursuant to quotes and contracts with vendors that conduct R&amp;D on its behalf. The financial terms of these agreements are subject to negotiation, vary from contract to contract, and may result in uneven payment flows. </w:t>
      </w:r>
    </w:p>
    <w:p>
      <w:pPr>
        <w:pStyle w:val="TextBody"/>
        <w:bidi w:val="0"/>
        <w:spacing w:before="240" w:after="0"/>
        <w:jc w:val="left"/>
        <w:rPr>
          <w:rFonts w:ascii="Times New Roman" w:hAnsi="Times New Roman"/>
          <w:sz w:val="20"/>
        </w:rPr>
      </w:pPr>
      <w:r>
        <w:rPr>
          <w:rFonts w:ascii="Times New Roman" w:hAnsi="Times New Roman"/>
          <w:sz w:val="20"/>
        </w:rPr>
        <w:t xml:space="preserve">There may be instances in which payments made to Boundless Bio’s vendors will exceed the level of services provided and result in a prepayment of the R&amp;D expense. In accruing service fees, Boundless Bio estimates the time period over which services will be performed and the level of effort to be expended in each period. If the actual timing of the performance of services or the level of effort varies from its estimate, it adjusts the accrual or prepaid expense accordingly. Advance payments for goods and services that will be used in future R&amp;D activities are expensed when the activity has been performed or when the goods have been received rather than when the payment is made. </w:t>
      </w:r>
    </w:p>
    <w:p>
      <w:pPr>
        <w:pStyle w:val="TextBody"/>
        <w:bidi w:val="0"/>
        <w:spacing w:before="240" w:after="0"/>
        <w:jc w:val="left"/>
        <w:rPr>
          <w:rFonts w:ascii="Times New Roman" w:hAnsi="Times New Roman"/>
          <w:sz w:val="20"/>
        </w:rPr>
      </w:pPr>
      <w:r>
        <w:rPr>
          <w:rFonts w:ascii="Times New Roman" w:hAnsi="Times New Roman"/>
          <w:sz w:val="20"/>
        </w:rPr>
        <w:t xml:space="preserve">Although Boundless Bio does not expect its estimates to be materially different from amounts actually incurred, if its estimates of the status and timing of services performed differ from the actual status and timing of services performed, it could result in Boundless Bio reporting amounts that are too high or too low in any particular period. To date, there have been no material differences between its estimates of such expenses and the amounts actually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represents the grant date fair value of equity awards recognized over the requisite service period of the awards (usually the vesting period of the award) on a straight-line basis. Boundless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 estimates the grant date fair value of stock-based awards, which for the years ended December 31, 2025 and 2024, consisted of stock option awards and, subsequent to completion of its IPO, rights to purchase shares under the Boundless Bio ESPP, using the Black-Scholes option pricing model and recognizes forfeitures as they occur. The Black-Scholes option pricing model requires the use of subjective assumptions, including the risk-free interest rate, the expected stock price volatility, the expected term of the award, the expected dividend yield, and, prior to the completion of Boundless Bio’s IPO, the estimated fair value of Boundless Bio Common Stock. Changes in these assumptions can materially affect the grant date fair value of Boundless Bio’s stock-based awards, and ultimately, how much stock-based compensation expense is recognized. These inputs are subjective and generally require significant judgment to develop. See Note 2 under “Stock-Based Compensation” and Note 10 to Boundless Bio’s financial statements included elsewhere in this proxy statement/prospectus for information concerning the subjectivity and judgment involved in developing these assumptions and certain of the specific inputs it used in applying the Black-Scholes option pricing model to determine the estimated fair value of stock options granted and rights to purchase Boundless Bio ESPP shares in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Prior to Boundless Bio’s IPO, since there was no public market for Boundless Bio Common Stock, it was required to estimate the fair value of the Boundless Bio Common Stock underlying Boundless Bio’s equity awards when performing fair value calculations. The fair value of the Boundless Bio Common Stock underlying its equity awards was determined on each grant date by the Boundless Bio Board of Directors, taking into account input from management and independent third-party valuation analyses. All Boundless Bio Options are intended to be granted with an exercise price per share no less than the fair value per share of Boundless Bio Common Stock underlying those options on the date of grant, based on the information known to it on the date of grant. In the absence of a public trading market for Boundless Bio Common Stock, on each grant date it developed an estimate of the fair value of Boundless Bio Common Stock in order to determine an exercise price for the option grants. Boundless Bio’s determinations of the fair value of Boundless Bio Common Stock were made using methodologies, approaches, and assumptions consistent with the American Institute of Certified Public Accountants Accounting and Valuation Guide: Valuation of Privately Held Company Equity Securities Issued as Compensation (the Practice Aid). </w:t>
      </w:r>
    </w:p>
    <w:p>
      <w:pPr>
        <w:pStyle w:val="TextBody"/>
        <w:bidi w:val="0"/>
        <w:spacing w:before="240" w:after="0"/>
        <w:jc w:val="left"/>
        <w:rPr>
          <w:rFonts w:ascii="Times New Roman" w:hAnsi="Times New Roman"/>
          <w:sz w:val="20"/>
        </w:rPr>
      </w:pPr>
      <w:r>
        <w:rPr>
          <w:rFonts w:ascii="Times New Roman" w:hAnsi="Times New Roman"/>
          <w:sz w:val="20"/>
        </w:rPr>
        <w:t xml:space="preserve">Following Boundless Bio’s IPO, the fair value of Boundless Bio Common Stock is based on the closing price per share on the Nasdaq Global Select Market on the date of grant. Boundless Bio will continue to use judgment in evaluating the interest rates, expected stock price volatility, expected terms of the stock-based awards, and expected dividend yield utilized for its stock-based compensation expense calculations on a prospective basis.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and Smaller Reporting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As an emerging growth company under the Jumpstart Our Business Startups Act of 2012 (the “JOBS Act”), Boundless Bio can take advantage of an extended transition period for complying with new or revised accounting standards. This period allows an emerging growth company to delay the adoption of certain accounting standards until those standards would otherwise apply to private companies. Boundless Bio has elected to avail itself of this exemption from new or revised accounting standards, and therefore its financial statements may not be comparable to companies that comply with new or revised accounting standards as of public company effective dates. Boundless Bio also intends to rely on other exemptions provided by the JOBS Act, including, without limitation, the exemption from the auditor attestation requirement of Section 404(b) of the Sarbanes-Oxley Act, for so long as it remains eligible.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will remain an emerging growth company until the earliest of (i) December 31, 2029, which is the last day of the fiscal year following the fifth anniversary of the consummation of its IPO; (ii) the last day of the fiscal year in which it has total annual gross revenue of at least $1.235 billion; (iii) the last day of the fiscal year in which it is deemed to be a “large accelerated filer” as defined in Rule 12b-2 under the Exchange Act, which would occur if the market value of Boundless Bio Common Stock held by non-affiliates exceeded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$700.0 million as of the last business day of the second fiscal quarter of such year; or (iv) the date on which it has issued more than $1.0 billion in nonconvertible debt securities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also a smaller reporting company as defined in Rule 12b-2 under the Exchange Act. It may continue to be a smaller reporting company even after it is no longer an emerging growth company. Boundless Bio may take advantage of certain of the scaled disclosures available to smaller reporting companies and will be able to take advantage of these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Adopted and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Note 2 to Boundless Bio’s financial statements included elsewhere in this proxy statement/prospectus for recently adopted accounting pronouncements and recently issued accounting pronouncements not yet adopted.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tx108148_28"/>
      <w:bookmarkEnd w:id="63"/>
      <w:r>
        <w:rPr>
          <w:rFonts w:ascii="Times New Roman" w:hAnsi="Times New Roman"/>
          <w:b/>
          <w:sz w:val="20"/>
        </w:rPr>
        <w:t xml:space="preserve">QUANTITATIVE AND QUALITATIVE DISCLOSURES ABOUT THE MARKET RISK OF BOUNDLESS BIO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a smaller reporting company as defined by Rule 12b-2 of the Exchange Act and Item 10(f)(1) of Regulation S-K and is not required to provide the information otherwise required under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4" w:name="tx108148_29"/>
      <w:bookmarkEnd w:id="64"/>
      <w:r>
        <w:rPr>
          <w:rFonts w:ascii="Times New Roman" w:hAnsi="Times New Roman"/>
          <w:b/>
          <w:sz w:val="20"/>
        </w:rPr>
        <w:t xml:space="preserve">SERAPHA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Serapha’s financial condition and results of operations in conjunction with the financial statements and the related notes thereto and other financial information included elsewhere in this proxy statement/prospectus. This discussion contains forward-looking statements based upon Serapha’s current plans, estimates and beliefs related to future events and Serapha’s future financial performance that involve risks, uncertainties and assumptions. Serapha’s actual results and the timing of events could differ materially from those discussed in these forward-looking statements as a result of various factors. Factors that could cause or contribute to these differences include, but are not limited to,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Serapha is a clinical-stage genetic medicines company committed to transforming the treatment of alpha-1 antitrypsin (“AAT”) deficiency (“AATD”), the leading genetic cause of serious, progressive lung and liver disease. Serapha’s lead product candidate, SERP-01, is a proprietary base editing therapy designed as a single intravenous administration to correct the underlying genetic cause of AATD with the PiZZ genotype (“PiZZ AATD”), the most genetic mutation responsible for &gt;90% of AATD cases, with the goal of restoring production of functional AAT and reducing accumulation of toxic mutant AAT in the liver. SERP-01 is currently being evaluated in an ongoing Phase 1/2 investigator-initiated trial (“IIT”) conducted at Renji Hospital in Shanghai, China, in collaboration with Hannover Medical School in Hanover, Germany. In March 2026, the U.S. Food and Drug Administration (the “FDA”) cleared an investigational new drug application (“IND”) submitted by YolTech Therapeutics Co., Ltd. (“YolTech”) for SERP-01, permitting the initiation of a Phase 2/3 clinical trial of SERP-01 in the United States. In June 2026 Serapha entered into an exclusive sub-licensable, royalty-bearing license agreement with YolTech (the “YolTech License Agreement”), pursuant to which Serapha obtained exclusive rights to develop, manufacture and commercialize SERP-01 outside of Greater China. In connection with the YolTech License Agreement, YolTech transferred sponsorship of the IND to Serapha, and Serapha is the current sponsor of the IND. </w:t>
      </w:r>
    </w:p>
    <w:p>
      <w:pPr>
        <w:pStyle w:val="TextBody"/>
        <w:bidi w:val="0"/>
        <w:spacing w:before="240" w:after="0"/>
        <w:jc w:val="left"/>
        <w:rPr>
          <w:rFonts w:ascii="Times New Roman" w:hAnsi="Times New Roman"/>
          <w:sz w:val="20"/>
        </w:rPr>
      </w:pPr>
      <w:r>
        <w:rPr>
          <w:rFonts w:ascii="Times New Roman" w:hAnsi="Times New Roman"/>
          <w:sz w:val="20"/>
        </w:rPr>
        <w:t xml:space="preserve">From its inception in April 2026 until it in-licensed the rights to develop SERP-01 outside of Greater China from YolTech, Serapha devoted substantially all of its resources to raising capital, organizing and staffing Serapha, business and scientific planning, establishing arrangements with third parties, and providing general and administrative support for these operations. Since June 2026, Serapha has continued its focus on these activities and has received FDA clearance of its IND for a U.S. Phase 2/3 clinical trial of SERP-01 and initiated the technology transfer of YolTech’s manufacturing process for SERP-01 to a third-party manufacturing facility. As of August 31, 2026, Serapha had one employee, and does not intend to use any of the workforce of Boundless Bio or YolTech going forward. Serapha does not have any products approved for sale and has not generated any revenue from product sales. To date, Serapha has funded its operations primarily with proceeds from the issuance of Serapha preferred stock, par value $0.00001 per share (the “Serapha Preferred Stock”), from which Serapha received gross proceeds of approximately $138.0 million in June 2026. </w:t>
      </w:r>
    </w:p>
    <w:p>
      <w:pPr>
        <w:pStyle w:val="TextBody"/>
        <w:bidi w:val="0"/>
        <w:spacing w:before="240" w:after="0"/>
        <w:jc w:val="left"/>
        <w:rPr>
          <w:rFonts w:ascii="Times New Roman" w:hAnsi="Times New Roman"/>
          <w:sz w:val="20"/>
        </w:rPr>
      </w:pPr>
      <w:r>
        <w:rPr>
          <w:rFonts w:ascii="Times New Roman" w:hAnsi="Times New Roman"/>
          <w:sz w:val="20"/>
        </w:rPr>
        <w:t xml:space="preserve">Serapha has incurred operating losses since inception. Serapha’s ability to generate product revenue sufficient to achieve profitability will depend heavily on the successful development and eventual commercialization of SERP-01 and any future product candidates Serapha may develop. Serapha generated a net loss of $170.1 million for the period from April 2, 2026 (inception) through June 30, 2026. As of June 30, 2026, Serapha had an accumulated deficit of $170.1 million. Serapha expects to continue to incur significantly increased expenses for the foreseeable future if and as Serapha: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the clinical development of SERP-01 in the United States and territories outside of Greater China and initiates and advances preclinical studies and clinical trials of future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and identifies additional product candidates and initiates discovery-related activities and preclinical studies for those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4"/>
        <w:gridCol w:w="9391"/>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INDs or comparable foreign applications that allow commencement of its planned clinical trials or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1"/>
        <w:gridCol w:w="9395"/>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initiates enrollment in and successfully completes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research and development, clinical, manufacturing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2"/>
        <w:gridCol w:w="9395"/>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challenges, or other issues associated with the preclinical and clinical development of its product candidates, including with respect to its regulatory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and enhances sustainable, scalable, reproducible and transferable clinical and commercial-scale current good manufacturing practices (“cGMP”) capabilities through a third party for Serapha’s current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1"/>
        <w:gridCol w:w="9395"/>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any product candidates for which Serapha successfully completes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4"/>
        <w:gridCol w:w="9392"/>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product candidates for which Serapha may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2"/>
        <w:gridCol w:w="9393"/>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Serapha receives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2"/>
        <w:gridCol w:w="201"/>
        <w:gridCol w:w="9396"/>
      </w:tblGrid>
      <w:tr>
        <w:trPr/>
        <w:tc>
          <w:tcPr>
            <w:tcW w:w="406"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positive results from future clinical trials that support the safety, tolerability and efficacy profile of any product candidates Serapha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4"/>
        <w:gridCol w:w="9391"/>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its intellectual property portfolio and other intellectual property protection or regulatory exclusivity for any products Serapha may develop and defends any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 acquires or in-licenses product candidates or programs,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4"/>
        <w:gridCol w:w="9392"/>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Serapha’s current collaboration with YolTech and establishes and maintains any future collaborations, including making royalty, milestone or other payments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incurs additional costs of operating as a public company, including increased costs of audit, legal, regulatory and tax-related services associated with maintaining compliance with an exchange listing and SEC requirements, director and officer insurance premiums and investor and public relations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changes in the outcome of any of these variables with respect to the development of Serapha’s current and any future product candidates could mean a significant change in the costs and timing associated with the development of such product candidates. For example, if the FDA or another comparable regulatory authority were to require Serapha to conduct clinical trials beyond those that Serapha currently anticipates, or if Serapha experiences significant delays in its future preclinical studies or clinical trials, Serapha would be required to expend significant additional financial resources and time to advance and complete clinical development. Serapha may never obtain regulatory approval for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 will not generate revenue from product sales unless and until Serapha successfully initiates and completes clinical development and obtains regulatory approval for any product candidates. If Serapha obtains regulatory approval for any of its product candidates and does not enter into a commercialization partnership, Serapha expects to incur significant expenses related to developing its commercialization capability to support product sales, manufacturing, marketing,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all the foregoing, Serapha expects to need substantial additional funding to support its continued operations and growth strategy. Until such a time as Serapha can generate significant revenue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sales, if ever, Serapha expects to finance its operations through the sale of equity, debt financings or other capital sources, including collaborations with other companies or other strategic transactions. Serapha may be unable to raise additional funds or enter into such other agreements on favorable terms, or at all. If Serapha fails to raise capital or enter into such agreements as, and when, needed, Serapha may have to significantly delay, scale back or discontinue the development and commercialization of one or more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associated with product development, Serapha is unable to accurately predict the timing or amount of increased expenses or when or if Serapha will be able to achieve or maintain profitability. Even if Serapha is able to generate product sales, Serapha may not become profitable. If Serapha fails to become profitable or is unable to sustain profitability on a continuing basis, then Serapha may be unable to continue its operations at planned levels and be forced to reduce or terminate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Serapha had cash of $138.0 million ($53.0 million after the $85.0 million payment to YolTech for the upfront YolTech License Agreement fee).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Serapha entered into the Merger Agreement on June 22, 2026, as amended by Amendment No. 1 to Agreement and Plan of Merger and Reorganization on August 28, 2026, pursuant to which, among other matters, Merger Sub will merge with and into Serapha, with Serapha surviving as a wholly owned subsidiary of Boundless Bio and the surviving corporation of the Merger. In connection with the Merger, Boundless Bio will change its name to “Serapha Bio, Inc.” Boundless Bio following the Merger is referred to herein as the “Combined Company.” The Combined Company will be led by Serapha’s management team and will focus on developing a novel </w:t>
      </w:r>
      <w:r>
        <w:rPr>
          <w:rFonts w:ascii="Times New Roman" w:hAnsi="Times New Roman"/>
          <w:i/>
          <w:sz w:val="20"/>
        </w:rPr>
        <w:t>in vivo</w:t>
      </w:r>
      <w:r>
        <w:rPr>
          <w:rFonts w:ascii="Times New Roman" w:hAnsi="Times New Roman"/>
          <w:sz w:val="20"/>
        </w:rPr>
        <w:t xml:space="preserve"> base editing therapy for the treatment of severe AATD.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Serapha entered into a Series A stock purchase agreement with certain institutional and accredited investors pursuant to which such persons invested in and purchased (the “Series A Financing”) an aggregate of 30,668,708 shares of Serapha Preferred Stock at a purchase price of $4.4997 per share for aggregate gross proceeds to Serapha of approximately $138.0 million.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Serapha also entered into a Securities Purchase Agreement with certain investors pursuant to which Serapha agreed to issue and sell to investors in the Serapha Pre-Closing Financing shares of Serapha Common Stock and pre-funded warrants to purchase shares of Serapha Common Stock (each, a “Serapha Pre-Funded Warrant”) at an estimated purchase price of $4.4997 per share and $4.49969 per pre-funded warrant for an aggregate purchase price of approximately $92.0 million, which is expected to close immediately prior to the Closing. At the Effective Time, (i) each then-outstanding share of Serapha Common Stock and Serapha Preferred Stock (including any shares of Serapha Common Stock issued in the Serapha Pre-Closing Financing), excluding any shares of Serapha Capital Stock held as treasury stock immediately prior to the Effective Time, will be converted into the right to receive a number of shares of Boundless Bio Common Stock equal to the Exchange Ratio, (ii) each then-outstanding Serapha Option will be converted into and become an option to purchase shares of Boundless Bio Common Stock on the existing terms and conditions (including with respect to vesting and accelerated vesting), subject to adjustment as set forth in the Merger Agreement, (iii) each then-outstanding restricted stock unit award covering shares of Serapha Common Stock (a “Serapha RSU”) will be converted into and become a restricted stock unit award covering shares of Boundless Bio Common Stock (an “Assumed RSU”) on the existing terms and conditions (including with respect to vesting and accelerated vesting), subject to adjustment as set forth in the Merger Agreement, and (iv) each then-outstanding warrant to purchase shares of Serapha Common Stock (each, a “Serapha Warrant”), including each then-outstanding Serapha Pre-Funded Warrant to purchase shares of Serapha Common Stock, will be converted into a warrant to purchase shares of Boundless Bio Common Stock on the existing terms and conditions (each an “Assumed Warrant”), subject to adjustment as set forth in the Merger Agreement and the form of warrant. The proceeds from the Serapha Pre-Closing Financing are expected to advance the Combined Company’s pipeline and will be used for research and development, business development, working capital, and other general corporate purposes. If the aggregate number of shares of Boundless Bio Common Stock that would otherwise be issued to a holder of Serapha Capital Stock at the Effective Time would exceed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Serapha’s existing cash balance, excluding the Serapha Pre-Closing Financing, will not be sufficient to sustain planned operations through at least twelve months from the date of this proxy statement/prospectus. However, Serapha estimates that the net proceeds from the Serapha Pre-Closing Financing, together with its existing cash as of the date of this proxy statement/prospectus will be sufficient to enable Serapha to fund its operating expenses and capital expenditure requirements into     . Serapha has based this estimate on assumptions that may prove to be wrong. Serapha’s operating plan may change as a result of many factors currently unknown to Serapha and Serapha could exhaust its available capital resources sooner than Serapha expects. See the sections titled “— </w:t>
      </w:r>
      <w:r>
        <w:rPr>
          <w:rFonts w:ascii="Times New Roman" w:hAnsi="Times New Roman"/>
          <w:i/>
          <w:sz w:val="20"/>
        </w:rPr>
        <w:t>Liquidity and Capital Resources</w:t>
      </w:r>
      <w:r>
        <w:rPr>
          <w:rFonts w:ascii="Times New Roman" w:hAnsi="Times New Roman"/>
          <w:sz w:val="20"/>
        </w:rPr>
        <w:t>” and “</w:t>
      </w:r>
      <w:r>
        <w:rPr>
          <w:rFonts w:ascii="Times New Roman" w:hAnsi="Times New Roman"/>
          <w:i/>
          <w:sz w:val="20"/>
        </w:rPr>
        <w:t>Risk Factors — Risks Related to Serapha — Risks Related to Serapha’s Limited Operating History, Financial Position and Capital Requirements</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Serapha’s Operations </w:t>
      </w:r>
    </w:p>
    <w:p>
      <w:pPr>
        <w:pStyle w:val="TextBody"/>
        <w:bidi w:val="0"/>
        <w:spacing w:before="120" w:after="0"/>
        <w:jc w:val="left"/>
        <w:rPr>
          <w:rFonts w:ascii="Times New Roman" w:hAnsi="Times New Roman"/>
          <w:sz w:val="20"/>
        </w:rPr>
      </w:pPr>
      <w:r>
        <w:rPr>
          <w:rFonts w:ascii="Times New Roman" w:hAnsi="Times New Roman"/>
          <w:sz w:val="20"/>
        </w:rPr>
        <w:t>Uncertainty in the global economy presents significant risks to Serapha’s business. Serapha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bank failures, geopolitical factors, including the ongoing conflicts between Russia and Ukraine and in the Middle East and the responses thereto and rising tensions with China, and supply chain disruptions. While Serapha is closely monitoring the impact of the current macroeconomic and geopolitical conditions on all aspects of its business, including the impacts on Serapha’s access to capital, ability to manufacture drug product, ability to conduct clinical trials, and its clinical trial participants, employees, suppliers, vendors and business partners, the ultimate extent of the impact on Serapha’s business remains highly uncertain and will depend on future developments and factors that continue to evolve. Most of these developments and factors are outside Serapha’s control and could exist for an extended period of time. Serapha will continue to evaluate the nature and extent of the potential impacts to its business, results of operations, liquidity and capital resources. For additional information, see the section 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 to Serapha</w:t>
      </w:r>
      <w:r>
        <w:rPr>
          <w:rFonts w:ascii="Times New Roman" w:hAnsi="Times New Roman"/>
          <w:sz w:val="20"/>
        </w:rPr>
        <w:t> — </w:t>
      </w:r>
      <w:r>
        <w:rPr>
          <w:rFonts w:ascii="Times New Roman" w:hAnsi="Times New Roman"/>
          <w:i/>
          <w:sz w:val="20"/>
        </w:rPr>
        <w:t>Risks Related to Serapha’s Business and Operations</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Serapha has not generated revenue from any sources, including product sales, and does not expect to generate any revenue from the sale of products in the foreseeable future. If Serapha’s development efforts for its product candidates are successful and result in regulatory approval, Serapha may generate revenue in the future from product sales or payments from future collaboration or license agreements that Serapha may enter into with third parties, or any combination thereof. Serapha cannot predict if, when, or to what extent Serapha will generate revenue from the commercialization and sale of its product candidates. Serapha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Serapha’s operating expenses consist of (i) research and development expenses and (ii)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an acquired in-process research and development charge related to the consideration paid to YolTech for the license of SERP-01 and the ongoing development of Serapha’s product candidate.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in-process research and development charge related to the cash paid to YolTech of $85.0 million and the fair value of the YolTech Warrant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clinical development of SERP-01 and discovery-phase and clinical development of any future product candidates Serapha may identify, including under future agreements with third parties, such as consultants and contractors;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and equity-based compensation expense. </w:t>
            </w:r>
          </w:p>
        </w:tc>
      </w:tr>
    </w:tbl>
    <w:p>
      <w:pPr>
        <w:pStyle w:val="TextBody"/>
        <w:bidi w:val="0"/>
        <w:spacing w:before="120" w:after="0"/>
        <w:jc w:val="left"/>
        <w:rPr>
          <w:rFonts w:ascii="Times New Roman" w:hAnsi="Times New Roman"/>
          <w:sz w:val="20"/>
        </w:rPr>
      </w:pPr>
      <w:r>
        <w:rPr>
          <w:rFonts w:ascii="Times New Roman" w:hAnsi="Times New Roman"/>
          <w:sz w:val="20"/>
        </w:rPr>
        <w:t>Serapha expenses research and development costs as incurred. For the period from April 2, 2026 (inception) to June 30, 2026, Serapha recognized the $85.0 million upfront payment to YolTech for entry into the YolTech License Agreement, together with the $79.4 million fair value of the YolTech Warrant and $0.2 million in costs to complete the YolTech License Agreement, as acquired in-process research and development expense, rather than as research and development expense, in Serapha’s statement of operations. See the sections titled “</w:t>
      </w:r>
      <w:r>
        <w:rPr>
          <w:rFonts w:ascii="Times New Roman" w:hAnsi="Times New Roman"/>
          <w:i/>
          <w:sz w:val="20"/>
        </w:rPr>
        <w:t>Contractual Obligations and Other Commitments</w:t>
      </w:r>
      <w:r>
        <w:rPr>
          <w:rFonts w:ascii="Times New Roman" w:hAnsi="Times New Roman"/>
          <w:sz w:val="20"/>
        </w:rPr>
        <w:t xml:space="preserve">” and “Acquired In-Process Research and Development” below for further details on the YolTech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recruiting costs, and equity-based compensation, as well as expenses, related to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 </w:t>
      </w:r>
    </w:p>
    <w:p>
      <w:pPr>
        <w:pStyle w:val="TextBody"/>
        <w:bidi w:val="0"/>
        <w:spacing w:before="120" w:after="0"/>
        <w:jc w:val="left"/>
        <w:rPr>
          <w:rFonts w:ascii="Times New Roman" w:hAnsi="Times New Roman"/>
          <w:sz w:val="20"/>
        </w:rPr>
      </w:pPr>
      <w:r>
        <w:rPr>
          <w:rFonts w:ascii="Times New Roman" w:hAnsi="Times New Roman"/>
          <w:sz w:val="20"/>
        </w:rPr>
        <w:t xml:space="preserve">Serapha expects that its general and administrative expenses will increase substantially for the foreseeable future as Serapha increases its headcount and establishes office space to support the expected growth. Serapha also expects to incur increased expenses associated with the Merger, the Serapha Pre-Closing Financing and becoming a public company, including increased costs of accounting, audit, legal, regulatory and tax-related services associated with maintaining compliance with SEC requirements, additional director and officer insurance costs, and investor and public relations costs. Serapha also expects to incur additional intellectual property-related expenses as Serapha files patent applications to protect innovations arising from its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Serapha has recorded a full valuation allowance against its net deferred tax assets at the balance sheet date, as Serapha believes it is not more likely than not that the benefit will be realized due to its cumulative losses generated to date and expectation of future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for the Period from April 2, 2026 (Inception) to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statement of operations for the period presented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33"/>
        <w:gridCol w:w="521"/>
        <w:gridCol w:w="197"/>
        <w:gridCol w:w="1318"/>
        <w:gridCol w:w="170"/>
      </w:tblGrid>
      <w:tr>
        <w:trPr/>
        <w:tc>
          <w:tcPr>
            <w:tcW w:w="4733"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33"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bidi w:val="0"/>
              <w:spacing w:before="0" w:after="283"/>
              <w:jc w:val="center"/>
              <w:rPr>
                <w:b/>
              </w:rPr>
            </w:pPr>
            <w:r>
              <w:rPr>
                <w:b/>
              </w:rPr>
              <w:t>April 2, 2026</w:t>
              <w:br/>
              <w:t>(inception)</w:t>
              <w:br/>
              <w:t>through</w:t>
              <w:br/>
              <w:t>June 30, 2026</w:t>
            </w:r>
          </w:p>
        </w:tc>
        <w:tc>
          <w:tcPr>
            <w:tcW w:w="170" w:type="dxa"/>
            <w:tcBorders/>
            <w:vAlign w:val="bottom"/>
          </w:tcPr>
          <w:p>
            <w:pPr>
              <w:pStyle w:val="TableContents"/>
              <w:bidi w:val="0"/>
              <w:spacing w:before="0" w:after="283"/>
              <w:jc w:val="left"/>
              <w:rPr/>
            </w:pPr>
            <w:r>
              <w:rPr/>
              <w:t> </w:t>
            </w:r>
          </w:p>
        </w:tc>
      </w:tr>
      <w:tr>
        <w:trPr/>
        <w:tc>
          <w:tcPr>
            <w:tcW w:w="47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52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pPr>
            <w:r>
              <w:rPr/>
              <w:t> </w:t>
            </w:r>
          </w:p>
        </w:tc>
        <w:tc>
          <w:tcPr>
            <w:tcW w:w="1318" w:type="dxa"/>
            <w:tcBorders/>
            <w:shd w:fill="CCEEFF" w:val="clear"/>
            <w:vAlign w:val="bottom"/>
          </w:tcPr>
          <w:p>
            <w:pPr>
              <w:pStyle w:val="TableContents"/>
              <w:bidi w:val="0"/>
              <w:spacing w:before="0" w:after="0"/>
              <w:jc w:val="left"/>
              <w:rPr/>
            </w:pPr>
            <w:r>
              <w:rPr/>
              <w:t> </w:t>
            </w:r>
          </w:p>
        </w:tc>
        <w:tc>
          <w:tcPr>
            <w:tcW w:w="170" w:type="dxa"/>
            <w:tcBorders/>
            <w:shd w:fill="CCEEFF" w:val="clear"/>
            <w:vAlign w:val="bottom"/>
          </w:tcPr>
          <w:p>
            <w:pPr>
              <w:pStyle w:val="TableContents"/>
              <w:bidi w:val="0"/>
              <w:spacing w:before="0" w:after="0"/>
              <w:jc w:val="left"/>
              <w:rPr/>
            </w:pPr>
            <w:r>
              <w:rPr/>
              <w:t> </w:t>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2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318" w:type="dxa"/>
            <w:tcBorders/>
            <w:vAlign w:val="bottom"/>
          </w:tcPr>
          <w:p>
            <w:pPr>
              <w:pStyle w:val="TableContents"/>
              <w:bidi w:val="0"/>
              <w:spacing w:before="0" w:after="283"/>
              <w:jc w:val="right"/>
              <w:rPr/>
            </w:pPr>
            <w:r>
              <w:rPr/>
              <w:t>267</w:t>
            </w:r>
          </w:p>
        </w:tc>
        <w:tc>
          <w:tcPr>
            <w:tcW w:w="170" w:type="dxa"/>
            <w:tcBorders/>
            <w:vAlign w:val="bottom"/>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52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164,617</w:t>
            </w:r>
          </w:p>
        </w:tc>
        <w:tc>
          <w:tcPr>
            <w:tcW w:w="170" w:type="dxa"/>
            <w:tcBorders/>
            <w:shd w:fill="CCEEFF" w:val="clear"/>
            <w:vAlign w:val="bottom"/>
          </w:tcPr>
          <w:p>
            <w:pPr>
              <w:pStyle w:val="TableContents"/>
              <w:bidi w:val="0"/>
              <w:spacing w:before="0" w:after="283"/>
              <w:jc w:val="left"/>
              <w:rPr/>
            </w:pPr>
            <w:r>
              <w:rPr/>
              <w:t> </w:t>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52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5,262</w:t>
            </w:r>
          </w:p>
        </w:tc>
        <w:tc>
          <w:tcPr>
            <w:tcW w:w="170"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52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170,146</w:t>
            </w:r>
          </w:p>
        </w:tc>
        <w:tc>
          <w:tcPr>
            <w:tcW w:w="170" w:type="dxa"/>
            <w:tcBorders/>
            <w:shd w:fill="CCEEFF" w:val="clear"/>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2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318" w:type="dxa"/>
            <w:tcBorders/>
            <w:vAlign w:val="bottom"/>
          </w:tcPr>
          <w:p>
            <w:pPr>
              <w:pStyle w:val="TableContents"/>
              <w:bidi w:val="0"/>
              <w:spacing w:before="0" w:after="283"/>
              <w:jc w:val="right"/>
              <w:rPr/>
            </w:pPr>
            <w:r>
              <w:rPr/>
              <w:t>(170,146</w:t>
            </w:r>
          </w:p>
        </w:tc>
        <w:tc>
          <w:tcPr>
            <w:tcW w:w="170"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research and development expenses incurred for the period presented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12"/>
        <w:gridCol w:w="833"/>
        <w:gridCol w:w="393"/>
        <w:gridCol w:w="1038"/>
        <w:gridCol w:w="63"/>
      </w:tblGrid>
      <w:tr>
        <w:trPr/>
        <w:tc>
          <w:tcPr>
            <w:tcW w:w="4612" w:type="dxa"/>
            <w:tcBorders/>
            <w:vAlign w:val="center"/>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1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  </w:t>
            </w:r>
          </w:p>
        </w:tc>
        <w:tc>
          <w:tcPr>
            <w:tcW w:w="1431" w:type="dxa"/>
            <w:gridSpan w:val="2"/>
            <w:tcBorders/>
            <w:vAlign w:val="bottom"/>
          </w:tcPr>
          <w:p>
            <w:pPr>
              <w:pStyle w:val="TableContents"/>
              <w:bidi w:val="0"/>
              <w:spacing w:before="0" w:after="283"/>
              <w:jc w:val="center"/>
              <w:rPr>
                <w:b/>
              </w:rPr>
            </w:pPr>
            <w:r>
              <w:rPr>
                <w:b/>
              </w:rPr>
              <w:t>April 2, 2026</w:t>
              <w:br/>
              <w:t>(inception)</w:t>
              <w:br/>
              <w:t>through</w:t>
              <w:br/>
              <w:t>June 30, 2026</w:t>
            </w:r>
          </w:p>
        </w:tc>
        <w:tc>
          <w:tcPr>
            <w:tcW w:w="63" w:type="dxa"/>
            <w:tcBorders/>
            <w:vAlign w:val="bottom"/>
          </w:tcPr>
          <w:p>
            <w:pPr>
              <w:pStyle w:val="TableContents"/>
              <w:bidi w:val="0"/>
              <w:spacing w:before="0" w:after="283"/>
              <w:jc w:val="left"/>
              <w:rPr/>
            </w:pPr>
            <w:r>
              <w:rPr/>
              <w:t> </w:t>
            </w:r>
          </w:p>
        </w:tc>
      </w:tr>
      <w:tr>
        <w:trPr/>
        <w:tc>
          <w:tcPr>
            <w:tcW w:w="46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for SERP-01:</w:t>
            </w:r>
          </w:p>
        </w:tc>
        <w:tc>
          <w:tcPr>
            <w:tcW w:w="833"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0"/>
              <w:jc w:val="left"/>
              <w:rPr/>
            </w:pPr>
            <w:r>
              <w:rPr/>
              <w:t> </w:t>
            </w:r>
          </w:p>
        </w:tc>
        <w:tc>
          <w:tcPr>
            <w:tcW w:w="1038" w:type="dxa"/>
            <w:tcBorders/>
            <w:shd w:fill="CCEEFF" w:val="clear"/>
            <w:vAlign w:val="bottom"/>
          </w:tcPr>
          <w:p>
            <w:pPr>
              <w:pStyle w:val="TableContents"/>
              <w:bidi w:val="0"/>
              <w:spacing w:before="0" w:after="0"/>
              <w:jc w:val="left"/>
              <w:rPr/>
            </w:pPr>
            <w:r>
              <w:rPr/>
              <w:t> </w:t>
            </w:r>
          </w:p>
        </w:tc>
        <w:tc>
          <w:tcPr>
            <w:tcW w:w="63" w:type="dxa"/>
            <w:tcBorders/>
            <w:shd w:fill="CCEEFF" w:val="clear"/>
            <w:vAlign w:val="bottom"/>
          </w:tcPr>
          <w:p>
            <w:pPr>
              <w:pStyle w:val="TableContents"/>
              <w:bidi w:val="0"/>
              <w:spacing w:before="0" w:after="0"/>
              <w:jc w:val="left"/>
              <w:rPr/>
            </w:pPr>
            <w:r>
              <w:rPr/>
              <w:t> </w:t>
            </w:r>
          </w:p>
        </w:tc>
      </w:tr>
      <w:tr>
        <w:trPr/>
        <w:tc>
          <w:tcPr>
            <w:tcW w:w="4612" w:type="dxa"/>
            <w:tcBorders/>
          </w:tcPr>
          <w:p>
            <w:pPr>
              <w:pStyle w:val="TableContents"/>
              <w:bidi w:val="0"/>
              <w:spacing w:before="0" w:after="0"/>
              <w:jc w:val="left"/>
              <w:rPr>
                <w:rFonts w:ascii="Times New Roman" w:hAnsi="Times New Roman"/>
                <w:sz w:val="20"/>
              </w:rPr>
            </w:pPr>
            <w:r>
              <w:rPr>
                <w:rFonts w:ascii="Times New Roman" w:hAnsi="Times New Roman"/>
                <w:sz w:val="20"/>
              </w:rPr>
              <w:t>Consultants and other expenses</w:t>
            </w:r>
          </w:p>
        </w:tc>
        <w:tc>
          <w:tcPr>
            <w:tcW w:w="833"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267</w:t>
            </w:r>
          </w:p>
        </w:tc>
        <w:tc>
          <w:tcPr>
            <w:tcW w:w="63" w:type="dxa"/>
            <w:tcBorders/>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833"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267</w:t>
            </w:r>
          </w:p>
        </w:tc>
        <w:tc>
          <w:tcPr>
            <w:tcW w:w="63" w:type="dxa"/>
            <w:tcBorders/>
            <w:shd w:fill="CCEEFF" w:val="clear"/>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$0.3 million for the period from April 2, 2026 (inception) to June 30, 2026, consisting of research and development expense due to third-party CROs for SERP-01.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$164.6 million of acquired in-process research and development expense was incurred in connection with the upfront payment of $85.0 million to YolTech for entry into the YolTech License Agreement, the fair value of $79.4 million for the YolTech Warrant and $0.2 million in costs to complete the YolTech License Agreement. Such expense was recognized as acquired in-process research and development since further development and regulatory approval of the licensed product candidate are necessary and since there is no alternative future use from which Serapha can benefit.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Anticipated SERP-01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Serapha expects its research and development expenses to increase in the second half of 2026 relative to prior periods as it advances the SERP-01 program. Following the FDA’s clearance of its IND in March 2026, Serapha intends to initiate a Phase 2/3 clinical trial of SERP-01 in patients with PiZZ AATD in the United States in late 2026 or early 2027 and Serapha expects to incur increased clinical, manufacturing, and personnel costs in connection with the conduct of that clinical trial and related development activities through the end of 2026. Serapha currently expects its research and development expenses for the period from April 2, 2026 (inception) to December 31, 2026 to be approximately $6 million to $12 million. </w:t>
      </w:r>
    </w:p>
    <w:p>
      <w:pPr>
        <w:pStyle w:val="TextBody"/>
        <w:bidi w:val="0"/>
        <w:spacing w:before="240" w:after="0"/>
        <w:jc w:val="left"/>
        <w:rPr>
          <w:rFonts w:ascii="Times New Roman" w:hAnsi="Times New Roman"/>
          <w:sz w:val="20"/>
        </w:rPr>
      </w:pPr>
      <w:r>
        <w:rPr>
          <w:rFonts w:ascii="Times New Roman" w:hAnsi="Times New Roman"/>
          <w:sz w:val="20"/>
        </w:rPr>
        <w:t xml:space="preserve">Serapha’s actual research and development expenses for the period from April 2, 2026 (inception) to December 31, 2026 may differ materially from its current expectations depending on, among other factors, the pace of patient enrollment, the timing and scope of manufacturing and technology-transfer activities, the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 ongoing and planned clinical and preclinical studies, and other factors, many of which are outside of Serapha’s control. See “</w:t>
      </w:r>
      <w:r>
        <w:rPr>
          <w:rFonts w:ascii="Times New Roman" w:hAnsi="Times New Roman"/>
          <w:i/>
          <w:sz w:val="20"/>
        </w:rPr>
        <w:t>Cautionary Note Regarding Forward-Looking Statements”</w:t>
      </w:r>
      <w:r>
        <w:rPr>
          <w:rFonts w:ascii="Times New Roman" w:hAnsi="Times New Roman"/>
          <w:sz w:val="20"/>
        </w:rPr>
        <w:t xml:space="preserve"> and “</w:t>
      </w:r>
      <w:r>
        <w:rPr>
          <w:rFonts w:ascii="Times New Roman" w:hAnsi="Times New Roman"/>
          <w:i/>
          <w:sz w:val="20"/>
        </w:rPr>
        <w:t xml:space="preserve">Risk Factors Risks Related to Serapha” </w:t>
      </w:r>
      <w:r>
        <w:rPr>
          <w:rFonts w:ascii="Times New Roman" w:hAnsi="Times New Roman"/>
          <w:sz w:val="20"/>
        </w:rPr>
        <w:t xml:space="preserve">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total general and administrative expenses for the period presented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96"/>
        <w:gridCol w:w="700"/>
        <w:gridCol w:w="286"/>
        <w:gridCol w:w="1193"/>
        <w:gridCol w:w="64"/>
      </w:tblGrid>
      <w:tr>
        <w:trPr/>
        <w:tc>
          <w:tcPr>
            <w:tcW w:w="4696" w:type="dxa"/>
            <w:tcBorders/>
            <w:vAlign w:val="center"/>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left"/>
              <w:rPr/>
            </w:pPr>
            <w:r>
              <w:rPr/>
              <w:t>  </w:t>
            </w:r>
          </w:p>
        </w:tc>
        <w:tc>
          <w:tcPr>
            <w:tcW w:w="1479" w:type="dxa"/>
            <w:gridSpan w:val="2"/>
            <w:tcBorders/>
            <w:vAlign w:val="bottom"/>
          </w:tcPr>
          <w:p>
            <w:pPr>
              <w:pStyle w:val="TableContents"/>
              <w:bidi w:val="0"/>
              <w:spacing w:before="0" w:after="283"/>
              <w:jc w:val="center"/>
              <w:rPr>
                <w:b/>
              </w:rPr>
            </w:pPr>
            <w:r>
              <w:rPr>
                <w:b/>
              </w:rPr>
              <w:t>April 2, 2026</w:t>
              <w:br/>
              <w:t>(inception)</w:t>
              <w:br/>
              <w:t>through</w:t>
              <w:br/>
              <w:t>June 30, 2026</w:t>
            </w:r>
          </w:p>
        </w:tc>
        <w:tc>
          <w:tcPr>
            <w:tcW w:w="64" w:type="dxa"/>
            <w:tcBorders/>
            <w:vAlign w:val="bottom"/>
          </w:tcPr>
          <w:p>
            <w:pPr>
              <w:pStyle w:val="TableContents"/>
              <w:bidi w:val="0"/>
              <w:spacing w:before="0" w:after="283"/>
              <w:jc w:val="left"/>
              <w:rPr/>
            </w:pPr>
            <w:r>
              <w:rPr/>
              <w:t> </w:t>
            </w:r>
          </w:p>
        </w:tc>
      </w:tr>
      <w:tr>
        <w:trPr/>
        <w:tc>
          <w:tcPr>
            <w:tcW w:w="4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70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393</w:t>
            </w:r>
          </w:p>
        </w:tc>
        <w:tc>
          <w:tcPr>
            <w:tcW w:w="64" w:type="dxa"/>
            <w:tcBorders/>
            <w:shd w:fill="CCEEFF" w:val="clear"/>
            <w:vAlign w:val="bottom"/>
          </w:tcPr>
          <w:p>
            <w:pPr>
              <w:pStyle w:val="TableContents"/>
              <w:bidi w:val="0"/>
              <w:spacing w:before="0" w:after="283"/>
              <w:jc w:val="left"/>
              <w:rPr/>
            </w:pPr>
            <w:r>
              <w:rPr/>
              <w:t> </w:t>
            </w:r>
          </w:p>
        </w:tc>
      </w:tr>
      <w:tr>
        <w:trPr/>
        <w:tc>
          <w:tcPr>
            <w:tcW w:w="469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70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4,729</w:t>
            </w:r>
          </w:p>
        </w:tc>
        <w:tc>
          <w:tcPr>
            <w:tcW w:w="64" w:type="dxa"/>
            <w:tcBorders/>
            <w:vAlign w:val="bottom"/>
          </w:tcPr>
          <w:p>
            <w:pPr>
              <w:pStyle w:val="TableContents"/>
              <w:bidi w:val="0"/>
              <w:spacing w:before="0" w:after="283"/>
              <w:jc w:val="left"/>
              <w:rPr/>
            </w:pPr>
            <w:r>
              <w:rPr/>
              <w:t> </w:t>
            </w:r>
          </w:p>
        </w:tc>
      </w:tr>
      <w:tr>
        <w:trPr/>
        <w:tc>
          <w:tcPr>
            <w:tcW w:w="4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70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140</w:t>
            </w:r>
          </w:p>
        </w:tc>
        <w:tc>
          <w:tcPr>
            <w:tcW w:w="64" w:type="dxa"/>
            <w:tcBorders/>
            <w:shd w:fill="CCEEFF" w:val="clear"/>
            <w:vAlign w:val="bottom"/>
          </w:tcPr>
          <w:p>
            <w:pPr>
              <w:pStyle w:val="TableContents"/>
              <w:bidi w:val="0"/>
              <w:spacing w:before="0" w:after="283"/>
              <w:jc w:val="left"/>
              <w:rPr/>
            </w:pPr>
            <w:r>
              <w:rPr/>
              <w:t> </w:t>
            </w:r>
          </w:p>
        </w:tc>
      </w:tr>
      <w:tr>
        <w:trPr/>
        <w:tc>
          <w:tcPr>
            <w:tcW w:w="4696"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96"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70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5,262</w:t>
            </w:r>
          </w:p>
        </w:tc>
        <w:tc>
          <w:tcPr>
            <w:tcW w:w="64" w:type="dxa"/>
            <w:tcBorders/>
            <w:vAlign w:val="bottom"/>
          </w:tcPr>
          <w:p>
            <w:pPr>
              <w:pStyle w:val="TableContents"/>
              <w:bidi w:val="0"/>
              <w:spacing w:before="0" w:after="283"/>
              <w:jc w:val="left"/>
              <w:rPr/>
            </w:pPr>
            <w:r>
              <w:rPr/>
              <w:t> </w:t>
            </w:r>
          </w:p>
        </w:tc>
      </w:tr>
      <w:tr>
        <w:trPr/>
        <w:tc>
          <w:tcPr>
            <w:tcW w:w="4696"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$5.3 million for the period from April 2, 2026 (inception) to June 30, 2026 and consisted primarily of stock-based compensation related to stock issuance to an investor and professional and consulting fees associated with accounting and legal services due to an increase in Serapha’s business activity as Serapha began preparing to be a public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Serapha has incurred significant operating losses. Serapha expects to incur significant expenses and operating losses for the foreseeable future as Serapha advances clinical development of SERP-01. Serapha has not yet commercialized any products and Serapha does not expect to generate revenue from sales of products for several years, if at all. To date, Serapha has funded its operations primarily with proceeds from the sale of Serapha Preferred Stock. In June 2026, Serapha received approximately $138.0 million in gross proceeds from the issuance of Serapha Preferred Stock. As of June 30, 2026, Serapha had cash of $138.0 million ($53.0 million after giving effect to the $85.0 million payment to YolTech of the upfront YolTech License Agreement fee). </w:t>
      </w:r>
    </w:p>
    <w:p>
      <w:pPr>
        <w:pStyle w:val="TextBody"/>
        <w:bidi w:val="0"/>
        <w:spacing w:before="240" w:after="0"/>
        <w:jc w:val="left"/>
        <w:rPr>
          <w:rFonts w:ascii="Times New Roman" w:hAnsi="Times New Roman"/>
          <w:sz w:val="20"/>
        </w:rPr>
      </w:pPr>
      <w:r>
        <w:rPr>
          <w:rFonts w:ascii="Times New Roman" w:hAnsi="Times New Roman"/>
          <w:sz w:val="20"/>
        </w:rPr>
        <w:t xml:space="preserve">Serapha’s primary use of cash is to fund the development of SERP-01 and advance its pipeline. This includes both the research and development costs and the general and administrative expenses required to support those operations. Since Serapha is currently a clinical-stage genetic medicines company, Serapha has incurred significant operating losses since its inception and Serapha anticipates such losses to increase as Serapha continues to pursue clinical development of its product candidates, prepares for the potential commercialization of Serapha’s product candidates, and expands Serapha’s pipeline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Serapha had cash of $138.0 million ($53.0 million after the $85.0 million payment to YolTech for the upfront YolTech License Agreement fee), excluding potential proceeds from the Serapha Pre-Closing Financing, which is not sufficient to sustain planned operations through at least twelve months from the date of this proxy statement/prospectus. These conditions raise substantial doubt about Serapha’s ability to continue as a going concern for one year from the issuance of this proxy statement/prospectus. Serapha’s accompanying financial statements as of June 30, 2026 and for the period from April 2, 2026 (inception) to June 30, 2026 have been prepared on a basis which assumes that Serapha will continue as a going concern, which contemplates the realization of assets and the satisfaction of liabilities and commitments in the normal course of business. Serapha’s financial statements for the period from April 2, 2026 (inception) to June 30, 2026 do not include any adjustments related to the recoverability and classification of assets or the amount and classification of liabilities that may result from the outcome of this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has historically financed its operations through the sale of its preferred stock. Serapha intends to obtain additional capital through sales of its equity, including the Serapha Pre-Closing Financing pursuant to which investors have agreed to purchase approximately $92.0 million of Serapha Common Stock and Serapha Pre-Funded Warrants immediately prior to the Merger. However, there can be no assurance that Serapha will be able to obtain additional liquidity through the Serapha Pre-Closing Financing or in the public market or that these funds will be readily available at terms acceptable to Serapha or in an amount sufficient to enable Serapha to satisfy its obligations or sustain operations in the future. If Serapha is unable to raise sufficient additional funds, it will have to develop and implement a plan to further extend payables and indebtedness, reduce overhead, or scale back its current business plan until sufficient additional capital is raised to support further operations or Serapha may be forced to grant rights to develop and commercialize product candidates that it would otherwise prefer to develop and commercialize on its own. There can be no assurance that such a plan will be successful. </w:t>
      </w:r>
    </w:p>
    <w:p>
      <w:pPr>
        <w:pStyle w:val="TextBody"/>
        <w:bidi w:val="0"/>
        <w:spacing w:before="240" w:after="0"/>
        <w:jc w:val="left"/>
        <w:rPr>
          <w:rFonts w:ascii="Times New Roman" w:hAnsi="Times New Roman"/>
          <w:sz w:val="20"/>
        </w:rPr>
      </w:pPr>
      <w:r>
        <w:rPr>
          <w:rFonts w:ascii="Times New Roman" w:hAnsi="Times New Roman"/>
          <w:sz w:val="20"/>
        </w:rPr>
        <w:t xml:space="preserve">Serapha estimates that the net proceeds from the Serapha Pre-Closing Financing, together with its existing cash as of the date of this proxy statement/prospectus will be sufficient to enable Serapha to fund its operating expenses and capital expenditure requirements into     . Serapha will need to secure additional financing in the future to fund additional research and development, and before a commercial drug can be produced, marketed, and sold. If Serapha is unable to obtain additional financing or generate license or product revenue, the lack of liquidity could have a material adverse effect on Serapha.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cash flows for the period presented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8"/>
        <w:gridCol w:w="606"/>
        <w:gridCol w:w="211"/>
        <w:gridCol w:w="1331"/>
        <w:gridCol w:w="63"/>
      </w:tblGrid>
      <w:tr>
        <w:trPr/>
        <w:tc>
          <w:tcPr>
            <w:tcW w:w="4728" w:type="dxa"/>
            <w:tcBorders/>
            <w:vAlign w:val="center"/>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28"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bidi w:val="0"/>
              <w:spacing w:before="0" w:after="283"/>
              <w:jc w:val="center"/>
              <w:rPr>
                <w:b/>
              </w:rPr>
            </w:pPr>
            <w:r>
              <w:rPr>
                <w:b/>
              </w:rPr>
              <w:t>April 2, 2026</w:t>
              <w:br/>
              <w:t>(inception)</w:t>
              <w:br/>
              <w:t>through</w:t>
              <w:br/>
              <w:t>June 30, 2026</w:t>
            </w:r>
          </w:p>
        </w:tc>
        <w:tc>
          <w:tcPr>
            <w:tcW w:w="63"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60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60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138,002</w:t>
            </w:r>
          </w:p>
        </w:tc>
        <w:tc>
          <w:tcPr>
            <w:tcW w:w="63" w:type="dxa"/>
            <w:tcBorders/>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60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138,002</w:t>
            </w:r>
          </w:p>
        </w:tc>
        <w:tc>
          <w:tcPr>
            <w:tcW w:w="63" w:type="dxa"/>
            <w:tcBorders/>
            <w:shd w:fill="CCEEFF" w:val="clear"/>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period from April 2, 2026 (inception) to June 30, 2026, there was no net cash used in operating activities, as the net loss of $170.1 million, was fully offset by the acquired in-process research and development of $164.6 million and stock-based compensation of $4.7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period from April 2, 2026 (inception) to June 30, 2026, net cash provided by financing activities was $138.0 million, consisting of gross proceeds from the issuance of Serapha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Historical Unaudited SERP-01 Program Expenditures by YolTech </w:t>
      </w:r>
    </w:p>
    <w:p>
      <w:pPr>
        <w:pStyle w:val="TextBody"/>
        <w:bidi w:val="0"/>
        <w:spacing w:before="120" w:after="0"/>
        <w:jc w:val="left"/>
        <w:rPr>
          <w:rFonts w:ascii="Times New Roman" w:hAnsi="Times New Roman"/>
          <w:sz w:val="20"/>
        </w:rPr>
      </w:pPr>
      <w:r>
        <w:rPr>
          <w:rFonts w:ascii="Times New Roman" w:hAnsi="Times New Roman"/>
          <w:sz w:val="20"/>
        </w:rPr>
        <w:t xml:space="preserve">Prior to the in-licensing of the SERP-01 program by Serapha in June 2026, all research and development of SERP-01 (also referred to as YOLT-202) was conducted by YolTech. Based on information provided by YolTech, research and development expenses incurred by YolTech in respect of the SERP-01 program from the inception of the program (during 2024) through June 30, 2026 were approximately as follows (in millions, unaudited):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98"/>
        <w:gridCol w:w="880"/>
        <w:gridCol w:w="290"/>
        <w:gridCol w:w="908"/>
        <w:gridCol w:w="63"/>
      </w:tblGrid>
      <w:tr>
        <w:trPr/>
        <w:tc>
          <w:tcPr>
            <w:tcW w:w="4798" w:type="dxa"/>
            <w:tcBorders/>
            <w:vAlign w:val="center"/>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bidi w:val="0"/>
              <w:spacing w:before="0" w:after="283"/>
              <w:jc w:val="left"/>
              <w:rPr>
                <w:b/>
              </w:rPr>
            </w:pPr>
            <w:r>
              <w:rPr>
                <w:b/>
              </w:rPr>
              <w:t>Period</w:t>
            </w:r>
          </w:p>
        </w:tc>
        <w:tc>
          <w:tcPr>
            <w:tcW w:w="880" w:type="dxa"/>
            <w:tcBorders/>
            <w:vAlign w:val="bottom"/>
          </w:tcPr>
          <w:p>
            <w:pPr>
              <w:pStyle w:val="TableContents"/>
              <w:bidi w:val="0"/>
              <w:spacing w:before="0" w:after="283"/>
              <w:jc w:val="left"/>
              <w:rPr/>
            </w:pPr>
            <w:r>
              <w:rPr/>
              <w:t>  </w:t>
            </w:r>
          </w:p>
        </w:tc>
        <w:tc>
          <w:tcPr>
            <w:tcW w:w="1198" w:type="dxa"/>
            <w:gridSpan w:val="2"/>
            <w:tcBorders/>
            <w:vAlign w:val="bottom"/>
          </w:tcPr>
          <w:p>
            <w:pPr>
              <w:pStyle w:val="TableContents"/>
              <w:bidi w:val="0"/>
              <w:spacing w:before="0" w:after="283"/>
              <w:jc w:val="center"/>
              <w:rPr>
                <w:b/>
              </w:rPr>
            </w:pPr>
            <w:r>
              <w:rPr>
                <w:b/>
              </w:rPr>
              <w:t>R&amp;D E</w:t>
            </w:r>
            <w:r>
              <w:rPr>
                <w:b/>
                <w:sz w:val="20"/>
              </w:rPr>
              <w:t>XPENSE</w:t>
            </w:r>
          </w:p>
        </w:tc>
        <w:tc>
          <w:tcPr>
            <w:tcW w:w="63"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Period from program inception through December 31, 2024</w:t>
            </w:r>
          </w:p>
        </w:tc>
        <w:tc>
          <w:tcPr>
            <w:tcW w:w="88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Year ended December 31, 2025</w:t>
            </w:r>
          </w:p>
        </w:tc>
        <w:tc>
          <w:tcPr>
            <w:tcW w:w="88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Six months ended June 30, 2026</w:t>
            </w:r>
          </w:p>
        </w:tc>
        <w:tc>
          <w:tcPr>
            <w:tcW w:w="88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9.4</w:t>
            </w:r>
          </w:p>
        </w:tc>
        <w:tc>
          <w:tcPr>
            <w:tcW w:w="63" w:type="dxa"/>
            <w:tcBorders/>
            <w:shd w:fill="CCEEFF" w:val="clear"/>
            <w:vAlign w:val="bottom"/>
          </w:tcPr>
          <w:p>
            <w:pPr>
              <w:pStyle w:val="TableContents"/>
              <w:bidi w:val="0"/>
              <w:spacing w:before="0" w:after="283"/>
              <w:jc w:val="left"/>
              <w:rPr/>
            </w:pPr>
            <w:r>
              <w:rPr/>
              <w:t> </w:t>
            </w:r>
          </w:p>
        </w:tc>
      </w:tr>
      <w:tr>
        <w:trPr/>
        <w:tc>
          <w:tcPr>
            <w:tcW w:w="4798"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Total (program inception through June 30, 2026)</w:t>
            </w:r>
          </w:p>
        </w:tc>
        <w:tc>
          <w:tcPr>
            <w:tcW w:w="88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08" w:type="dxa"/>
            <w:tcBorders/>
            <w:vAlign w:val="bottom"/>
          </w:tcPr>
          <w:p>
            <w:pPr>
              <w:pStyle w:val="TableContents"/>
              <w:bidi w:val="0"/>
              <w:spacing w:before="0" w:after="283"/>
              <w:jc w:val="right"/>
              <w:rPr/>
            </w:pPr>
            <w:r>
              <w:rPr/>
              <w:t>20.9</w:t>
            </w:r>
          </w:p>
        </w:tc>
        <w:tc>
          <w:tcPr>
            <w:tcW w:w="63" w:type="dxa"/>
            <w:tcBorders/>
            <w:vAlign w:val="bottom"/>
          </w:tcPr>
          <w:p>
            <w:pPr>
              <w:pStyle w:val="TableContents"/>
              <w:bidi w:val="0"/>
              <w:spacing w:before="0" w:after="283"/>
              <w:jc w:val="left"/>
              <w:rPr/>
            </w:pPr>
            <w:r>
              <w:rPr/>
              <w:t> </w:t>
            </w:r>
          </w:p>
        </w:tc>
      </w:tr>
      <w:tr>
        <w:trPr/>
        <w:tc>
          <w:tcPr>
            <w:tcW w:w="4798"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90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 entered into the YolTech License Agreement on June 12, 2026; the amounts presented above for the six months ended June 30, 2026 reflect YolTech’s research and development expenditures on the SERP-01 program, including a de minimis period from June 12, 2026 to June 30, 2026 after the effective date of the YolTech License Agreement. The foregoing information is derived from unaudited financial data provided by YolTech. YolTech’s historical books and records relating to the SERP-01 program are maintained under Chinese accounting standards (under which the research and development expenditures of the SERP-01 program were expensed as incurred, consistent with their treatment under U.S. GAAP) and in Renminbi. The amounts above reflect a good-faith conversion to U.S. dollars at the annual average Chinese Yuan Renminbi to U.S. Dollar exchange rate published by the Board of Governors of the Federal Reserve System for each respective period. Under the YolTech License Agreement, YolTech remains responsible for the research, development and regulatory activities for SERP-01 in Greater China at its own cost and continues to conduct the ongoing IIT, and the information above does not reflect any activities of YolTech other than research and development expense in respect of the SERP-01 program. The SERP-01 program had no revenues during the periods presented, and no related assets or liabilities of the program were carried on YolTech’s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Serapha has not generated any revenue from product sales. Serapha does not expect to generate revenue from product sales unless and until Serapha successfully completes preclinical and clinical development of, receives regulatory approval for, and commercializes a product candidate, and Serapha does not know when, or if at all, that will occur. Serapha expects its expenses to increase substantially in connection with its ongoing activities, particularly as Serapha initiates clinical trials and advances future preclinical activities and studies. In addition, if Serapha obtains regulatory approval for any product candidates, Serapha expects to incur significant expenses related to product sales, marketing, and distribution to the extent that such sales, marketing and distribution are not the responsibility of potential collaborators. Further, upon the completion of the Merger, Serapha expects to incur additional costs associated with operating as a public company. The timing and amount of Serapha’s operating expenditures will depend largely on the factors set out above. For more information, see the section titled “</w:t>
      </w:r>
      <w:r>
        <w:rPr>
          <w:rFonts w:ascii="Times New Roman" w:hAnsi="Times New Roman"/>
          <w:i/>
          <w:sz w:val="20"/>
        </w:rPr>
        <w:t>Risk Factors</w:t>
      </w:r>
      <w:r>
        <w:rPr>
          <w:rFonts w:ascii="Times New Roman" w:hAnsi="Times New Roman"/>
          <w:sz w:val="20"/>
        </w:rPr>
        <w:t> — </w:t>
      </w:r>
      <w:r>
        <w:rPr>
          <w:rFonts w:ascii="Times New Roman" w:hAnsi="Times New Roman"/>
          <w:i/>
          <w:sz w:val="20"/>
        </w:rPr>
        <w:t>Risks Related to Serapha</w:t>
      </w:r>
      <w:r>
        <w:rPr>
          <w:rFonts w:ascii="Times New Roman" w:hAnsi="Times New Roman"/>
          <w:sz w:val="20"/>
        </w:rPr>
        <w:t> — </w:t>
      </w:r>
      <w:r>
        <w:rPr>
          <w:rFonts w:ascii="Times New Roman" w:hAnsi="Times New Roman"/>
          <w:i/>
          <w:sz w:val="20"/>
        </w:rPr>
        <w:t>Risks Related to Serapha’s Limited Operating History, Financial Position and Capital Requirements</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Serapha’s funding requirements and timing and amount of its operating expenditures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progress in Serapha’s clinical development of SERP-01 and future research and development and discovery-related development of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product candidates and discovery-related activities and preclinical studies for those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ability to successfully file INDs or comparable foreign applications and obtain authorization to commence Serapha’s planned clinical trials or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2"/>
        <w:gridCol w:w="202"/>
        <w:gridCol w:w="9395"/>
      </w:tblGrid>
      <w:tr>
        <w:trPr/>
        <w:tc>
          <w:tcPr>
            <w:tcW w:w="406"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enrollment and successful completion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pursue positive results from Serapha’s future clinical trials that support a finding of safety and effectiveness and an acceptable risk-benefit profile in the intended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hiring research and development, clinical, manufacturing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2"/>
        <w:gridCol w:w="9395"/>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adding operational, financial and management information systems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2"/>
        <w:gridCol w:w="9393"/>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obtain regulatory approvals, if any, for any approved products in the United States and other jurisdictions, and the costs of post-marketing studies that could be required by regulatory authorities in jurisdictions where approval is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developing, maintaining and enhancing sustainable, scalable, reproducible and transferable clinical and commercial-scale cGMP capabilities through a third party or Serapha’s own manufacturing facility for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4"/>
        <w:gridCol w:w="204"/>
        <w:gridCol w:w="9389"/>
      </w:tblGrid>
      <w:tr>
        <w:trPr/>
        <w:tc>
          <w:tcPr>
            <w:tcW w:w="40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establishing sales, marketing and distribution infrastructure to commercialize any product candidates, for any of Serapha’s product candidates for which Serapha receives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2"/>
        <w:gridCol w:w="9393"/>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Serapha’s product candidates for which Serapha receives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4"/>
        <w:gridCol w:w="9391"/>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maintaining, expanding, enforcing, defending and protecting Serapha’s intellectual property rights and protection or regulatory exclusivity for any products Serapha may develop and defending any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payment of milestone, royalty or other payments Serapha must make pursuant to Serapha’s existing and potential future collaborations and licensing arrangements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1"/>
        <w:gridCol w:w="9395"/>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Serapha incurs in maintaining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costs of audit, legal, regulatory and tax-related services associated with maintaining compliance with an exchange listing and SEC requirements, director and officer insurance premiums and investor and public relations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2"/>
        <w:gridCol w:w="9393"/>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Serapha acquires or invests in businesses, products and technologies, including entering into licensing or collaboration arrangements for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time-consuming, expensive and uncertain process that takes years to complete, and Serapha may never generate the necessary data or results required to obtain marketing approval and achieve product sales. In addition, Serapha’s product candidates, if approved, may not achieve commercial success. Serapha’s commercial revenues, if any, will be derived from sales of products that Serapha does not expect to be commercially available for many years, if ever. Accordingly, Serapha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Serapha on acceptable terms, or at all. Serapha does not currently have any committed external source of funds. To the extent that Serapha raises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and preferred equity financing, if available, may involve agreements that include covenants limiting or restricting Serapha’s ability to take specific actions, such as incurring debt, making capital expenditures or declaring dividends and may require the issuance of warrants, which could potentially dilute your ownership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Serapha raises additional funds through strategic collaborations or licensing arrangements with third parties, Serapha may have to relinquish valuable rights to its technologies, future revenue streams, research programs, or product candidates or grant licenses on terms that may not be favorable to Serapha. If Serapha is unable to raise additional funds through equity or debt financings when needed, Serapha may be required to delay, limit or terminate its product development programs or any future commercialization efforts or grant rights to develop and market product candidates to third parties that Serapha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Serapha’s existing cash balance, excluding the Serapha Pre-Closing Financing, will not be sufficient to sustain planned operations through at least twelve months from the issuance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However, Serapha estimates that the net proceeds from the Serapha Pre-Closing Financing, together with its existing cash as of the date of this proxy statement/prospectus, will be sufficient to enable Serapha to fund its operating expenses and capital expenditure requirements into     . Serapha has based this estimate on assumptions that may prove to be wrong. Serapha’s operating plan may change as a result of many factors currently unknown to Serapha and Serapha could exhaust its available capital resources sooner than Serapha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Other Commitments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entered into the YolTech License Agreement under which Serapha obtained worldwide rights, excluding Greater China, to develop, manufacture and commercialize SERP-01 and other SERPINA1-directed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the YolTech Warrant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(after taking into account the 2026 Stock Plan and 2026 ESPP). YolTech is also eligible to receive up to approximately $167.0 million in certain development and regulatory milestone payments and up to approximately $1.88 billion in sales-based milestone payments, as well as tiered royalties ranging from mid-single-digit to low-teens on annual net sales of SERP-01 in the licensed territory. In July 2026, the first development milestone under the YolTech License Agreement was achieved based upon the determination of the safety review committee, entitling YolTech to a milestone payment of $10.0 million, which Serapha expects to record as research and development expense in the third quarter of 2026.The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SERPINA1-directed gene therapies, subject to customary acquisition-related exceptions. Serapha may terminate the YolTech License Agreement for convenience on prior notice, and each party may terminate for the other’s uncured material breach or insolvency; YolTech may also terminate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Serapha’s management’s discussion and analysis of its financial condition and results of operations is based on its financial statements, which have been prepared in accordance with U.S. GAAP. The preparation of these financial statements requires Serapha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Serapha’s estimates are based on its historical experience and on various other factors that Serapha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Serapha’s significant accounting policies are described in more detail in Note 2 to its financial statements for the period from April 2, 2026 (inception) to June 30, 2026 included elsewhere in this proxy statement/prospectus, Serapha believes the following accounting policies used in the preparation of Serapha’s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Contract Costs Accruals </w:t>
      </w:r>
    </w:p>
    <w:p>
      <w:pPr>
        <w:pStyle w:val="TextBody"/>
        <w:bidi w:val="0"/>
        <w:spacing w:before="120" w:after="0"/>
        <w:jc w:val="left"/>
        <w:rPr>
          <w:rFonts w:ascii="Times New Roman" w:hAnsi="Times New Roman"/>
          <w:sz w:val="20"/>
        </w:rPr>
      </w:pPr>
      <w:r>
        <w:rPr>
          <w:rFonts w:ascii="Times New Roman" w:hAnsi="Times New Roman"/>
          <w:sz w:val="20"/>
        </w:rPr>
        <w:t xml:space="preserve">Serapha records the costs associated with research and development as incurred. These costs are a significant component of Serapha’s research and development expenses, with a substantial portion of Serapha’s ongoing research and development activities conducted by third-party service providers, including CROs and CMOs. </w:t>
      </w:r>
    </w:p>
    <w:p>
      <w:pPr>
        <w:pStyle w:val="TextBody"/>
        <w:bidi w:val="0"/>
        <w:spacing w:before="240" w:after="0"/>
        <w:jc w:val="left"/>
        <w:rPr>
          <w:rFonts w:ascii="Times New Roman" w:hAnsi="Times New Roman"/>
          <w:sz w:val="20"/>
        </w:rPr>
      </w:pPr>
      <w:r>
        <w:rPr>
          <w:rFonts w:ascii="Times New Roman" w:hAnsi="Times New Roman"/>
          <w:sz w:val="20"/>
        </w:rPr>
        <w:t xml:space="preserve">Serapha accrues for expenses resulting from payments due under the YolTech License Agreement and agreements with CROs, CMOs, and other outside service providers for which payment flows do not match the periods over which materials or services are provided to Serapha. Accruals are recorded based on estimates of services received and efforts expended pursuant to agreements established with YolTech,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Serapha makes significant judgments and estimates in determining the accrual balance in each reporting period. In the event advance payments are made to YolTech, a CRO, a CMO, or an outside service provider, the payments will be recorded as a prepaid asset which will be expensed as the contracted services are performed. Changes in these estimates that result in material changes to Serapha’s accruals could materially affect Serapha’s results of operations. For the periods presented, Serapha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In June 2026, in connection with its entry into the YolTech License Agreement, Serapha issued to YolTech a warrant to purchase shares of non-voting Series A-1 preferred stock of Serapha (the “YolTech Warrant”) representing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(after taking into account the 2026 Stock Plan and 2026 ESPP). The YolTech Warrant was recorded at its fair value of $79.4 million upon issuance, which was recognized as acquired in-process research and development expense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 of the consideration under the YolTech License Agreement, and is subject to remeasurement at the end of each reporting period, with changes in fair value recognized in Serapha’s statement of operations. Serapha used a scenario-based valuation method with inputs based on certain subjective assumptions, including (a) potential settlement scenarios and their relative probability weightings, (b) expected terms, (c) volatility and (d) the applicable discount rate. Such assumptions involve inherent uncertainties and the application of significant judgment. As a result, if factors or expected outcomes change and Serapha uses significantly different assumptions or estimates, the estimated fair value of the warrant liability could be materially different. Serapha will continue to use judgment in evaluating the assumptions utilized for its warrant liability fair value calculations on a prospective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Serapha measures stock-based awards granted to employees, directors, and non-employees in the form of stock options to purchase shares of Serapha Common Stock, based on their fair value on the date of grant using the Black-Scholes model. Compensation expense for those awards is recognized using the straight-line method over the requisite service period, which is generally the vesting period of the respective award for employees. Compensation expense for awards to non-employees with service-based vesting conditions is recognized in the same manner as if Serapha had paid cash in exchange for the goods or services, which is generally over the vesting period of the award. Serapha accounts for forfeitures as they occur. Serapha classifies its stock-based compensation expenses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model uses inputs that are determined by the Serapha Board of Directors on the date of grant and assumptions Serapha makes for the volatility of stock-based awards, the expected term of stock-based awards, the risk-free interest rate for a period that approximates the expected term of Serapha’s stock-based awards and its expected dividend yield. Serapha has historically been a private company and lacks company-specific historical and implied volatility information of its stock. Therefore, Serapha estimates its expected stock volatility based on the historical volatility of a representative group of public companies in the biotechnology industry for a term equal to the remaining time of the expected term. The expected term of Serapha’s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Serapha has estimated a 0% dividend yield based on the expected dividend yield and the fact that Serapha has never paid, and does not expect to pay, any cash dividends in the foreseeable future. See Note 2 to Serapha’s financial statements for the period from April 2, 2026 (inception) to June 30, 2026 included elsewhere in this proxy statement/prospectus for information concerning certain of the specific assumptions Serapha used in applying the Black-Scholes model to determine the estimated fair value of its stock options granted in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the Serapha Common Stock from April 2, 2026 (inception) to date, the estimated fair value of stock-based awards has been determined by the Serapha Board of Directors as of the date of grant, with input from management, and with consideration of additional objective and subjective factors that Serapha believed were relevant. In addition, the Serapha Board of Directors considered various objective and subjective factors to determine the fair value of Serapha’s share-based awards as of each grant 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1"/>
        <w:gridCol w:w="202"/>
        <w:gridCol w:w="9395"/>
      </w:tblGrid>
      <w:tr>
        <w:trPr/>
        <w:tc>
          <w:tcPr>
            <w:tcW w:w="407"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valuations of Serapha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Serapha’s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stage of development and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202"/>
        <w:gridCol w:w="9393"/>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202"/>
        <w:gridCol w:w="203"/>
        <w:gridCol w:w="9395"/>
      </w:tblGrid>
      <w:tr>
        <w:trPr/>
        <w:tc>
          <w:tcPr>
            <w:tcW w:w="405"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financial position, including cash on hand, and Serapha’s historical and forecasted performance and operating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1"/>
        <w:gridCol w:w="201"/>
        <w:gridCol w:w="9397"/>
      </w:tblGrid>
      <w:tr>
        <w:trPr/>
        <w:tc>
          <w:tcPr>
            <w:tcW w:w="406"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Serapha Common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 Common Stock valuations were prepared using a hybrid method, including an option 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the estimated fair value for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Serapha had used significantly different assumptions or estimates, the fair value of Serapha’s incentive shares and its stock-based compensation expense could have been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the Combined Company’s common stock has been established in connection with the completion of the Merger, it will no longer be necessary for the board of directors of the Combined Company to estimate the fair value of Serapha’s stock-based awards in connection with Serapha’s accounting for granted stock-based awards or other such awards Serapha may grant, as the fair value of Serapha Common Stock and share-based awards will be determined based on the quoted market price of the Combined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Serapha’s financial position, results of operations or cash flows is disclosed in Note 2 to Serapha’s financial statements for the period from April 2, 2026 (inception) to June 30, 2026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Serapha did not have, nor does Serapha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Serapha is a smaller reporting company, as defined by Rule 12b-2 under the Exchange Act and in Item 10(f)(1) of Regulation S-K, and is not required to provide the information under this item.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5" w:name="tx108148_30"/>
      <w:bookmarkEnd w:id="65"/>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the business and affairs of the Combined Company will be managed under the direction of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board of directors will initially be fixed at    members, consisting of current Serapha Board of Directors members Kenneth Mills and    .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of the Combined Company will serve at the discretion of the Combined Company board of directors and hold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 Boundless Bio’s current directors are expected to resign from their positions as directors of Boundless Bio,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as of July 31,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03"/>
        <w:gridCol w:w="195"/>
        <w:gridCol w:w="425"/>
        <w:gridCol w:w="196"/>
        <w:gridCol w:w="5086"/>
      </w:tblGrid>
      <w:tr>
        <w:trPr/>
        <w:tc>
          <w:tcPr>
            <w:tcW w:w="4303"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43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95"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96" w:type="dxa"/>
            <w:tcBorders/>
            <w:vAlign w:val="bottom"/>
          </w:tcPr>
          <w:p>
            <w:pPr>
              <w:pStyle w:val="TableContents"/>
              <w:bidi w:val="0"/>
              <w:spacing w:before="0" w:after="283"/>
              <w:jc w:val="left"/>
              <w:rPr/>
            </w:pPr>
            <w:r>
              <w:rPr/>
              <w:t>  </w:t>
            </w:r>
          </w:p>
        </w:tc>
        <w:tc>
          <w:tcPr>
            <w:tcW w:w="50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4303" w:type="dxa"/>
            <w:tcBorders/>
          </w:tcPr>
          <w:p>
            <w:pPr>
              <w:pStyle w:val="TableContents"/>
              <w:bidi w:val="0"/>
              <w:spacing w:before="0" w:after="283"/>
              <w:jc w:val="left"/>
              <w:rPr>
                <w:b/>
                <w:i/>
              </w:rPr>
            </w:pPr>
            <w:r>
              <w:rPr>
                <w:b/>
                <w:i/>
              </w:rPr>
              <w:t>Executive Officers</w:t>
            </w:r>
          </w:p>
        </w:tc>
        <w:tc>
          <w:tcPr>
            <w:tcW w:w="195"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5086" w:type="dxa"/>
            <w:tcBorders/>
          </w:tcPr>
          <w:p>
            <w:pPr>
              <w:pStyle w:val="TableContents"/>
              <w:bidi w:val="0"/>
              <w:spacing w:before="0" w:after="283"/>
              <w:jc w:val="left"/>
              <w:rPr>
                <w:sz w:val="4"/>
                <w:szCs w:val="4"/>
              </w:rPr>
            </w:pPr>
            <w:r>
              <w:rPr>
                <w:sz w:val="4"/>
                <w:szCs w:val="4"/>
              </w:rPr>
            </w:r>
          </w:p>
        </w:tc>
      </w:tr>
      <w:tr>
        <w:trPr>
          <w:trHeight w:val="120" w:hRule="atLeast"/>
        </w:trPr>
        <w:tc>
          <w:tcPr>
            <w:tcW w:w="4303"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5282" w:type="dxa"/>
            <w:gridSpan w:val="2"/>
            <w:tcBorders/>
            <w:vAlign w:val="center"/>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pPr>
            <w:r>
              <w:rPr/>
              <w:t>Kenneth Mills</w:t>
            </w:r>
          </w:p>
        </w:tc>
        <w:tc>
          <w:tcPr>
            <w:tcW w:w="195"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51</w:t>
            </w:r>
          </w:p>
        </w:tc>
        <w:tc>
          <w:tcPr>
            <w:tcW w:w="196" w:type="dxa"/>
            <w:tcBorders/>
            <w:vAlign w:val="bottom"/>
          </w:tcPr>
          <w:p>
            <w:pPr>
              <w:pStyle w:val="TableContents"/>
              <w:bidi w:val="0"/>
              <w:spacing w:before="0" w:after="283"/>
              <w:jc w:val="left"/>
              <w:rPr/>
            </w:pPr>
            <w:r>
              <w:rPr/>
              <w:t>  </w:t>
            </w:r>
          </w:p>
        </w:tc>
        <w:tc>
          <w:tcPr>
            <w:tcW w:w="5086" w:type="dxa"/>
            <w:tcBorders/>
          </w:tcPr>
          <w:p>
            <w:pPr>
              <w:pStyle w:val="TableContents"/>
              <w:bidi w:val="0"/>
              <w:spacing w:before="0" w:after="283"/>
              <w:jc w:val="left"/>
              <w:rPr/>
            </w:pPr>
            <w:r>
              <w:rPr/>
              <w:t>President, Chief Executive Officer and Director</w:t>
            </w:r>
          </w:p>
        </w:tc>
      </w:tr>
      <w:tr>
        <w:trPr>
          <w:trHeight w:val="120" w:hRule="atLeast"/>
        </w:trPr>
        <w:tc>
          <w:tcPr>
            <w:tcW w:w="4303"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5282" w:type="dxa"/>
            <w:gridSpan w:val="2"/>
            <w:tcBorders/>
            <w:vAlign w:val="center"/>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b/>
                <w:i/>
              </w:rPr>
            </w:pPr>
            <w:r>
              <w:rPr>
                <w:b/>
                <w:i/>
              </w:rPr>
              <w:t>Non-Employee Directors</w:t>
            </w:r>
          </w:p>
        </w:tc>
        <w:tc>
          <w:tcPr>
            <w:tcW w:w="195"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5086"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 xml:space="preserve">Kenneth Mills. </w:t>
      </w:r>
      <w:r>
        <w:rPr>
          <w:rFonts w:ascii="Times New Roman" w:hAnsi="Times New Roman"/>
          <w:sz w:val="20"/>
        </w:rPr>
        <w:t xml:space="preserve">Mr. Mills has more than 25 years of experience in the biotechnology and pharmaceutical industries. He has served as Serapha’s President, Chief Executive Officer and a director since July 2026. Prior to joining Serapha, Mr. Mills was President, Chief Executive Officer and a director of Tagworks Pharmaceuticals BV, a privately held precision oncology company, from July 2024 to July 2026. From March 2009 until July 2024, Mr. Mills served as President and Chief Executive Officer of REGENXBIO Inc. (Nasdaq: RGNX), a company focused on the development and commercialization of adeno-associated virus gene therapy. He has also served as a director of REGENXBIO since March 2009, including as Chairman since July 2024. During his tenure at REGENXBIO, Mr. Mills led the company through its initial public offering and several financing transactions and oversaw the advancement of multiple clinical-stage programs. He was also involved in the licensing and advising of a number of biotechnology companies, including AveXis (acquired by Novartis) and Audentes (acquired by Astellas), as well as the launch of companies such as Dimension Therapeutics (acquired by Ultragenyx), Prevail Therapeutics (acquired by Eli Lilly), and Corlieve Therapeutics (acquired by uniQure). Mr. Mills was with FOXKISER LLP, including most recently as a Partner, from 2007 to 2015, where he advised and helped launch companies in the biotechnology and pharmaceutical space. Earlier in his career, Mr. Mills served as Chief Financial Officer and Vice President of Business Development at Meso Scale Diagnostics, where he was a member of the original management team, and as Director of Business Development at IGEN International, Inc. through its acquisition by Roche. Mr. Mills received an S.B. in Chemistry from the Massachusetts Institute of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believes Mr. Mills is qualified to serve as a member of the Combined Company board of directors because of his extensive experience as an executive in the gene therapy and biotechnology industries, his prior service as a senior-level executive in both early stage and mature biotechnology companies and his demonstrated business judgment.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is currently divided into three staggered classes, with one class to be elected at each annual meeting to serve for a three-year term. The staggered structure of the Boundless Bio Board of Directors will remain in place for the Combined Company following the completion of the Merger, with Class III directors holding terms expiring at the 2027 annual meeting of stockholders, Class I directors holding terms expiring at the 2028 annual meeting of stockholders and Class II directors holding terms expiring at the 2029 annual meeting of stockholders. It is anticipated that the incoming directors will be appointed to classes of the Combined Company board of directors following the completion of the Merger as follows:    are expected to be Class I directors;    are expected to be Class II directors; and    are expected to be Class III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w:t>
      </w:r>
    </w:p>
    <w:p>
      <w:pPr>
        <w:pStyle w:val="TextBody"/>
        <w:bidi w:val="0"/>
        <w:spacing w:before="240" w:after="0"/>
        <w:jc w:val="left"/>
        <w:rPr>
          <w:rFonts w:ascii="Times New Roman" w:hAnsi="Times New Roman"/>
          <w:sz w:val="20"/>
        </w:rPr>
      </w:pPr>
      <w:r>
        <w:rPr>
          <w:rFonts w:ascii="Times New Roman" w:hAnsi="Times New Roman"/>
          <w:sz w:val="20"/>
        </w:rPr>
        <w:t>Based on information provided by each proposed director concerning his or her background, employment and affiliations, Boundless Bio and Serapha expect that the Combined Company board of directors will determine that     qualify as “independent directors” as defined under Nasdaq listing rules. Mr. Mills, Serapha’s current President and Chief Executive Officer, is not expected to qualify as an independent director of the Combined Company. In making these determinations, the Combined Company board of directors will consider the current and prior relationships that each director has with Boundless Bio and Serapha and all other facts and circumstances that the Combined Company board of directors deems relevant in determining the independence of each proposed director, including the interests of each Combined Company director in the Merger, any relevant related party transactions and the beneficial ownership of securities of Boundless Bio, Serapha or the Combined Company by each Combined Company director. See also the sections titled “</w:t>
      </w:r>
      <w:r>
        <w:rPr>
          <w:rFonts w:ascii="Times New Roman" w:hAnsi="Times New Roman"/>
          <w:i/>
          <w:sz w:val="20"/>
        </w:rPr>
        <w:t>Interests of Serapha Directors and Executive Officers in the Merger</w:t>
      </w:r>
      <w:r>
        <w:rPr>
          <w:rFonts w:ascii="Times New Roman" w:hAnsi="Times New Roman"/>
          <w:sz w:val="20"/>
        </w:rPr>
        <w:t>,” “</w:t>
      </w:r>
      <w:r>
        <w:rPr>
          <w:rFonts w:ascii="Times New Roman" w:hAnsi="Times New Roman"/>
          <w:i/>
          <w:sz w:val="20"/>
        </w:rPr>
        <w:t>Certain Relationships and Related Party Transactions of the Combined Company — Serapha Transactions</w:t>
      </w:r>
      <w:r>
        <w:rPr>
          <w:rFonts w:ascii="Times New Roman" w:hAnsi="Times New Roman"/>
          <w:sz w:val="20"/>
        </w:rPr>
        <w:t>” and “</w:t>
      </w:r>
      <w:r>
        <w:rPr>
          <w:rFonts w:ascii="Times New Roman" w:hAnsi="Times New Roman"/>
          <w:i/>
          <w:sz w:val="20"/>
        </w:rPr>
        <w:t>Principal Stockholders of Serapha</w:t>
      </w:r>
      <w:r>
        <w:rPr>
          <w:rFonts w:ascii="Times New Roman" w:hAnsi="Times New Roman"/>
          <w:sz w:val="20"/>
        </w:rPr>
        <w:t xml:space="preserve">” beginning on pages 178, 349 and 386, respectively,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Merger,    is expected to serve as Chair of the Combined Company board of directors. Although the Combined Company’s governance documents will not require that the Combined Company separate the Chief Executive Officer and Chair positions, Serapha believes that having the positions be separate is the appropriate leadership structure for the Combined Company at this time as it helps facilitate independent board oversight of management and allows the Chief Executive Officer to focus on strategy execution and managing the business while the Chair focuses on corporate governance and managing the Combined Company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Serapha Board of Directors recognizes that, depending on future circumstances, other leadership models, such as combining the roles of Chief Executive Officer and Chair, might be appropriate. Accordingly, the Combined Company’s board may periodically review its leadership structure. At any time when a non-independent director is serving as Chair, Serapha anticipates that the independent directors of the Combined Company will designate a lead independent director to preside at all meetings of the board of directors of the Combined Company at which the Chair is not present, preside over executive sessions of the independent directors, which will occur regularly throughout each year, serve as a liaison between the Chair and independent directors, and perform such additional duties as the Combined Company board of directors may otherwise determine and delegate.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Boundless Bio and Serapha anticipate that the Combined Company board of directors will establish an audit committee, a compensation committee and a nominating and governance committee (“governance committee”), each of which will operate pursuant to a charter adopted by the Combined Company board of directors. Boundless Bio and Serapha believe that following the completion of the Merger, the functioning and composition of these committees of the Combined Company will comply with the requirements of Nasdaq listing rules and SEC rules and regulations. The Combined Company board of directors may also establish other committees from time to time to assist the Combined Company and its board of directors. Each of the audit committee, compensation committee and the governance committee is expected to have the responsibilities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 each of whom is expected to qualify as an independent director for audit committee purposes as defined under the rules of the SEC and the applicable Nasdaq listing rules and has sufficient knowledge in financial and auditing matters to serve on the Combined Company’s audit committee.    is expected to chair the audit committee. In addition, the Combined Company board of directors is expected to determine that    is an “audit committee financial expert” as defined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internal and external audit processes. The audit committee will oversee the system of internal controls established by management and the Combined Company’s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compensation committee are expected to be    , each of whom is expected to qualify as an independent director for compensation committee purposes as defined under the rules of the SEC and the applicable Nasdaq listing rules.    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objectives and setting the officers’ compensation. The compensation committee will also administer and make recommendations to the Combined Company board of directors regarding equity incentive plans that are subject to the board of directors’ approval and approve the grant of equity awards under the plans to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governance committee are expected to be    , each of whom is expected to qualify as an independent director under applicable Nasdaq listing rules.    is expected to chair the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governance committee will be responsible for engaging in succession planning for the Combined Company board of directors, developing and recommending to the Combined Company board of directors criteria for identifying and evaluating qualified director candidates and making recommendations to the Combined Company board of directors regarding candidates for election or reelection to the Combined Company board of directors at each annual stockholders’ meeting. In addition, the governance committee will be responsible for overseeing corporate governance matters. The governance committee will also be responsible for overseeing the structure, composition and functioning of the Combined Company board of directors and its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 board of directors or compensation committee following the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and employees. The full text of the Combined Company’s Code of Conduct and Ethics will be posted on the Combined Company’s website at </w:t>
      </w:r>
      <w:r>
        <w:rPr>
          <w:rFonts w:ascii="Times New Roman" w:hAnsi="Times New Roman"/>
          <w:i/>
          <w:sz w:val="20"/>
        </w:rPr>
        <w:t>www.seraphabio.com</w:t>
      </w:r>
      <w:r>
        <w:rPr>
          <w:rFonts w:ascii="Times New Roman" w:hAnsi="Times New Roman"/>
          <w:sz w:val="20"/>
        </w:rPr>
        <w:t xml:space="preserve">. It is expected to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6" w:name="tx108148_31"/>
      <w:bookmarkEnd w:id="66"/>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Boundless Bio’s and Serapha’s directors and executive officers, including those discussed in the sections titled “</w:t>
      </w:r>
      <w:r>
        <w:rPr>
          <w:rFonts w:ascii="Times New Roman" w:hAnsi="Times New Roman"/>
          <w:i/>
          <w:sz w:val="20"/>
        </w:rPr>
        <w:t>Boundless Bio Executive Compensation</w:t>
      </w:r>
      <w:r>
        <w:rPr>
          <w:rFonts w:ascii="Times New Roman" w:hAnsi="Times New Roman"/>
          <w:sz w:val="20"/>
        </w:rPr>
        <w:t>,” “</w:t>
      </w:r>
      <w:r>
        <w:rPr>
          <w:rFonts w:ascii="Times New Roman" w:hAnsi="Times New Roman"/>
          <w:i/>
          <w:sz w:val="20"/>
        </w:rPr>
        <w:t>Management Following the Merger</w:t>
      </w:r>
      <w:r>
        <w:rPr>
          <w:rFonts w:ascii="Times New Roman" w:hAnsi="Times New Roman"/>
          <w:sz w:val="20"/>
        </w:rPr>
        <w:t>” and “</w:t>
      </w:r>
      <w:r>
        <w:rPr>
          <w:rFonts w:ascii="Times New Roman" w:hAnsi="Times New Roman"/>
          <w:i/>
          <w:sz w:val="20"/>
        </w:rPr>
        <w:t>Serapha Executive Compensation</w:t>
      </w:r>
      <w:r>
        <w:rPr>
          <w:rFonts w:ascii="Times New Roman" w:hAnsi="Times New Roman"/>
          <w:sz w:val="20"/>
        </w:rPr>
        <w:t xml:space="preserve">” beginning on pages 216, 344 and 227, respectively, of this proxy statement/prospectus, the following is a description of each transaction involving Boundless Bio since January 1, 2024, each transaction involving Serapha since April 2, 2026 (inception)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Serapha’s or Boundless Bio’s total assets at year-end for the last two completed fiscal years,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Serapha’s or Boundless Bio’s directors, executive officers or holders of more than 5% of Serapha’s or Boundless Bio’s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Boundless Bio’s 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has adopted a written policy setting forth the policies and procedures for the review and approval or ratification of transactions required to be reported under Item 404(a) of Regulation S-K under the Securities Act. This policy covers, with certain exceptions set forth in Item 404 of Regulation S-K under the Securities Act, any transaction, arrangement, or relationship, or any series of similar transactions, arrangements, or relationships, in which Boundless Bio was or is to be a participant, where the amount involved exceeds the lesser of $120,000 or one percent of the average of its total assets at year-end for the last two completed fiscal years, and in which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Boundless Bio of a related person. This policy provides that the Boundless Bio audit committee shall either approve or disapprove any such transaction after reviewing all relevant known facts and circumstances related to such transaction. Such review shall include whether the transaction is on terms comparable to those that could be obtained in an arm’s length transaction with an unrelated party and the extent of the related person’s interest in the transaction and shall take into account any conflicts of interest and/or corporate opportunity provisions of Boundless Bio’s corporate governance documents. No director may participate in the approval of a related person transaction for which he or she is a related person.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transactions during Boundless Bio’s last two fiscal years to which Boundless Bio has been a party, in which the amount involved exceeds $120,000, and in which any of Boundless Bio’s directors, executive officers or beneficial owners of more than 5% of Boundless Bio’s capital stock, or an affiliate or immediate family member thereof, had or will have a direct or indirect material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and Executive Officer Compensation </w:t>
      </w:r>
    </w:p>
    <w:p>
      <w:pPr>
        <w:pStyle w:val="TextBody"/>
        <w:bidi w:val="0"/>
        <w:spacing w:before="120" w:after="0"/>
        <w:jc w:val="left"/>
        <w:rPr>
          <w:rFonts w:ascii="Times New Roman" w:hAnsi="Times New Roman"/>
          <w:sz w:val="20"/>
        </w:rPr>
      </w:pPr>
      <w:r>
        <w:rPr>
          <w:rFonts w:ascii="Times New Roman" w:hAnsi="Times New Roman"/>
          <w:sz w:val="20"/>
        </w:rPr>
        <w:t>Please see “</w:t>
      </w:r>
      <w:r>
        <w:rPr>
          <w:rFonts w:ascii="Times New Roman" w:hAnsi="Times New Roman"/>
          <w:i/>
          <w:sz w:val="20"/>
        </w:rPr>
        <w:t>Boundless Bio Non-Employee Director Compensation</w:t>
      </w:r>
      <w:r>
        <w:rPr>
          <w:rFonts w:ascii="Times New Roman" w:hAnsi="Times New Roman"/>
          <w:sz w:val="20"/>
        </w:rPr>
        <w:t>” and “</w:t>
      </w:r>
      <w:r>
        <w:rPr>
          <w:rFonts w:ascii="Times New Roman" w:hAnsi="Times New Roman"/>
          <w:i/>
          <w:sz w:val="20"/>
        </w:rPr>
        <w:t>Boundless Bio Executive Compensation</w:t>
      </w:r>
      <w:r>
        <w:rPr>
          <w:rFonts w:ascii="Times New Roman" w:hAnsi="Times New Roman"/>
          <w:sz w:val="20"/>
        </w:rPr>
        <w:t xml:space="preserve">” for information regarding the compensation of Boundless Bio’s directors and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and Directors’ and Officers’ Liability Insurance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entered into indemnification agreements with each of its directors and executive officers. These agreements, among other things, require Boundless Bio or will require Boundless Bio to indemnify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Boundless Bio, arising out of the person’s services as a director or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Charter and Boundless Bio Bylaws provide that it will indemnify each of its directors and officers to the fullest extent permitted by the DGCL. Further, Boundless Bio has purchased a policy of directors’ and officers’ liability insurance that insures its directors and officers against the cost of defense, settlement, or payment of a judgment under certain circumstances. </w:t>
      </w:r>
    </w:p>
    <w:p>
      <w:pPr>
        <w:pStyle w:val="TextBody"/>
        <w:bidi w:val="0"/>
        <w:spacing w:before="360" w:after="0"/>
        <w:jc w:val="left"/>
        <w:rPr>
          <w:rFonts w:ascii="Times New Roman" w:hAnsi="Times New Roman"/>
          <w:b/>
          <w:sz w:val="20"/>
        </w:rPr>
      </w:pPr>
      <w:bookmarkStart w:id="67" w:name="tx108148_711"/>
      <w:bookmarkEnd w:id="67"/>
      <w:r>
        <w:rPr>
          <w:rFonts w:ascii="Times New Roman" w:hAnsi="Times New Roman"/>
          <w:b/>
          <w:sz w:val="20"/>
        </w:rPr>
        <w:t xml:space="preserve">Serapha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each transaction or series of similar transactions since April 2, 2026 (inception) or any currently proposed transaction, to which Serapha was or is a party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Serapha’s total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Serapha’s directors or executive officers, any holder of more than 5% of any class of Serapha’s voting securities or any member of his or her immediate family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Private Placements of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Initial Financing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completed a financing of Serapha Common Stock and issued and sold an aggregate of 6,100,000 shares of Serapha Common Stock, including 4,100,000 shares of Serapha Common Stock to RTW Holdings X, LLC and 1,862,334 shares of Serapha Common Stock to RA Capital Management, at a purchase price of $0.001 per share. </w:t>
      </w:r>
    </w:p>
    <w:p>
      <w:pPr>
        <w:pStyle w:val="TextBody"/>
        <w:bidi w:val="0"/>
        <w:spacing w:before="240" w:after="0"/>
        <w:jc w:val="left"/>
        <w:rPr>
          <w:rFonts w:ascii="Times New Roman" w:hAnsi="Times New Roman"/>
          <w:sz w:val="20"/>
        </w:rPr>
      </w:pPr>
      <w:r>
        <w:rPr>
          <w:rFonts w:ascii="Times New Roman" w:hAnsi="Times New Roman"/>
          <w:sz w:val="20"/>
        </w:rPr>
        <w:t xml:space="preserve">RTW Holdings X, LLC and RA Capital Management each beneficially own more than 5% of a class of Serapha’s voting securities through their holdings of Serapha Common Stock and Serapha Series A Preferred Stock. RTW Holdings X, LLC and RA Capital Management each have two seats on the Serapha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Financing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certain institutional and accredited investors and Serapha entered into the Series A Financing Agreement, pursuant to which such persons invested in and purchased an aggregate of 30,668,708 shares of Serapha Series A Preferred Stock at a purchase price of $4.4997 per share for aggregate gross proceeds to Serapha of approximately $138.0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purchases of Serapha Series A Preferred Stock by related persons: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05"/>
        <w:gridCol w:w="396"/>
        <w:gridCol w:w="107"/>
        <w:gridCol w:w="1833"/>
        <w:gridCol w:w="60"/>
        <w:gridCol w:w="396"/>
        <w:gridCol w:w="140"/>
        <w:gridCol w:w="1453"/>
        <w:gridCol w:w="65"/>
      </w:tblGrid>
      <w:tr>
        <w:trPr/>
        <w:tc>
          <w:tcPr>
            <w:tcW w:w="330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396"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 Series A</w:t>
            </w:r>
            <w:r>
              <w:rPr/>
              <w:br/>
            </w:r>
            <w:r>
              <w:rPr>
                <w:b/>
              </w:rPr>
              <w:t>Preferred Stock</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5" w:type="dxa"/>
            <w:tcBorders/>
            <w:vAlign w:val="bottom"/>
          </w:tcPr>
          <w:p>
            <w:pPr>
              <w:pStyle w:val="TableContents"/>
              <w:bidi w:val="0"/>
              <w:spacing w:before="0" w:after="283"/>
              <w:jc w:val="left"/>
              <w:rPr/>
            </w:pPr>
            <w:r>
              <w:rPr/>
              <w:t> </w:t>
            </w:r>
          </w:p>
        </w:tc>
      </w:tr>
      <w:tr>
        <w:trPr/>
        <w:tc>
          <w:tcPr>
            <w:tcW w:w="33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w:t>
            </w:r>
          </w:p>
        </w:tc>
        <w:tc>
          <w:tcPr>
            <w:tcW w:w="39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8,000,533</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3" w:type="dxa"/>
            <w:tcBorders/>
            <w:shd w:fill="CCEEFF" w:val="clear"/>
            <w:vAlign w:val="bottom"/>
          </w:tcPr>
          <w:p>
            <w:pPr>
              <w:pStyle w:val="TableContents"/>
              <w:bidi w:val="0"/>
              <w:spacing w:before="0" w:after="283"/>
              <w:jc w:val="right"/>
              <w:rPr/>
            </w:pPr>
            <w:r>
              <w:rPr/>
              <w:t>35,999,998.35</w:t>
            </w:r>
          </w:p>
        </w:tc>
        <w:tc>
          <w:tcPr>
            <w:tcW w:w="65" w:type="dxa"/>
            <w:tcBorders/>
            <w:shd w:fill="CCEEFF" w:val="clear"/>
            <w:vAlign w:val="bottom"/>
          </w:tcPr>
          <w:p>
            <w:pPr>
              <w:pStyle w:val="TableContents"/>
              <w:bidi w:val="0"/>
              <w:spacing w:before="0" w:after="283"/>
              <w:jc w:val="left"/>
              <w:rPr/>
            </w:pPr>
            <w:r>
              <w:rPr/>
              <w:t> </w:t>
            </w:r>
          </w:p>
        </w:tc>
      </w:tr>
      <w:tr>
        <w:trPr/>
        <w:tc>
          <w:tcPr>
            <w:tcW w:w="3305" w:type="dxa"/>
            <w:tcBorders/>
          </w:tcPr>
          <w:p>
            <w:pPr>
              <w:pStyle w:val="TableContents"/>
              <w:bidi w:val="0"/>
              <w:spacing w:before="0" w:after="0"/>
              <w:jc w:val="left"/>
              <w:rPr>
                <w:rFonts w:ascii="Times New Roman" w:hAnsi="Times New Roman"/>
                <w:sz w:val="20"/>
              </w:rPr>
            </w:pPr>
            <w:r>
              <w:rPr>
                <w:rFonts w:ascii="Times New Roman" w:hAnsi="Times New Roman"/>
                <w:sz w:val="20"/>
              </w:rPr>
              <w:t>RTW Holdings X, LLC</w:t>
            </w:r>
          </w:p>
        </w:tc>
        <w:tc>
          <w:tcPr>
            <w:tcW w:w="39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6,667,111</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3" w:type="dxa"/>
            <w:tcBorders/>
            <w:vAlign w:val="bottom"/>
          </w:tcPr>
          <w:p>
            <w:pPr>
              <w:pStyle w:val="TableContents"/>
              <w:bidi w:val="0"/>
              <w:spacing w:before="0" w:after="283"/>
              <w:jc w:val="right"/>
              <w:rPr/>
            </w:pPr>
            <w:r>
              <w:rPr/>
              <w:t>29,999,999.37</w:t>
            </w:r>
          </w:p>
        </w:tc>
        <w:tc>
          <w:tcPr>
            <w:tcW w:w="65" w:type="dxa"/>
            <w:tcBorders/>
            <w:vAlign w:val="bottom"/>
          </w:tcPr>
          <w:p>
            <w:pPr>
              <w:pStyle w:val="TableContents"/>
              <w:bidi w:val="0"/>
              <w:spacing w:before="0" w:after="283"/>
              <w:jc w:val="left"/>
              <w:rPr/>
            </w:pPr>
            <w:r>
              <w:rPr/>
              <w:t> </w:t>
            </w:r>
          </w:p>
        </w:tc>
      </w:tr>
      <w:tr>
        <w:trPr/>
        <w:tc>
          <w:tcPr>
            <w:tcW w:w="33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w:t>
            </w:r>
          </w:p>
        </w:tc>
        <w:tc>
          <w:tcPr>
            <w:tcW w:w="39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3,333,555</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3" w:type="dxa"/>
            <w:tcBorders/>
            <w:shd w:fill="CCEEFF" w:val="clear"/>
            <w:vAlign w:val="bottom"/>
          </w:tcPr>
          <w:p>
            <w:pPr>
              <w:pStyle w:val="TableContents"/>
              <w:bidi w:val="0"/>
              <w:spacing w:before="0" w:after="283"/>
              <w:jc w:val="right"/>
              <w:rPr/>
            </w:pPr>
            <w:r>
              <w:rPr/>
              <w:t>14,999,997.45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Serapha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in connection with the execution of the Merger Agreement, Serapha entered into the Securities Purchase Agreement with certain investors to consummate the Serapha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Pursuant to the Securities Purchase Agreement, the investors agreed to purchase an estimated aggregate of 10,008,136 shares of Serapha Common Stock and 10,390,369 Serapha Pre-Funded Warrants, at an estimated price of $4.4997 per share of Serapha Common Stock and $4.49969 per Serapha Pre-Funded Warrant, for an aggregate purchase price of approximately $92.0 million.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212 of this proxy statement/prospectus. The closing of the Serapha Pre-Closing Financing is conditioned upon the satisfaction or waiver of the conditions to the Merger as well as certain other conditions. The investors in the Serapha Pre-Closing Financing or their affiliates are, or are expected to be as of immediately following the Serapha Pre-Closing Financing, beneficial holders of more than 5% of Serapha Capital Stock, and the table below sets forth the number of shares of Serapha Common Stock and Serapha Pre-Funded Warrants expected to be purchased by such holders at the closing of the Serapha Pre-Closing Financing (based on the purchase price per share or pre-funded warrant, as applicable). The share and dollar amounts in this section do not give effect to the Nasdaq Reverse Split or the Merger.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88"/>
        <w:gridCol w:w="237"/>
        <w:gridCol w:w="60"/>
        <w:gridCol w:w="1041"/>
        <w:gridCol w:w="60"/>
        <w:gridCol w:w="237"/>
        <w:gridCol w:w="79"/>
        <w:gridCol w:w="1397"/>
        <w:gridCol w:w="60"/>
        <w:gridCol w:w="237"/>
        <w:gridCol w:w="140"/>
        <w:gridCol w:w="1170"/>
        <w:gridCol w:w="66"/>
      </w:tblGrid>
      <w:tr>
        <w:trPr/>
        <w:tc>
          <w:tcPr>
            <w:tcW w:w="3788"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237"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Serapha</w:t>
              <w:br/>
              <w:t>Common</w:t>
              <w:br/>
              <w:t>Stock</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b/>
              </w:rPr>
              <w:t>Serapha Pre-</w:t>
            </w:r>
            <w:r>
              <w:rPr/>
              <w:br/>
            </w:r>
            <w:r>
              <w:rPr>
                <w:b/>
              </w:rPr>
              <w:t>Funded</w:t>
              <w:br/>
              <w:t>Warrants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Purchase</w:t>
              <w:br/>
              <w:t>Price</w:t>
            </w:r>
          </w:p>
        </w:tc>
        <w:tc>
          <w:tcPr>
            <w:tcW w:w="66"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1,016,974</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4,316,714</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24,000,000</w:t>
            </w:r>
          </w:p>
        </w:tc>
        <w:tc>
          <w:tcPr>
            <w:tcW w:w="66" w:type="dxa"/>
            <w:tcBorders/>
            <w:shd w:fill="CCEEFF" w:val="clear"/>
            <w:vAlign w:val="bottom"/>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RTW Investments</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846,626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3,598,114</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20,000,000</w:t>
            </w:r>
          </w:p>
        </w:tc>
        <w:tc>
          <w:tcPr>
            <w:tcW w:w="66"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 US LLC</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1,739,096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927,748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12,000,000</w:t>
            </w:r>
          </w:p>
        </w:tc>
        <w:tc>
          <w:tcPr>
            <w:tcW w:w="66" w:type="dxa"/>
            <w:tcBorders/>
            <w:shd w:fill="CCEEFF" w:val="clear"/>
            <w:vAlign w:val="bottom"/>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1,159,010</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1,063,360</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10,000,000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12, 2026, Serapha entered into the YolTech License Agreement, under which Serapha obtained worldwide rights, excluding Greater China, to develop, manufacture and commercialize SERP-01 and other SERPINA1-directed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warrant to purchase shares of non-voting Serapha Series A-1 Preferred Stock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(after taking into account the 2026 Stock Plan and 2026 ESPP). YolTech is also eligible to receive up to approximately $167.0 million in certain development and regulatory milestone payments and up to approximately $1.88 billion in sales-based milestone payments, as well as tiered royalties of a percentage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SERPINA1-directed gene therapies, subject to customary acquisition-related exceptions. Serapha may terminate the agreement for convenience on prior notice, and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YolTech License Agreement does not purport to be complete and is qualified in its entirety by the full text of the YolTech License Agreement, a copy of which is filed as Exhibit 10.5 to the registration statement of which this proxy statement/prospectus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and Insurance </w:t>
      </w:r>
    </w:p>
    <w:p>
      <w:pPr>
        <w:pStyle w:val="TextBody"/>
        <w:bidi w:val="0"/>
        <w:spacing w:before="120" w:after="0"/>
        <w:jc w:val="left"/>
        <w:rPr>
          <w:rFonts w:ascii="Times New Roman" w:hAnsi="Times New Roman"/>
          <w:sz w:val="20"/>
        </w:rPr>
      </w:pPr>
      <w:r>
        <w:rPr>
          <w:rFonts w:ascii="Times New Roman" w:hAnsi="Times New Roman"/>
          <w:sz w:val="20"/>
        </w:rPr>
        <w:t xml:space="preserve">Serapha has entered into an indemnification agreement with each of its directors and officers and will purchase directors’ and officers’ liability insurance. The indemnification agreements require Serapha to indemnify its directors and officers to the fullest extent permitted under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Services </w:t>
      </w:r>
    </w:p>
    <w:p>
      <w:pPr>
        <w:pStyle w:val="TextBody"/>
        <w:bidi w:val="0"/>
        <w:spacing w:before="120" w:after="0"/>
        <w:jc w:val="left"/>
        <w:rPr>
          <w:rFonts w:ascii="Times New Roman" w:hAnsi="Times New Roman"/>
          <w:sz w:val="20"/>
        </w:rPr>
      </w:pPr>
      <w:r>
        <w:rPr>
          <w:rFonts w:ascii="Times New Roman" w:hAnsi="Times New Roman"/>
          <w:sz w:val="20"/>
        </w:rPr>
        <w:t xml:space="preserve">On June 15, 2026, Serapha engaged Danforth Advisors, an accounting and finance advisory company. Christina Allgeier, Serapha’s Interim Chief Financial Officer, serves as a Financial Services Consultant for Danforth Advisors. Through June 30, 2026, Serapha has paid approximately $7 thousand to Danforth Advisors in exchange for professional services related to accounting, finance and other administrative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Carnot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2, 2026, Serapha entered into a three-year Services Agreement with Carnot Pharma, LLC (“Carnot”), an entity controlled by RA Capital Management, L.P. Pursuant to the agreement, Carnot provides certain research and development and other services to Serapha in connection with its clinical trials. Serapha pays Carnot for services performed and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Through June 30, 2026, Serapha has paid $0.1 million to Carnot under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Serapha does not have a formal policy regarding approval of transactions with related parties. To date, all disclosable transactions with related parties have been approved by the directors not interested in such transactions pursuant to Section 144(a)(1) of the DGCL. Following the completion of the Merger, Serapha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x108148_32"/>
      <w:bookmarkEnd w:id="68"/>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shall have the same meaning as terms defined and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Serapha entered into the Merger Agreement, as amended by Amendment No. 1 to the Merger Agreement on August 28, 2026, with Boundless Bio and Merger Sub pursuant to which, and subject to the satisfaction or waiver of the conditions set forth in the Merger Agreement, Merger Sub will merge with and into Serapha, with Serapha surviving as a wholly owned subsidiary of Boundless Bio and the surviving corporation of the Merger. The Merger is expected to close in the fourth quarter of 2026 following the effectiveness of this registration statement and receipt of approval by the stockholders of each of Serapha and Boundless Bio, in the latter case pursuant to the Boundless Bio Special Meeting. In connection with the Merger, Boundless Bio will change its name to “Serapha Bio, Inc.” Boundless Bio following the Merger is referred to herein as the “Combined Company.” The Combined Company will be led by Serapha’s management team and will focus on advancing SERP-01.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 each then-outstanding share of Serapha Capital Stock (including any shares of Serapha Common Stock issued in the Serapha Pre-Closing Financing), excluding any shares of Serapha Capital Stock held as treasury stock immediately prior to the Effective Time, will be converted into the right to receive a number of shares of Boundless Bio Common Stock equal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(ii) each then-outstanding Serapha Option will be converted into and become an option to purchase shares of Boundless Bio Common Stock on the existing terms and conditions (including with respect to vesting and accelerated vesting),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(iii) each then-outstanding Serapha RSU will be converted into and become a restricted stock unit award covering shares of Boundless Bio Common Stock on the existing terms and conditions (including with respect to vesting and accelerated vesting), subject to adjustment as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(iv) each then-outstanding Serapha Warrant, including each then-outstanding Serapha Pre-Funded Warrant, will be converted into an Assumed Warrant,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If any shares of Serapha Common Stock are unvested or subject to a repurchase option or risk of forfeiture at the Effective Time, then the shares of Boundless Bio Common Stock issued in exchange for such shares will to the same extent be unvested and subject to the same repurchase option or risk of forfeiture.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The Exchange Ratio is currently estimated to be approximately 8.6737 shares of Boundless Bio Common Stock for each share of Serapha Capital Stock on the Closing Date. This estimated Exchange Ratio does not give effect to the Nasdaq Reverse Split and is subject to adjustment based on the Boundless Bio Net Cash at the Closing as described in more detail in the section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xml:space="preserve">” beginning on page 192 of this proxy statement/prospectus. Under the Exchange Ratio formula, the former Serapha stockholders immediately before the Effective Time, including those purchasing shares of Serapha Common Stock and Serapha Pre-Funded Warrants in the Serapha Pre-Closing Financing, are estimated to own approximately 95.8% of the shares of capital stock of the Combined Company on a fully-diluted basis, and the stockholders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immediately before the Effective Time are estimated to own approximately 4.2% of the shares of capital stock of the Combined Company on a fully-diluted basis (after taking into account the 2026 Stock Plan and 2026 ESPP), which give effect to (a) the Boundless Bio Net Cash as of the Closing being approximately $0, after giving effect to the Boundless Bio Pre-Closing Dividend, (b) the completion of the Serapha Pre-Closing Financing for an aggregate purchase price of approximately $92.0 million, (c) a valuation for Boundless Bio equal to the Boundless Bio Net Cash as of the business day immediately prior to the Closing Date, plus $12.5 million, and (d) a valuation for Serapha equal to $211.7 million plus $92.0 million of assumed proceeds in the Serapha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together with the Serapha Pre-Closing Financing, is expected to be accounted for as a reverse recapitalization under U.S. GAAP. For further details related to the accounting for the Merger, please see Notes 1 and 3 below. All share amounts have been adjusted to reflect the estimated Exchange Ratio of 8.6737 shares of Boundless Bio Common Stock for each share of Serapha Capital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Boundless Bio and Serapha as of June 30, 2026 and depicts the accounting of the transactions prepared pursuant to Article 11 of Regulation S-X (the “pro forma balance sheet transaction accounting adjustments”). The unaudited pro forma condensed combined statements of operations for the six months ended June 30, 2026 for Boundless Bio and the period from April 2, 2026 (inception) to June 30, 2026 for Serapha and the unaudited pro forma condensed combined statements of operations for the year ended December 31, 2025 for Boundless Bio combine the historical results of Boundless Bio and Serapha for those periods and depict the pro forma transaction accounting adjustments assuming that those adjustments were made as of January 1, 2025 (the “pro forma statements of operations transaction accounting adjustments”).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This unaudited pro forma condensed combined financial information and the related notes have been derived from and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Serapha as of June 30, 2026 and for the period from April 2, 2026 (inception) to June 30, 2026, and the related notes included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financial statements of Boundless Bio as of June 30, 2026 and for the six months ended June 30, 2026, and the related notes included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Boundless Bio for the year ended December 31, 2025, and the related notes included elsewhere in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sections titled “</w:t>
            </w:r>
            <w:r>
              <w:rPr>
                <w:rFonts w:ascii="Times New Roman" w:hAnsi="Times New Roman"/>
                <w:i/>
                <w:sz w:val="20"/>
              </w:rPr>
              <w:t>Boundless Bio Management’s Discussion and Analysis of Financial Condition and Results of Operations</w:t>
            </w:r>
            <w:r>
              <w:rPr>
                <w:rFonts w:ascii="Times New Roman" w:hAnsi="Times New Roman"/>
                <w:sz w:val="20"/>
              </w:rPr>
              <w:t>,” “</w:t>
            </w:r>
            <w:r>
              <w:rPr>
                <w:rFonts w:ascii="Times New Roman" w:hAnsi="Times New Roman"/>
                <w:i/>
                <w:sz w:val="20"/>
              </w:rPr>
              <w:t>Serapha Management’s Discussion and Analysis of Financial Condition and Results of Operations</w:t>
            </w:r>
            <w:r>
              <w:rPr>
                <w:rFonts w:ascii="Times New Roman" w:hAnsi="Times New Roman"/>
                <w:sz w:val="20"/>
              </w:rPr>
              <w:t xml:space="preserve">,” and other financial information relating to Boundless Bio and Serapha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the Nasdaq Reverse Split. Adjustments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future periods or the result that actually would have been realized had Boundless Bio and Serapha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In particular, since Boundless Bio has discontinued its clinical program for BBI-940 and had previously discontinued development of its other clinical programs, BBI-355 and BBI-825, the future results will be different than historical results. Additionally, since Serapha obtained the SERP-01 license in mid-June 2026, future results will be materially different than the 2026 historical results as Serapha expects to initiate a U.S. Phase 2/3 clinical trial of SERP-01 in late 2026 or early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3"/>
        <w:gridCol w:w="257"/>
        <w:gridCol w:w="140"/>
        <w:gridCol w:w="907"/>
        <w:gridCol w:w="155"/>
        <w:gridCol w:w="202"/>
        <w:gridCol w:w="168"/>
        <w:gridCol w:w="1106"/>
        <w:gridCol w:w="155"/>
        <w:gridCol w:w="202"/>
        <w:gridCol w:w="166"/>
        <w:gridCol w:w="1094"/>
        <w:gridCol w:w="155"/>
        <w:gridCol w:w="202"/>
        <w:gridCol w:w="172"/>
        <w:gridCol w:w="403"/>
        <w:gridCol w:w="355"/>
        <w:gridCol w:w="201"/>
        <w:gridCol w:w="140"/>
        <w:gridCol w:w="907"/>
        <w:gridCol w:w="165"/>
      </w:tblGrid>
      <w:tr>
        <w:trPr/>
        <w:tc>
          <w:tcPr>
            <w:tcW w:w="2953"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5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78" w:type="dxa"/>
            <w:gridSpan w:val="6"/>
            <w:tcBorders/>
            <w:vAlign w:val="bottom"/>
          </w:tcPr>
          <w:p>
            <w:pPr>
              <w:pStyle w:val="TableContents"/>
              <w:bidi w:val="0"/>
              <w:spacing w:before="0" w:after="283"/>
              <w:jc w:val="center"/>
              <w:rPr/>
            </w:pPr>
            <w:r>
              <w:rPr/>
              <w:t>Historical</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47"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47"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5(A)</w:t>
            </w:r>
          </w:p>
          <w:p>
            <w:pPr>
              <w:pStyle w:val="TableContents"/>
              <w:bidi w:val="0"/>
              <w:spacing w:before="0" w:after="20"/>
              <w:jc w:val="center"/>
              <w:rPr>
                <w:rFonts w:ascii="Times New Roman" w:hAnsi="Times New Roman"/>
                <w:sz w:val="16"/>
              </w:rPr>
            </w:pPr>
            <w:r>
              <w:rPr>
                <w:rFonts w:ascii="Times New Roman" w:hAnsi="Times New Roman"/>
                <w:sz w:val="16"/>
              </w:rPr>
              <w:t>Boundless</w:t>
              <w:br/>
              <w:t>Bio, Inc.</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74"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5(B)</w:t>
            </w:r>
          </w:p>
          <w:p>
            <w:pPr>
              <w:pStyle w:val="TableContents"/>
              <w:bidi w:val="0"/>
              <w:spacing w:before="0" w:after="20"/>
              <w:jc w:val="center"/>
              <w:rPr>
                <w:rFonts w:ascii="Times New Roman" w:hAnsi="Times New Roman"/>
                <w:sz w:val="16"/>
              </w:rPr>
            </w:pPr>
            <w:r>
              <w:rPr>
                <w:rFonts w:ascii="Times New Roman" w:hAnsi="Times New Roman"/>
                <w:sz w:val="16"/>
              </w:rPr>
              <w:t>Serapha Bio, Inc.</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bidi w:val="0"/>
              <w:spacing w:before="0" w:after="283"/>
              <w:jc w:val="center"/>
              <w:rPr/>
            </w:pPr>
            <w:r>
              <w:rPr/>
              <w:t>Transaction</w:t>
              <w:br/>
              <w:t>Accounting</w:t>
              <w:br/>
              <w:t>Adjustments</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pPr>
            <w:r>
              <w:rPr/>
              <w:t>Notes</w:t>
            </w:r>
          </w:p>
        </w:tc>
        <w:tc>
          <w:tcPr>
            <w:tcW w:w="3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47" w:type="dxa"/>
            <w:gridSpan w:val="2"/>
            <w:tcBorders/>
            <w:vAlign w:val="bottom"/>
          </w:tcPr>
          <w:p>
            <w:pPr>
              <w:pStyle w:val="TableContents"/>
              <w:bidi w:val="0"/>
              <w:spacing w:before="0" w:after="283"/>
              <w:jc w:val="center"/>
              <w:rPr/>
            </w:pPr>
            <w:r>
              <w:rPr/>
              <w:t>Pro Forma</w:t>
              <w:br/>
              <w:t>Combined</w:t>
            </w:r>
          </w:p>
        </w:tc>
        <w:tc>
          <w:tcPr>
            <w:tcW w:w="165"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20,213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138,002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91,999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(b)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238,795</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(4,175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(c)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(5,791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(e)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(7,471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(f)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52,774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(h)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(756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(i)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(46,000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(j)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Investment in marketable securities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52,413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(52,413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(h)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1,021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(660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(g)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4</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(361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(h)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73,647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138,006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27,146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238,799</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(g)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Non-current prepaids and other assets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316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(316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(c)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73,744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138,322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26,733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238,799</w:t>
            </w:r>
          </w:p>
        </w:tc>
        <w:tc>
          <w:tcPr>
            <w:tcW w:w="165" w:type="dxa"/>
            <w:tcBorders/>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Liabilities, Convertible Preferred Stock and Stockholders’ Equity (Deficit)</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953" w:type="dxa"/>
            <w:tcBorders/>
            <w:vAlign w:val="center"/>
          </w:tcPr>
          <w:p>
            <w:pPr>
              <w:pStyle w:val="TableContents"/>
              <w:bidi w:val="0"/>
              <w:spacing w:before="0" w:after="283"/>
              <w:jc w:val="left"/>
              <w:rPr>
                <w:sz w:val="4"/>
                <w:szCs w:val="4"/>
              </w:rPr>
            </w:pPr>
            <w:r>
              <w:rPr>
                <w:sz w:val="4"/>
                <w:szCs w:val="4"/>
              </w:rPr>
            </w:r>
          </w:p>
        </w:tc>
        <w:tc>
          <w:tcPr>
            <w:tcW w:w="1459" w:type="dxa"/>
            <w:gridSpan w:val="4"/>
            <w:tcBorders/>
            <w:vAlign w:val="center"/>
          </w:tcPr>
          <w:p>
            <w:pPr>
              <w:pStyle w:val="TableContents"/>
              <w:bidi w:val="0"/>
              <w:spacing w:before="0" w:after="283"/>
              <w:jc w:val="left"/>
              <w:rPr>
                <w:sz w:val="4"/>
                <w:szCs w:val="4"/>
              </w:rPr>
            </w:pPr>
            <w:r>
              <w:rPr>
                <w:sz w:val="4"/>
                <w:szCs w:val="4"/>
              </w:rPr>
            </w:r>
          </w:p>
        </w:tc>
        <w:tc>
          <w:tcPr>
            <w:tcW w:w="1631" w:type="dxa"/>
            <w:gridSpan w:val="4"/>
            <w:tcBorders/>
            <w:vAlign w:val="center"/>
          </w:tcPr>
          <w:p>
            <w:pPr>
              <w:pStyle w:val="TableContents"/>
              <w:bidi w:val="0"/>
              <w:spacing w:before="0" w:after="283"/>
              <w:jc w:val="left"/>
              <w:rPr>
                <w:sz w:val="4"/>
                <w:szCs w:val="4"/>
              </w:rPr>
            </w:pPr>
            <w:r>
              <w:rPr>
                <w:sz w:val="4"/>
                <w:szCs w:val="4"/>
              </w:rPr>
            </w:r>
          </w:p>
        </w:tc>
        <w:tc>
          <w:tcPr>
            <w:tcW w:w="1617" w:type="dxa"/>
            <w:gridSpan w:val="4"/>
            <w:tcBorders/>
            <w:vAlign w:val="center"/>
          </w:tcPr>
          <w:p>
            <w:pPr>
              <w:pStyle w:val="TableContents"/>
              <w:bidi w:val="0"/>
              <w:spacing w:before="0" w:after="283"/>
              <w:jc w:val="left"/>
              <w:rPr>
                <w:sz w:val="4"/>
                <w:szCs w:val="4"/>
              </w:rPr>
            </w:pPr>
            <w:r>
              <w:rPr>
                <w:sz w:val="4"/>
                <w:szCs w:val="4"/>
              </w:rPr>
            </w:r>
          </w:p>
        </w:tc>
        <w:tc>
          <w:tcPr>
            <w:tcW w:w="1132" w:type="dxa"/>
            <w:gridSpan w:val="4"/>
            <w:tcBorders/>
            <w:vAlign w:val="center"/>
          </w:tcPr>
          <w:p>
            <w:pPr>
              <w:pStyle w:val="TableContents"/>
              <w:bidi w:val="0"/>
              <w:spacing w:before="0" w:after="283"/>
              <w:jc w:val="left"/>
              <w:rPr>
                <w:sz w:val="4"/>
                <w:szCs w:val="4"/>
              </w:rPr>
            </w:pPr>
            <w:r>
              <w:rPr>
                <w:sz w:val="4"/>
                <w:szCs w:val="4"/>
              </w:rPr>
            </w:r>
          </w:p>
        </w:tc>
        <w:tc>
          <w:tcPr>
            <w:tcW w:w="1413" w:type="dxa"/>
            <w:gridSpan w:val="4"/>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 and accrued liabilities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4,995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1,772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(316)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(c)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4,496</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(1,955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(e)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in-process research and development</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85,000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85,000</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Accrued compensation</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2,773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(2,758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(f)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15</w:t>
            </w:r>
          </w:p>
        </w:tc>
        <w:tc>
          <w:tcPr>
            <w:tcW w:w="165" w:type="dxa"/>
            <w:tcBorders/>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7,768</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86,772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(5,029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89,511</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Warrant liability</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79,365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(79,365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(d)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7,768</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166,137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(84,394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89,511</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rHeight w:val="60" w:hRule="atLeast"/>
        </w:trPr>
        <w:tc>
          <w:tcPr>
            <w:tcW w:w="2953" w:type="dxa"/>
            <w:tcBorders/>
            <w:vAlign w:val="center"/>
          </w:tcPr>
          <w:p>
            <w:pPr>
              <w:pStyle w:val="TableContents"/>
              <w:bidi w:val="0"/>
              <w:spacing w:before="0" w:after="283"/>
              <w:jc w:val="left"/>
              <w:rPr>
                <w:sz w:val="4"/>
                <w:szCs w:val="4"/>
              </w:rPr>
            </w:pPr>
            <w:r>
              <w:rPr>
                <w:sz w:val="4"/>
                <w:szCs w:val="4"/>
              </w:rPr>
            </w:r>
          </w:p>
        </w:tc>
        <w:tc>
          <w:tcPr>
            <w:tcW w:w="1459" w:type="dxa"/>
            <w:gridSpan w:val="4"/>
            <w:tcBorders/>
            <w:vAlign w:val="center"/>
          </w:tcPr>
          <w:p>
            <w:pPr>
              <w:pStyle w:val="TableContents"/>
              <w:bidi w:val="0"/>
              <w:spacing w:before="0" w:after="283"/>
              <w:jc w:val="left"/>
              <w:rPr>
                <w:sz w:val="4"/>
                <w:szCs w:val="4"/>
              </w:rPr>
            </w:pPr>
            <w:r>
              <w:rPr>
                <w:sz w:val="4"/>
                <w:szCs w:val="4"/>
              </w:rPr>
            </w:r>
          </w:p>
        </w:tc>
        <w:tc>
          <w:tcPr>
            <w:tcW w:w="1631" w:type="dxa"/>
            <w:gridSpan w:val="4"/>
            <w:tcBorders/>
            <w:vAlign w:val="center"/>
          </w:tcPr>
          <w:p>
            <w:pPr>
              <w:pStyle w:val="TableContents"/>
              <w:bidi w:val="0"/>
              <w:spacing w:before="0" w:after="283"/>
              <w:jc w:val="left"/>
              <w:rPr>
                <w:sz w:val="4"/>
                <w:szCs w:val="4"/>
              </w:rPr>
            </w:pPr>
            <w:r>
              <w:rPr>
                <w:sz w:val="4"/>
                <w:szCs w:val="4"/>
              </w:rPr>
            </w:r>
          </w:p>
        </w:tc>
        <w:tc>
          <w:tcPr>
            <w:tcW w:w="1617" w:type="dxa"/>
            <w:gridSpan w:val="4"/>
            <w:tcBorders/>
            <w:vAlign w:val="center"/>
          </w:tcPr>
          <w:p>
            <w:pPr>
              <w:pStyle w:val="TableContents"/>
              <w:bidi w:val="0"/>
              <w:spacing w:before="0" w:after="283"/>
              <w:jc w:val="left"/>
              <w:rPr>
                <w:sz w:val="4"/>
                <w:szCs w:val="4"/>
              </w:rPr>
            </w:pPr>
            <w:r>
              <w:rPr>
                <w:sz w:val="4"/>
                <w:szCs w:val="4"/>
              </w:rPr>
            </w:r>
          </w:p>
        </w:tc>
        <w:tc>
          <w:tcPr>
            <w:tcW w:w="1132" w:type="dxa"/>
            <w:gridSpan w:val="4"/>
            <w:tcBorders/>
            <w:vAlign w:val="center"/>
          </w:tcPr>
          <w:p>
            <w:pPr>
              <w:pStyle w:val="TableContents"/>
              <w:bidi w:val="0"/>
              <w:spacing w:before="0" w:after="283"/>
              <w:jc w:val="left"/>
              <w:rPr>
                <w:sz w:val="4"/>
                <w:szCs w:val="4"/>
              </w:rPr>
            </w:pPr>
            <w:r>
              <w:rPr>
                <w:sz w:val="4"/>
                <w:szCs w:val="4"/>
              </w:rPr>
            </w:r>
          </w:p>
        </w:tc>
        <w:tc>
          <w:tcPr>
            <w:tcW w:w="1413" w:type="dxa"/>
            <w:gridSpan w:val="4"/>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Series A convertible preferred stock</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137,589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(137,589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(a)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Stockholders’ equity (deficit)</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Boundless Bio common stock, $0.0001 par value</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(k)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Serapha common stock, $0.00001 par value</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(a)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(b)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362,923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4,741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137,588</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(a)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319,431</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91,998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(b)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(4,175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(c)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79,365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(d)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(46,000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(j)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(307,009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(k)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(k)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(296,917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(170,146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(3,836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(e)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(170,146</w:t>
            </w:r>
          </w:p>
        </w:tc>
        <w:tc>
          <w:tcPr>
            <w:tcW w:w="165"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(4,713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(f)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(757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(g)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shd w:fill="CCEEFF" w:val="clear"/>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(756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(i)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306,979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(k)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stockholders’ equity (deficit)</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65,976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(165,404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248,716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149,288</w:t>
            </w:r>
          </w:p>
        </w:tc>
        <w:tc>
          <w:tcPr>
            <w:tcW w:w="165" w:type="dxa"/>
            <w:tcBorders/>
            <w:shd w:fill="CCEEFF" w:val="clear"/>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18"/>
              </w:rPr>
            </w:pPr>
            <w:r>
              <w:rPr>
                <w:rFonts w:ascii="Times New Roman" w:hAnsi="Times New Roman"/>
                <w:sz w:val="18"/>
              </w:rPr>
              <w:t>Total liabilities, convertible preferred stock and stockholders’ equity (deficit)</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73,744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138,322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26,733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238,799</w:t>
            </w:r>
          </w:p>
        </w:tc>
        <w:tc>
          <w:tcPr>
            <w:tcW w:w="165" w:type="dxa"/>
            <w:tcBorders/>
            <w:vAlign w:val="bottom"/>
          </w:tcPr>
          <w:p>
            <w:pPr>
              <w:pStyle w:val="TableContents"/>
              <w:bidi w:val="0"/>
              <w:spacing w:before="0" w:after="283"/>
              <w:jc w:val="left"/>
              <w:rPr/>
            </w:pPr>
            <w:r>
              <w:rPr/>
              <w:t> </w:t>
            </w:r>
          </w:p>
        </w:tc>
      </w:tr>
      <w:tr>
        <w:trPr/>
        <w:tc>
          <w:tcPr>
            <w:tcW w:w="29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1"/>
        <w:gridCol w:w="236"/>
        <w:gridCol w:w="140"/>
        <w:gridCol w:w="1142"/>
        <w:gridCol w:w="155"/>
        <w:gridCol w:w="180"/>
        <w:gridCol w:w="140"/>
        <w:gridCol w:w="902"/>
        <w:gridCol w:w="155"/>
        <w:gridCol w:w="180"/>
        <w:gridCol w:w="164"/>
        <w:gridCol w:w="1087"/>
        <w:gridCol w:w="60"/>
        <w:gridCol w:w="235"/>
        <w:gridCol w:w="172"/>
        <w:gridCol w:w="403"/>
        <w:gridCol w:w="354"/>
        <w:gridCol w:w="180"/>
        <w:gridCol w:w="140"/>
        <w:gridCol w:w="1284"/>
        <w:gridCol w:w="165"/>
      </w:tblGrid>
      <w:tr>
        <w:trPr/>
        <w:tc>
          <w:tcPr>
            <w:tcW w:w="273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659" w:type="dxa"/>
            <w:gridSpan w:val="6"/>
            <w:tcBorders/>
            <w:vAlign w:val="bottom"/>
          </w:tcPr>
          <w:p>
            <w:pPr>
              <w:pStyle w:val="TableContents"/>
              <w:bidi w:val="0"/>
              <w:spacing w:before="0" w:after="283"/>
              <w:jc w:val="center"/>
              <w:rPr/>
            </w:pPr>
            <w:r>
              <w:rPr/>
              <w:t>Historical</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5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82"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6(A)</w:t>
            </w:r>
          </w:p>
          <w:p>
            <w:pPr>
              <w:pStyle w:val="TableContents"/>
              <w:bidi w:val="0"/>
              <w:spacing w:before="0" w:after="20"/>
              <w:jc w:val="center"/>
              <w:rPr>
                <w:rFonts w:ascii="Times New Roman" w:hAnsi="Times New Roman"/>
                <w:sz w:val="16"/>
              </w:rPr>
            </w:pPr>
            <w:r>
              <w:rPr>
                <w:rFonts w:ascii="Times New Roman" w:hAnsi="Times New Roman"/>
                <w:sz w:val="16"/>
              </w:rPr>
              <w:t>Boundless Bio,</w:t>
              <w:br/>
              <w:t>Inc.</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42"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6(B)</w:t>
            </w:r>
          </w:p>
          <w:p>
            <w:pPr>
              <w:pStyle w:val="TableContents"/>
              <w:bidi w:val="0"/>
              <w:spacing w:before="0" w:after="20"/>
              <w:jc w:val="center"/>
              <w:rPr>
                <w:rFonts w:ascii="Times New Roman" w:hAnsi="Times New Roman"/>
                <w:sz w:val="16"/>
              </w:rPr>
            </w:pPr>
            <w:r>
              <w:rPr>
                <w:rFonts w:ascii="Times New Roman" w:hAnsi="Times New Roman"/>
                <w:sz w:val="16"/>
              </w:rPr>
              <w:t>Serapha</w:t>
              <w:br/>
              <w:t>Bio, Inc.</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51" w:type="dxa"/>
            <w:gridSpan w:val="2"/>
            <w:tcBorders/>
            <w:vAlign w:val="bottom"/>
          </w:tcPr>
          <w:p>
            <w:pPr>
              <w:pStyle w:val="TableContents"/>
              <w:bidi w:val="0"/>
              <w:spacing w:before="0" w:after="283"/>
              <w:jc w:val="center"/>
              <w:rPr/>
            </w:pPr>
            <w:r>
              <w:rPr/>
              <w:t>Transaction</w:t>
              <w:br/>
              <w:t>Accounting</w:t>
              <w:br/>
              <w:t>Adjustments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pPr>
            <w:r>
              <w:rPr/>
              <w:t>Notes</w:t>
            </w:r>
          </w:p>
        </w:tc>
        <w:tc>
          <w:tcPr>
            <w:tcW w:w="3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center"/>
              <w:rPr/>
            </w:pPr>
            <w:r>
              <w:rPr/>
              <w:t>Pro Forma</w:t>
              <w:br/>
              <w:t>Combined</w:t>
            </w:r>
          </w:p>
        </w:tc>
        <w:tc>
          <w:tcPr>
            <w:tcW w:w="165"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23,707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267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23,974</w:t>
            </w:r>
          </w:p>
        </w:tc>
        <w:tc>
          <w:tcPr>
            <w:tcW w:w="165"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164,617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164,617</w:t>
            </w:r>
          </w:p>
        </w:tc>
        <w:tc>
          <w:tcPr>
            <w:tcW w:w="165" w:type="dxa"/>
            <w:tcBorders/>
            <w:shd w:fill="CCEEFF" w:val="clear"/>
            <w:vAlign w:val="bottom"/>
          </w:tcPr>
          <w:p>
            <w:pPr>
              <w:pStyle w:val="TableContents"/>
              <w:bidi w:val="0"/>
              <w:spacing w:before="0" w:after="283"/>
              <w:jc w:val="left"/>
              <w:rPr/>
            </w:pPr>
            <w:r>
              <w:rPr/>
              <w:t> </w:t>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15,152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5,262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20,414</w:t>
            </w:r>
          </w:p>
        </w:tc>
        <w:tc>
          <w:tcPr>
            <w:tcW w:w="165"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38,859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170,146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209,005</w:t>
            </w:r>
          </w:p>
        </w:tc>
        <w:tc>
          <w:tcPr>
            <w:tcW w:w="165"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(38,859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(170,146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(209,005</w:t>
            </w:r>
          </w:p>
        </w:tc>
        <w:tc>
          <w:tcPr>
            <w:tcW w:w="165"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1,611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1,611</w:t>
            </w:r>
          </w:p>
        </w:tc>
        <w:tc>
          <w:tcPr>
            <w:tcW w:w="165"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1,611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1,611</w:t>
            </w:r>
          </w:p>
        </w:tc>
        <w:tc>
          <w:tcPr>
            <w:tcW w:w="165"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(37,248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(170,146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(207,394</w:t>
            </w:r>
          </w:p>
        </w:tc>
        <w:tc>
          <w:tcPr>
            <w:tcW w:w="165"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22,428,501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6</w:t>
            </w:r>
          </w:p>
        </w:tc>
        <w:tc>
          <w:tcPr>
            <w:tcW w:w="354" w:type="dxa"/>
            <w:tcBorders/>
            <w:shd w:fill="CCEEFF" w:val="clear"/>
            <w:vAlign w:val="bottom"/>
          </w:tcPr>
          <w:p>
            <w:pPr>
              <w:pStyle w:val="TableContents"/>
              <w:bidi w:val="0"/>
              <w:spacing w:before="0" w:after="283"/>
              <w:jc w:val="left"/>
              <w:rPr/>
            </w:pPr>
            <w:r>
              <w:rPr/>
              <w:t>(d)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666,430,932</w:t>
            </w:r>
          </w:p>
        </w:tc>
        <w:tc>
          <w:tcPr>
            <w:tcW w:w="165"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(0.31</w:t>
            </w:r>
          </w:p>
        </w:tc>
        <w:tc>
          <w:tcPr>
            <w:tcW w:w="165"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3"/>
        <w:gridCol w:w="244"/>
        <w:gridCol w:w="140"/>
        <w:gridCol w:w="1111"/>
        <w:gridCol w:w="155"/>
        <w:gridCol w:w="187"/>
        <w:gridCol w:w="449"/>
        <w:gridCol w:w="1248"/>
        <w:gridCol w:w="60"/>
        <w:gridCol w:w="244"/>
        <w:gridCol w:w="217"/>
        <w:gridCol w:w="1004"/>
        <w:gridCol w:w="155"/>
        <w:gridCol w:w="187"/>
        <w:gridCol w:w="172"/>
        <w:gridCol w:w="405"/>
        <w:gridCol w:w="354"/>
        <w:gridCol w:w="187"/>
        <w:gridCol w:w="140"/>
        <w:gridCol w:w="1247"/>
        <w:gridCol w:w="166"/>
      </w:tblGrid>
      <w:tr>
        <w:trPr/>
        <w:tc>
          <w:tcPr>
            <w:tcW w:w="2133"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3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290" w:type="dxa"/>
            <w:gridSpan w:val="6"/>
            <w:tcBorders/>
            <w:vAlign w:val="bottom"/>
          </w:tcPr>
          <w:p>
            <w:pPr>
              <w:pStyle w:val="TableContents"/>
              <w:bidi w:val="0"/>
              <w:spacing w:before="0" w:after="283"/>
              <w:jc w:val="center"/>
              <w:rPr/>
            </w:pPr>
            <w:r>
              <w:rPr/>
              <w:t>Historical</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2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213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5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6(C)</w:t>
            </w:r>
          </w:p>
          <w:p>
            <w:pPr>
              <w:pStyle w:val="TableContents"/>
              <w:bidi w:val="0"/>
              <w:spacing w:before="0" w:after="20"/>
              <w:jc w:val="center"/>
              <w:rPr>
                <w:rFonts w:ascii="Times New Roman" w:hAnsi="Times New Roman"/>
                <w:sz w:val="16"/>
              </w:rPr>
            </w:pPr>
            <w:r>
              <w:rPr>
                <w:rFonts w:ascii="Times New Roman" w:hAnsi="Times New Roman"/>
                <w:sz w:val="16"/>
              </w:rPr>
              <w:t>Boundless Bio,</w:t>
              <w:br/>
              <w:t>Inc.</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bidi w:val="0"/>
              <w:spacing w:before="0" w:after="283"/>
              <w:jc w:val="center"/>
              <w:rPr/>
            </w:pPr>
            <w:r>
              <w:rPr/>
              <w:t>Serapha Bio, Inc.</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21" w:type="dxa"/>
            <w:gridSpan w:val="2"/>
            <w:tcBorders/>
            <w:vAlign w:val="bottom"/>
          </w:tcPr>
          <w:p>
            <w:pPr>
              <w:pStyle w:val="TableContents"/>
              <w:bidi w:val="0"/>
              <w:spacing w:before="0" w:after="283"/>
              <w:jc w:val="center"/>
              <w:rPr/>
            </w:pPr>
            <w:r>
              <w:rPr/>
              <w:t>Transaction</w:t>
              <w:br/>
              <w:t>Accounting</w:t>
              <w:br/>
              <w:t>Adjustments</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pPr>
            <w:r>
              <w:rPr/>
              <w:t>Notes</w:t>
            </w:r>
          </w:p>
        </w:tc>
        <w:tc>
          <w:tcPr>
            <w:tcW w:w="35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pPr>
            <w:r>
              <w:rPr/>
              <w:t>Pro Forma</w:t>
              <w:br/>
              <w:t>Combined</w:t>
            </w:r>
          </w:p>
        </w:tc>
        <w:tc>
          <w:tcPr>
            <w:tcW w:w="166" w:type="dxa"/>
            <w:tcBorders/>
            <w:vAlign w:val="bottom"/>
          </w:tcPr>
          <w:p>
            <w:pPr>
              <w:pStyle w:val="TableContents"/>
              <w:bidi w:val="0"/>
              <w:spacing w:before="0" w:after="283"/>
              <w:jc w:val="left"/>
              <w:rPr/>
            </w:pPr>
            <w:r>
              <w:rPr/>
              <w:t> </w:t>
            </w:r>
          </w:p>
        </w:tc>
      </w:tr>
      <w:tr>
        <w:trPr/>
        <w:tc>
          <w:tcPr>
            <w:tcW w:w="2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13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44,845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w:t>
            </w:r>
          </w:p>
        </w:tc>
        <w:tc>
          <w:tcPr>
            <w:tcW w:w="12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1,198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(a)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46,058</w:t>
            </w:r>
          </w:p>
        </w:tc>
        <w:tc>
          <w:tcPr>
            <w:tcW w:w="166" w:type="dxa"/>
            <w:tcBorders/>
            <w:vAlign w:val="bottom"/>
          </w:tcPr>
          <w:p>
            <w:pPr>
              <w:pStyle w:val="TableContents"/>
              <w:bidi w:val="0"/>
              <w:spacing w:before="0" w:after="283"/>
              <w:jc w:val="left"/>
              <w:rPr/>
            </w:pPr>
            <w:r>
              <w:rPr/>
              <w:t> </w:t>
            </w:r>
          </w:p>
        </w:tc>
      </w:tr>
      <w:tr>
        <w:trPr/>
        <w:tc>
          <w:tcPr>
            <w:tcW w:w="2133" w:type="dxa"/>
            <w:tcBorders/>
            <w:shd w:fill="CCEEFF" w:val="clear"/>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right"/>
              <w:rPr/>
            </w:pPr>
            <w:r>
              <w:rPr/>
              <w:t>6</w:t>
            </w:r>
          </w:p>
        </w:tc>
        <w:tc>
          <w:tcPr>
            <w:tcW w:w="354" w:type="dxa"/>
            <w:tcBorders/>
            <w:shd w:fill="CCEEFF" w:val="clear"/>
            <w:vAlign w:val="bottom"/>
          </w:tcPr>
          <w:p>
            <w:pPr>
              <w:pStyle w:val="TableContents"/>
              <w:bidi w:val="0"/>
              <w:spacing w:before="0" w:after="283"/>
              <w:jc w:val="left"/>
              <w:rPr/>
            </w:pPr>
            <w:r>
              <w:rPr/>
              <w:t>(b)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13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18,707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3,515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(a)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23,720</w:t>
            </w:r>
          </w:p>
        </w:tc>
        <w:tc>
          <w:tcPr>
            <w:tcW w:w="166" w:type="dxa"/>
            <w:tcBorders/>
            <w:vAlign w:val="bottom"/>
          </w:tcPr>
          <w:p>
            <w:pPr>
              <w:pStyle w:val="TableContents"/>
              <w:bidi w:val="0"/>
              <w:spacing w:before="0" w:after="283"/>
              <w:jc w:val="left"/>
              <w:rPr/>
            </w:pPr>
            <w:r>
              <w:rPr/>
              <w:t> </w:t>
            </w:r>
          </w:p>
        </w:tc>
      </w:tr>
      <w:tr>
        <w:trPr/>
        <w:tc>
          <w:tcPr>
            <w:tcW w:w="2133" w:type="dxa"/>
            <w:tcBorders/>
            <w:shd w:fill="CCEEFF" w:val="clear"/>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742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right"/>
              <w:rPr/>
            </w:pPr>
            <w:r>
              <w:rPr/>
              <w:t>6</w:t>
            </w:r>
          </w:p>
        </w:tc>
        <w:tc>
          <w:tcPr>
            <w:tcW w:w="354" w:type="dxa"/>
            <w:tcBorders/>
            <w:shd w:fill="CCEEFF" w:val="clear"/>
            <w:vAlign w:val="bottom"/>
          </w:tcPr>
          <w:p>
            <w:pPr>
              <w:pStyle w:val="TableContents"/>
              <w:bidi w:val="0"/>
              <w:spacing w:before="0" w:after="283"/>
              <w:jc w:val="left"/>
              <w:rPr/>
            </w:pPr>
            <w:r>
              <w:rPr/>
              <w:t>(b)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133" w:type="dxa"/>
            <w:tcBorders/>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756</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(c)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133"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63,552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6,226</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69,778</w:t>
            </w:r>
          </w:p>
        </w:tc>
        <w:tc>
          <w:tcPr>
            <w:tcW w:w="166" w:type="dxa"/>
            <w:tcBorders/>
            <w:shd w:fill="CCEEFF" w:val="clear"/>
            <w:vAlign w:val="bottom"/>
          </w:tcPr>
          <w:p>
            <w:pPr>
              <w:pStyle w:val="TableContents"/>
              <w:bidi w:val="0"/>
              <w:spacing w:before="0" w:after="283"/>
              <w:jc w:val="left"/>
              <w:rPr/>
            </w:pPr>
            <w:r>
              <w:rPr/>
              <w:t> </w:t>
            </w:r>
          </w:p>
        </w:tc>
      </w:tr>
      <w:tr>
        <w:trPr/>
        <w:tc>
          <w:tcPr>
            <w:tcW w:w="2133"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13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(63,552</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(6,226</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(69,778</w:t>
            </w:r>
          </w:p>
        </w:tc>
        <w:tc>
          <w:tcPr>
            <w:tcW w:w="166" w:type="dxa"/>
            <w:tcBorders/>
            <w:vAlign w:val="bottom"/>
          </w:tcPr>
          <w:p>
            <w:pPr>
              <w:pStyle w:val="TableContents"/>
              <w:bidi w:val="0"/>
              <w:spacing w:before="0" w:after="283"/>
              <w:jc w:val="left"/>
              <w:rPr/>
            </w:pPr>
            <w:r>
              <w:rPr/>
              <w:t>) </w:t>
            </w:r>
          </w:p>
        </w:tc>
      </w:tr>
      <w:tr>
        <w:trPr/>
        <w:tc>
          <w:tcPr>
            <w:tcW w:w="2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133"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5,355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5,355</w:t>
            </w:r>
          </w:p>
        </w:tc>
        <w:tc>
          <w:tcPr>
            <w:tcW w:w="166" w:type="dxa"/>
            <w:tcBorders/>
            <w:vAlign w:val="bottom"/>
          </w:tcPr>
          <w:p>
            <w:pPr>
              <w:pStyle w:val="TableContents"/>
              <w:bidi w:val="0"/>
              <w:spacing w:before="0" w:after="283"/>
              <w:jc w:val="left"/>
              <w:rPr/>
            </w:pPr>
            <w:r>
              <w:rPr/>
              <w:t> </w:t>
            </w:r>
          </w:p>
        </w:tc>
      </w:tr>
      <w:tr>
        <w:trPr/>
        <w:tc>
          <w:tcPr>
            <w:tcW w:w="2133"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5,355</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5,355</w:t>
            </w:r>
          </w:p>
        </w:tc>
        <w:tc>
          <w:tcPr>
            <w:tcW w:w="166" w:type="dxa"/>
            <w:tcBorders/>
            <w:shd w:fill="CCEEFF" w:val="clear"/>
            <w:vAlign w:val="bottom"/>
          </w:tcPr>
          <w:p>
            <w:pPr>
              <w:pStyle w:val="TableContents"/>
              <w:bidi w:val="0"/>
              <w:spacing w:before="0" w:after="283"/>
              <w:jc w:val="left"/>
              <w:rPr/>
            </w:pPr>
            <w:r>
              <w:rPr/>
              <w:t> </w:t>
            </w:r>
          </w:p>
        </w:tc>
      </w:tr>
      <w:tr>
        <w:trPr/>
        <w:tc>
          <w:tcPr>
            <w:tcW w:w="2133"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133" w:type="dxa"/>
            <w:tcBorders/>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(58,197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w:t>
            </w:r>
          </w:p>
        </w:tc>
        <w:tc>
          <w:tcPr>
            <w:tcW w:w="12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(6,226</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(64,423</w:t>
            </w:r>
          </w:p>
        </w:tc>
        <w:tc>
          <w:tcPr>
            <w:tcW w:w="166" w:type="dxa"/>
            <w:tcBorders/>
            <w:vAlign w:val="bottom"/>
          </w:tcPr>
          <w:p>
            <w:pPr>
              <w:pStyle w:val="TableContents"/>
              <w:bidi w:val="0"/>
              <w:spacing w:before="0" w:after="283"/>
              <w:jc w:val="left"/>
              <w:rPr/>
            </w:pPr>
            <w:r>
              <w:rPr/>
              <w:t>) </w:t>
            </w:r>
          </w:p>
        </w:tc>
      </w:tr>
      <w:tr>
        <w:trPr/>
        <w:tc>
          <w:tcPr>
            <w:tcW w:w="2133"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22,360,371</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right"/>
              <w:rPr/>
            </w:pPr>
            <w:r>
              <w:rPr/>
              <w:t>6</w:t>
            </w:r>
          </w:p>
        </w:tc>
        <w:tc>
          <w:tcPr>
            <w:tcW w:w="354" w:type="dxa"/>
            <w:tcBorders/>
            <w:shd w:fill="CCEEFF" w:val="clear"/>
            <w:vAlign w:val="bottom"/>
          </w:tcPr>
          <w:p>
            <w:pPr>
              <w:pStyle w:val="TableContents"/>
              <w:bidi w:val="0"/>
              <w:spacing w:before="0" w:after="283"/>
              <w:jc w:val="left"/>
              <w:rPr/>
            </w:pPr>
            <w:r>
              <w:rPr/>
              <w:t>(d)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666,362,802</w:t>
            </w:r>
          </w:p>
        </w:tc>
        <w:tc>
          <w:tcPr>
            <w:tcW w:w="166" w:type="dxa"/>
            <w:tcBorders/>
            <w:shd w:fill="CCEEFF" w:val="clear"/>
            <w:vAlign w:val="bottom"/>
          </w:tcPr>
          <w:p>
            <w:pPr>
              <w:pStyle w:val="TableContents"/>
              <w:bidi w:val="0"/>
              <w:spacing w:before="0" w:after="283"/>
              <w:jc w:val="left"/>
              <w:rPr/>
            </w:pPr>
            <w:r>
              <w:rPr/>
              <w:t> </w:t>
            </w:r>
          </w:p>
        </w:tc>
      </w:tr>
      <w:tr>
        <w:trPr/>
        <w:tc>
          <w:tcPr>
            <w:tcW w:w="2133"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13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(2.60</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(0.10</w:t>
            </w:r>
          </w:p>
        </w:tc>
        <w:tc>
          <w:tcPr>
            <w:tcW w:w="166" w:type="dxa"/>
            <w:tcBorders/>
            <w:vAlign w:val="bottom"/>
          </w:tcPr>
          <w:p>
            <w:pPr>
              <w:pStyle w:val="TableContents"/>
              <w:bidi w:val="0"/>
              <w:spacing w:before="0" w:after="283"/>
              <w:jc w:val="left"/>
              <w:rPr/>
            </w:pPr>
            <w:r>
              <w:rPr/>
              <w:t>) </w:t>
            </w:r>
          </w:p>
        </w:tc>
      </w:tr>
      <w:tr>
        <w:trPr/>
        <w:tc>
          <w:tcPr>
            <w:tcW w:w="2133"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9" w:name="tx108148_33"/>
      <w:bookmarkEnd w:id="69"/>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Serapha entered into the Merger Agreement with Boundless Bio and Merger Sub pursuant to which, and subject to the satisfaction or waiver of the conditions set forth in the Merger Agreement, Merger Sub will merge with and into Serapha, with Serapha surviving as a wholly owned subsidiary of Boundless Bio and the surviving corporation of the Merger. In connection with the Merger, Boundless Bio will change its name to “Serapha Bio, Inc.” Subject to the terms and conditions of the Merger Agreement, at the closing of the Merger (the “Closing”): </w:t>
      </w:r>
    </w:p>
    <w:p>
      <w:pPr>
        <w:pStyle w:val="TextBody"/>
        <w:bidi w:val="0"/>
        <w:spacing w:before="240" w:after="0"/>
        <w:jc w:val="left"/>
        <w:rPr>
          <w:rFonts w:ascii="Times New Roman" w:hAnsi="Times New Roman"/>
          <w:sz w:val="20"/>
        </w:rPr>
      </w:pPr>
      <w:r>
        <w:rPr>
          <w:rFonts w:ascii="Times New Roman" w:hAnsi="Times New Roman"/>
          <w:sz w:val="20"/>
        </w:rPr>
        <w:t xml:space="preserve">a) Each then-outstanding share of Serapha Common Stock (including any shares of Serapha Common Stock issued in the Serapha Pre-Closing Financing) will be converted into the right to receive a number of shares of Boundless Bio Common Stock equal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b) Each then-outstanding share of Serapha Preferred Stock will be converted into the right to receive a number of shares of Boundless Bio Common Stock equal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c) Each then-outstanding Serapha Option will be converted into and become an option to purchase shares of Boundless Bio Common Stock on the existing terms and conditions (including with respect to vesting and accelerated vesting),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then-outstanding Serapha RSU will be converted into and become an Assumed RSU on the existing terms and conditions (including with respect to vesting and accelerated vesting), subject to adjustment as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e) Each then-outstanding Serapha Warrant (including each then-outstanding Serapha Pre-Funded Warrant) will be converted into an Assumed Warrant,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the Nasdaq Reverse Split, will be unaffected by the Merger. Concurrently with the signing of the Merger Agreement, all Boundless Bio options became fully vested and exercisable. Each Boundless Bio Option outstanding immediately prior to the Effective Time with an exercise price per share greater than $8.00 will be canceled for no consideration. Each other Boundless Bio Option will remain outstanding and exercisable in accordance with its terms (taking into account any equitable adjustment made to reflect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Boundless Bio securityholders as of immediately prior to the Merger are expected to own approximately 4.2% of the outstanding capital stock of the Combined Company on a fully-diluted basis and former Serapha securityholders, including those purchasing shares of Serapha Common Stock and Serapha Pre-Funded Warrants in the Serapha Pre-Closing Financing, are estimated to own approximately 95.8% of the outstanding shares of capital stock of the Combined Company on a fully-diluted basis. Serapha securityholders are expected to receive approximately 645,196,504 shares on a fully diluted basis. This estimate is subject to certain inputs, which include, but are not limited to, (a) the Boundless Bio Net Cash as of the Closing being approximately $0, after giving effect to the Boundless Bio Pre-Closing Dividend, (b)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completion of the Serapha Pre-Closing Financing for an aggregate purchase price of approximately $92.0 million, (c) a valuation for Boundless Bio equal to the Boundless Bio Net Cash as of the business day immediately prior to the Closing Date, plus $12.5 million, and (d) a valuation for Serapha equal to $211.7 million plus $92.0 million of assumed proceeds in the Serapha Pre-Closing Financing, in each case as further described in the Merger Agreement. The following table summarizes the fully diluted pro forma number of shares of common stock of the Combined Company outstanding following the consummation of the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02"/>
        <w:gridCol w:w="127"/>
        <w:gridCol w:w="60"/>
        <w:gridCol w:w="1226"/>
        <w:gridCol w:w="60"/>
        <w:gridCol w:w="127"/>
        <w:gridCol w:w="103"/>
        <w:gridCol w:w="970"/>
        <w:gridCol w:w="280"/>
      </w:tblGrid>
      <w:tr>
        <w:trPr/>
        <w:tc>
          <w:tcPr>
            <w:tcW w:w="480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80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Equity Capitalization Summary Upon Consummation of the Merger</w:t>
            </w:r>
          </w:p>
        </w:tc>
        <w:tc>
          <w:tcPr>
            <w:tcW w:w="127"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Shares Owned</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pPr>
            <w:r>
              <w:rPr/>
              <w:t>%</w:t>
              <w:br/>
              <w:t>Ownership</w:t>
            </w:r>
          </w:p>
        </w:tc>
        <w:tc>
          <w:tcPr>
            <w:tcW w:w="280" w:type="dxa"/>
            <w:tcBorders/>
            <w:vAlign w:val="bottom"/>
          </w:tcPr>
          <w:p>
            <w:pPr>
              <w:pStyle w:val="TableContents"/>
              <w:bidi w:val="0"/>
              <w:spacing w:before="0" w:after="283"/>
              <w:jc w:val="left"/>
              <w:rPr/>
            </w:pPr>
            <w:r>
              <w:rPr/>
              <w:t> </w:t>
            </w:r>
          </w:p>
        </w:tc>
      </w:tr>
      <w:tr>
        <w:trPr/>
        <w:tc>
          <w:tcPr>
            <w:tcW w:w="4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Serapha securityholders, including the Serapha Pre-Closing Financing (1)</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645,196,504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95.8</w:t>
            </w:r>
          </w:p>
        </w:tc>
        <w:tc>
          <w:tcPr>
            <w:tcW w:w="280" w:type="dxa"/>
            <w:tcBorders/>
            <w:shd w:fill="CCEEFF" w:val="clear"/>
            <w:vAlign w:val="bottom"/>
          </w:tcPr>
          <w:p>
            <w:pPr>
              <w:pStyle w:val="TableContents"/>
              <w:bidi w:val="0"/>
              <w:spacing w:before="0" w:after="283"/>
              <w:jc w:val="left"/>
              <w:rPr/>
            </w:pPr>
            <w:r>
              <w:rPr/>
              <w:t>% </w:t>
            </w:r>
          </w:p>
        </w:tc>
      </w:tr>
      <w:tr>
        <w:trPr/>
        <w:tc>
          <w:tcPr>
            <w:tcW w:w="4802" w:type="dxa"/>
            <w:tcBorders/>
          </w:tcPr>
          <w:p>
            <w:pPr>
              <w:pStyle w:val="TableContents"/>
              <w:bidi w:val="0"/>
              <w:spacing w:before="0" w:after="0"/>
              <w:jc w:val="left"/>
              <w:rPr>
                <w:rFonts w:ascii="Times New Roman" w:hAnsi="Times New Roman"/>
                <w:sz w:val="20"/>
              </w:rPr>
            </w:pPr>
            <w:r>
              <w:rPr>
                <w:rFonts w:ascii="Times New Roman" w:hAnsi="Times New Roman"/>
                <w:sz w:val="20"/>
              </w:rPr>
              <w:t>Boundless Bio securityholders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28,244,321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4.2</w:t>
            </w:r>
          </w:p>
        </w:tc>
        <w:tc>
          <w:tcPr>
            <w:tcW w:w="280" w:type="dxa"/>
            <w:tcBorders/>
            <w:vAlign w:val="bottom"/>
          </w:tcPr>
          <w:p>
            <w:pPr>
              <w:pStyle w:val="TableContents"/>
              <w:bidi w:val="0"/>
              <w:spacing w:before="0" w:after="283"/>
              <w:jc w:val="left"/>
              <w:rPr/>
            </w:pPr>
            <w:r>
              <w:rPr/>
              <w:t>% </w:t>
            </w:r>
          </w:p>
        </w:tc>
      </w:tr>
      <w:tr>
        <w:trPr/>
        <w:tc>
          <w:tcPr>
            <w:tcW w:w="4802"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 stock of the Combined Company</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673,440,825</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100.0</w:t>
            </w:r>
          </w:p>
        </w:tc>
        <w:tc>
          <w:tcPr>
            <w:tcW w:w="280" w:type="dxa"/>
            <w:tcBorders/>
            <w:shd w:fill="CCEEFF" w:val="clear"/>
            <w:vAlign w:val="bottom"/>
          </w:tcPr>
          <w:p>
            <w:pPr>
              <w:pStyle w:val="TableContents"/>
              <w:bidi w:val="0"/>
              <w:spacing w:before="0" w:after="283"/>
              <w:jc w:val="left"/>
              <w:rPr/>
            </w:pPr>
            <w:r>
              <w:rPr/>
              <w:t>% </w:t>
            </w:r>
          </w:p>
        </w:tc>
      </w:tr>
      <w:tr>
        <w:trPr/>
        <w:tc>
          <w:tcPr>
            <w:tcW w:w="4802"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266,444,856 Assumed Warrants expected to be issued in exchange for shares of Serapha Common Stock, shares of Serapha Preferred Stock and Serapha Pre-Funded Warrants, including those issued in the Serapha Pre-Closing Financing, 148,934,995 Assumed Warrants and 1,194,073 shares of restricted common stock after reflecting the estimated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Boundless Bio stockholders of the issuance of Boundless Bio Common Stock, including shares of Boundless Bio Common Stock issuable upon exercise of Assumed Warrants, (2) approval by the requisite Serapha stockholders of the adoption and approval of the Merger Agreement and the transaction contemplated thereby, (3) Nasdaq’s approval of the listing of the shares of Boundless Bio Common Stock to be issued in connection with the Merger and (4) the effectiveness of a registration statement of which this proxy statement/prospectus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for Boundless Bio executives include entitlement to bonus, severance and change in control payments, and in addition to any retention payments, will be treated as pre-Merger compensation expense of Boundless Bio and will be reflected as a decrease in cash of Boundless Bio. During 2026, Boundless Bio’s office lease was terminated and a short-term lease was put into place. As of the Closing, Boundless Bio also expects to have substantially concluded its research and development activities. Boundless Bio has terminated its clinical trial activity and is in the process of concluding its research and development programs and any such in-process research and development assets are expected to be de minimis at the closing of the Merger. Additionally, Boundless Bio’s current Directors &amp; Officers (“D&amp;O”) policy will be fully utilized at the Closing. </w:t>
      </w:r>
    </w:p>
    <w:p>
      <w:pPr>
        <w:pStyle w:val="TextBody"/>
        <w:bidi w:val="0"/>
        <w:spacing w:before="360" w:after="0"/>
        <w:jc w:val="left"/>
        <w:rPr>
          <w:rFonts w:ascii="Times New Roman" w:hAnsi="Times New Roman"/>
          <w:i/>
          <w:sz w:val="20"/>
        </w:rPr>
      </w:pPr>
      <w:r>
        <w:rPr>
          <w:rFonts w:ascii="Times New Roman" w:hAnsi="Times New Roman"/>
          <w:i/>
          <w:sz w:val="20"/>
        </w:rPr>
        <w:t xml:space="preserve">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Serapha investors entered into the Securities Purchase Agreement with Serapha to purchase, prior to the consummation of the Merger, approximately 10,086,651 shares of Serapha Common Stock and 10,359,153 Serapha Pre-Funded Warrants before giving effect to the Exchange Ratio, at an estimated purchase price of $4.4997 per share and $4.49969 per pre-funded warrant, for an aggregate purchase price of approximately $92.0 million. Shares of Serapha Common Stock and Serapha Pre-Funded Warrants issued pursuant to the Securities Purchase Agreement will be converted into shares of Boundless Bio Common Stock and Assumed Warrants at Closing in accordance with the Exchange Ratio and per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SEC Regulation S-X, as amended. The adjustments presented in the unaudited pro forma condensed combined financial information have been identified and presented to provide relevant information necessary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understanding of the Combined Company upon consummation of the Merger. The unaudited pro forma condensed combined statement of operations data for the six months ended June 30, 2026 and the unaudited pro forma condensed combined statement of operations data for the year ended December 31, 2025 give effect to the Merger as if it had been consummated on January 1, 2025. The unaudited pro forma condensed combined balance sheet as of June 30, 2026 gives effect to the Merger and combines the historical balance sheets of Boundless Bio and Serapha as if the Merger had been consummated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the Boundless Bio Net Cash to be assumed at the Closing Date, and (iii) other changes in Boundless Bio’s assets and liabilities, which are expected to be completed after the Closing,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future periods or the result that actually would have been realized had Boundless Bio and Serapha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In particular, since Boundless Bio has discontinued its clinical program for BBI-940 and had previously discontinued development of its other clinical programs, BBI-355 and BBI-825, the future results will be different than historical results. Additionally, since Serapha obtained the SERP-01 license in mid-June 2026, future results will be materially different than the 2026 historical results as Serapha expects to initiate a U.S. Phase 2/3 clinical trial of SERP-01 in late 2026 or early 2027.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will be accounted for under U.S. GAAP as an in-substance reverse recapitalization of Boundless Bio by Serapha, as the transaction is, in essence, the issuance of equity for Boundless Bio’s net assets, which will primarily consist of prepaids and other current assets. Under this method of accounting, Serapha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is not a variable interest entity as it has sufficient equity at risk in order to fund its next development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stockholders will own a substantial majority of the voting rights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Serapha’s largest stockholder will retain the largest interest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Serapha will designate the initial members of the board of directors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members of Serapha’s executive management team will become the management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“Serapha Bio,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Boundless Bio has terminated its clinical trial activity and is in the process of concluding its research and development programs. As such, Boundless Bio concluded that any in-process research and development assets at the closing of the Merger would be de minimis. Accordingly, upon the closing of the Merger, Boundless Bio is expected to have no or nominal operations for accounting purposes and the Merger is expected to be treated as the equivalent of Serapha issuing stock to acquire the net assets of Boundless Bio. As a result of Serapha being the accounting acquirer, Serapha’s assets and liabilities will be recorded at their pre-combination carrying amounts. Boundless Bio’s assets and liabilities will be measured and recognized at their fair values as of the Effective Time, which are expected to approximate the carrying value of the acquired prepaid and other current assets, with no goodwill or other intangible assets recorded. Any difference between the consideration and the fair value of the net assets of Boundless Bio acquired will be reflected as an adjustment to additional paid-in capital. For periods prior to Closing, the historical financial statements of Serapha shall become the historical financial statements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Boundless Bio Common Stock and Warrants Issued to Serapha Stockholders upon the Closing.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all outstanding shares of Serapha Common Stock, on a fully-diluted basis, will be exchanged for shares of Boundless Bio Common Stock, Boundless Bio Pre-Funded Warrants and/or Assumed Warrants, as applicable, based on the preliminary estimated Exchange Ratio of 8.6737, determined in accordance with the terms of the Merger Agreement,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738"/>
        <w:gridCol w:w="295"/>
        <w:gridCol w:w="60"/>
        <w:gridCol w:w="1232"/>
        <w:gridCol w:w="63"/>
      </w:tblGrid>
      <w:tr>
        <w:trPr/>
        <w:tc>
          <w:tcPr>
            <w:tcW w:w="773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Serapha Common Stock outstanding as of June 30, 2026(1)</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6,100,000</w:t>
            </w:r>
          </w:p>
        </w:tc>
        <w:tc>
          <w:tcPr>
            <w:tcW w:w="63" w:type="dxa"/>
            <w:tcBorders/>
            <w:shd w:fill="CCEEFF" w:val="clear"/>
            <w:vAlign w:val="bottom"/>
          </w:tcPr>
          <w:p>
            <w:pPr>
              <w:pStyle w:val="TableContents"/>
              <w:bidi w:val="0"/>
              <w:spacing w:before="0" w:after="283"/>
              <w:jc w:val="left"/>
              <w:rPr/>
            </w:pPr>
            <w:r>
              <w:rPr/>
              <w:t> </w:t>
            </w:r>
          </w:p>
        </w:tc>
      </w:tr>
      <w:tr>
        <w:trPr/>
        <w:tc>
          <w:tcPr>
            <w:tcW w:w="7738" w:type="dxa"/>
            <w:tcBorders/>
          </w:tcPr>
          <w:p>
            <w:pPr>
              <w:pStyle w:val="TableContents"/>
              <w:bidi w:val="0"/>
              <w:spacing w:before="0" w:after="0"/>
              <w:jc w:val="left"/>
              <w:rPr>
                <w:rFonts w:ascii="Times New Roman" w:hAnsi="Times New Roman"/>
                <w:sz w:val="20"/>
              </w:rPr>
            </w:pPr>
            <w:r>
              <w:rPr>
                <w:rFonts w:ascii="Times New Roman" w:hAnsi="Times New Roman"/>
                <w:sz w:val="20"/>
              </w:rPr>
              <w:t>Shares of Serapha Common Stock issuable upon conversion of Serapha Series A Preferred Stock</w:t>
            </w:r>
          </w:p>
        </w:tc>
        <w:tc>
          <w:tcPr>
            <w:tcW w:w="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30,668,708</w:t>
            </w:r>
          </w:p>
        </w:tc>
        <w:tc>
          <w:tcPr>
            <w:tcW w:w="63" w:type="dxa"/>
            <w:tcBorders/>
            <w:vAlign w:val="bottom"/>
          </w:tcPr>
          <w:p>
            <w:pPr>
              <w:pStyle w:val="TableContents"/>
              <w:bidi w:val="0"/>
              <w:spacing w:before="0" w:after="283"/>
              <w:jc w:val="left"/>
              <w:rPr/>
            </w:pPr>
            <w:r>
              <w:rPr/>
              <w:t> </w:t>
            </w:r>
          </w:p>
        </w:tc>
      </w:tr>
      <w:tr>
        <w:trPr/>
        <w:tc>
          <w:tcPr>
            <w:tcW w:w="7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Serapha Common Stock issuable upon exercise of Serapha Warrants(2)</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17,170,872</w:t>
            </w:r>
          </w:p>
        </w:tc>
        <w:tc>
          <w:tcPr>
            <w:tcW w:w="63" w:type="dxa"/>
            <w:tcBorders/>
            <w:shd w:fill="CCEEFF" w:val="clear"/>
            <w:vAlign w:val="bottom"/>
          </w:tcPr>
          <w:p>
            <w:pPr>
              <w:pStyle w:val="TableContents"/>
              <w:bidi w:val="0"/>
              <w:spacing w:before="0" w:after="283"/>
              <w:jc w:val="left"/>
              <w:rPr/>
            </w:pPr>
            <w:r>
              <w:rPr/>
              <w:t> </w:t>
            </w:r>
          </w:p>
        </w:tc>
      </w:tr>
      <w:tr>
        <w:trPr/>
        <w:tc>
          <w:tcPr>
            <w:tcW w:w="77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Serapha Common Stock to be issued in connection with the Serapha Pre-Closing Financing</w:t>
            </w:r>
          </w:p>
        </w:tc>
        <w:tc>
          <w:tcPr>
            <w:tcW w:w="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10,086,651</w:t>
            </w:r>
          </w:p>
        </w:tc>
        <w:tc>
          <w:tcPr>
            <w:tcW w:w="63" w:type="dxa"/>
            <w:tcBorders/>
            <w:vAlign w:val="bottom"/>
          </w:tcPr>
          <w:p>
            <w:pPr>
              <w:pStyle w:val="TableContents"/>
              <w:bidi w:val="0"/>
              <w:spacing w:before="0" w:after="283"/>
              <w:jc w:val="left"/>
              <w:rPr/>
            </w:pPr>
            <w:r>
              <w:rPr/>
              <w:t> </w:t>
            </w:r>
          </w:p>
        </w:tc>
      </w:tr>
      <w:tr>
        <w:trPr/>
        <w:tc>
          <w:tcPr>
            <w:tcW w:w="7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Serapha Common Stock to be issued upon exercise of Serapha Pre-Funded Warrants to be issued in connection with the Serapha Pre-Closing Financing</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10,359,153</w:t>
            </w:r>
          </w:p>
        </w:tc>
        <w:tc>
          <w:tcPr>
            <w:tcW w:w="63" w:type="dxa"/>
            <w:tcBorders/>
            <w:shd w:fill="CCEEFF" w:val="clear"/>
            <w:vAlign w:val="bottom"/>
          </w:tcPr>
          <w:p>
            <w:pPr>
              <w:pStyle w:val="TableContents"/>
              <w:bidi w:val="0"/>
              <w:spacing w:before="0" w:after="283"/>
              <w:jc w:val="left"/>
              <w:rPr/>
            </w:pPr>
            <w:r>
              <w:rPr/>
              <w:t> </w:t>
            </w:r>
          </w:p>
        </w:tc>
      </w:tr>
      <w:tr>
        <w:trPr/>
        <w:tc>
          <w:tcPr>
            <w:tcW w:w="773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38" w:type="dxa"/>
            <w:tcBorders/>
          </w:tcPr>
          <w:p>
            <w:pPr>
              <w:pStyle w:val="TableContents"/>
              <w:bidi w:val="0"/>
              <w:spacing w:before="0" w:after="0"/>
              <w:jc w:val="left"/>
              <w:rPr>
                <w:rFonts w:ascii="Times New Roman" w:hAnsi="Times New Roman"/>
                <w:sz w:val="20"/>
              </w:rPr>
            </w:pPr>
            <w:r>
              <w:rPr>
                <w:rFonts w:ascii="Times New Roman" w:hAnsi="Times New Roman"/>
                <w:sz w:val="20"/>
              </w:rPr>
              <w:t>Total Serapha fully-diluted shares prior to the Closing</w:t>
            </w:r>
          </w:p>
        </w:tc>
        <w:tc>
          <w:tcPr>
            <w:tcW w:w="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74,385,384</w:t>
            </w:r>
          </w:p>
        </w:tc>
        <w:tc>
          <w:tcPr>
            <w:tcW w:w="63" w:type="dxa"/>
            <w:tcBorders/>
            <w:vAlign w:val="bottom"/>
          </w:tcPr>
          <w:p>
            <w:pPr>
              <w:pStyle w:val="TableContents"/>
              <w:bidi w:val="0"/>
              <w:spacing w:before="0" w:after="283"/>
              <w:jc w:val="left"/>
              <w:rPr/>
            </w:pPr>
            <w:r>
              <w:rPr/>
              <w:t> </w:t>
            </w:r>
          </w:p>
        </w:tc>
      </w:tr>
      <w:tr>
        <w:trPr/>
        <w:tc>
          <w:tcPr>
            <w:tcW w:w="7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8.6737</w:t>
            </w:r>
          </w:p>
        </w:tc>
        <w:tc>
          <w:tcPr>
            <w:tcW w:w="63" w:type="dxa"/>
            <w:tcBorders/>
            <w:shd w:fill="CCEEFF" w:val="clear"/>
            <w:vAlign w:val="bottom"/>
          </w:tcPr>
          <w:p>
            <w:pPr>
              <w:pStyle w:val="TableContents"/>
              <w:bidi w:val="0"/>
              <w:spacing w:before="0" w:after="283"/>
              <w:jc w:val="left"/>
              <w:rPr/>
            </w:pPr>
            <w:r>
              <w:rPr/>
              <w:t> </w:t>
            </w:r>
          </w:p>
        </w:tc>
      </w:tr>
      <w:tr>
        <w:trPr/>
        <w:tc>
          <w:tcPr>
            <w:tcW w:w="773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fully-diluted shares issued to Serapha securityholders and investors participating in the Serapha Pre-Closing Financing (3)</w:t>
            </w:r>
          </w:p>
        </w:tc>
        <w:tc>
          <w:tcPr>
            <w:tcW w:w="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645,196,504</w:t>
            </w:r>
          </w:p>
        </w:tc>
        <w:tc>
          <w:tcPr>
            <w:tcW w:w="63" w:type="dxa"/>
            <w:tcBorders/>
            <w:vAlign w:val="bottom"/>
          </w:tcPr>
          <w:p>
            <w:pPr>
              <w:pStyle w:val="TableContents"/>
              <w:bidi w:val="0"/>
              <w:spacing w:before="0" w:after="283"/>
              <w:jc w:val="left"/>
              <w:rPr/>
            </w:pPr>
            <w:r>
              <w:rPr/>
              <w:t> </w:t>
            </w:r>
          </w:p>
        </w:tc>
      </w:tr>
      <w:tr>
        <w:trPr/>
        <w:tc>
          <w:tcPr>
            <w:tcW w:w="773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Includes 137,666 shares of unvested restricted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(2) Represents the outstanding YolTech Warrant, including warrants issued for the anti-dilution provision at the time of the Serapha Pre-Closing Financing, to acquire Serapha Series A-1 Preferred Stock. Such Serapha Warrants will become exercisable for shares of Boundless Bio Common Stock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(3) Represents the total estimated fully diluted shares to be issued to Serapha securityholders at the Closing based on the preliminary estimated Exchange Ratio of 8.6737. </w:t>
      </w:r>
    </w:p>
    <w:p>
      <w:pPr>
        <w:pStyle w:val="TextBody"/>
        <w:bidi w:val="0"/>
        <w:spacing w:before="360" w:after="0"/>
        <w:jc w:val="left"/>
        <w:rPr>
          <w:rFonts w:ascii="Times New Roman" w:hAnsi="Times New Roman"/>
          <w:b/>
          <w:sz w:val="20"/>
        </w:rPr>
      </w:pPr>
      <w:r>
        <w:rPr>
          <w:rFonts w:ascii="Times New Roman" w:hAnsi="Times New Roman"/>
          <w:b/>
          <w:sz w:val="20"/>
        </w:rPr>
        <w:t xml:space="preserve">5. Adjustments to Unaudited Pro Forma Condensed Combined Balance Sheet as of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Boundless Bio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5(B) Derived from the audited balance sheet of Serapha as of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5(a) To reflect the exchange of all outstanding shares of Serapha Series A Preferred Stock, with a carrying amount of $137.6 million, into 30,668,708 shares of Serapha Common Stock, prior to giving effect to the Exchange Ratio. The conversion and adjustment to the additional paid-in capital upon close of the Merger are determined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51"/>
        <w:gridCol w:w="393"/>
        <w:gridCol w:w="142"/>
        <w:gridCol w:w="839"/>
        <w:gridCol w:w="63"/>
      </w:tblGrid>
      <w:tr>
        <w:trPr/>
        <w:tc>
          <w:tcPr>
            <w:tcW w:w="7951"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Carrying value of the Serapha Series A Preferred Stock</w:t>
            </w:r>
          </w:p>
        </w:tc>
        <w:tc>
          <w:tcPr>
            <w:tcW w:w="3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137,589</w:t>
            </w:r>
          </w:p>
        </w:tc>
        <w:tc>
          <w:tcPr>
            <w:tcW w:w="63" w:type="dxa"/>
            <w:tcBorders/>
            <w:shd w:fill="CCEEFF" w:val="clear"/>
            <w:vAlign w:val="bottom"/>
          </w:tcPr>
          <w:p>
            <w:pPr>
              <w:pStyle w:val="TableContents"/>
              <w:bidi w:val="0"/>
              <w:spacing w:before="0" w:after="283"/>
              <w:jc w:val="left"/>
              <w:rPr/>
            </w:pPr>
            <w:r>
              <w:rPr/>
              <w:t> </w:t>
            </w:r>
          </w:p>
        </w:tc>
      </w:tr>
      <w:tr>
        <w:trPr/>
        <w:tc>
          <w:tcPr>
            <w:tcW w:w="795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Serapha Common Stock at par value upon the Closing</w:t>
            </w:r>
          </w:p>
        </w:tc>
        <w:tc>
          <w:tcPr>
            <w:tcW w:w="3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7951"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 related to the issuance of Serapha Common Stock upon the Closing</w:t>
            </w:r>
          </w:p>
        </w:tc>
        <w:tc>
          <w:tcPr>
            <w:tcW w:w="3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137,588</w:t>
            </w:r>
          </w:p>
        </w:tc>
        <w:tc>
          <w:tcPr>
            <w:tcW w:w="63" w:type="dxa"/>
            <w:tcBorders/>
            <w:shd w:fill="CCEEFF" w:val="clear"/>
            <w:vAlign w:val="bottom"/>
          </w:tcPr>
          <w:p>
            <w:pPr>
              <w:pStyle w:val="TableContents"/>
              <w:bidi w:val="0"/>
              <w:spacing w:before="0" w:after="283"/>
              <w:jc w:val="left"/>
              <w:rPr/>
            </w:pPr>
            <w:r>
              <w:rPr/>
              <w:t> </w:t>
            </w:r>
          </w:p>
        </w:tc>
      </w:tr>
      <w:tr>
        <w:trPr/>
        <w:tc>
          <w:tcPr>
            <w:tcW w:w="7951"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5(b) To reflect the issuance of 10,086,651 shares of Serapha Common Stock and 10,359,153 Serapha Pre-Funded Warrants, prior to giving effect to the Exchange Ratio, pursuant to the Serapha Pre-Closing Financing entered into concurrently with the execution of the Merger Agreement, for an aggregate purchase price of $92.0 million. The net cash proceeds received prior to direct transaction costs from the Serapha Pre-Closing Financing and corresponding adjustment to the additional paid-in capital upon close of the Merger are determined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088"/>
        <w:gridCol w:w="400"/>
        <w:gridCol w:w="140"/>
        <w:gridCol w:w="698"/>
        <w:gridCol w:w="62"/>
      </w:tblGrid>
      <w:tr>
        <w:trPr/>
        <w:tc>
          <w:tcPr>
            <w:tcW w:w="8088"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received prior to direct and incremental transaction costs from the Serapha Pre-Closing Financing upon the Closing</w:t>
            </w:r>
          </w:p>
        </w:tc>
        <w:tc>
          <w:tcPr>
            <w:tcW w:w="4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91,999</w:t>
            </w:r>
          </w:p>
        </w:tc>
        <w:tc>
          <w:tcPr>
            <w:tcW w:w="62" w:type="dxa"/>
            <w:tcBorders/>
            <w:shd w:fill="CCEEFF" w:val="clear"/>
            <w:vAlign w:val="bottom"/>
          </w:tcPr>
          <w:p>
            <w:pPr>
              <w:pStyle w:val="TableContents"/>
              <w:bidi w:val="0"/>
              <w:spacing w:before="0" w:after="283"/>
              <w:jc w:val="left"/>
              <w:rPr/>
            </w:pPr>
            <w:r>
              <w:rPr/>
              <w:t> </w:t>
            </w:r>
          </w:p>
        </w:tc>
      </w:tr>
      <w:tr>
        <w:trPr/>
        <w:tc>
          <w:tcPr>
            <w:tcW w:w="8088"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Serapha Common Stock and Serapha Pre-Funded Warrants at par value upon the Closing</w:t>
            </w:r>
          </w:p>
        </w:tc>
        <w:tc>
          <w:tcPr>
            <w:tcW w:w="4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8088"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 related to the issuance of Serapha Common Stock and Serapha Pre-Funded Warrants upon the Closing</w:t>
            </w:r>
          </w:p>
        </w:tc>
        <w:tc>
          <w:tcPr>
            <w:tcW w:w="4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91,998</w:t>
            </w:r>
          </w:p>
        </w:tc>
        <w:tc>
          <w:tcPr>
            <w:tcW w:w="62" w:type="dxa"/>
            <w:tcBorders/>
            <w:shd w:fill="CCEEFF" w:val="clear"/>
            <w:vAlign w:val="bottom"/>
          </w:tcPr>
          <w:p>
            <w:pPr>
              <w:pStyle w:val="TableContents"/>
              <w:bidi w:val="0"/>
              <w:spacing w:before="0" w:after="283"/>
              <w:jc w:val="left"/>
              <w:rPr/>
            </w:pPr>
            <w:r>
              <w:rPr/>
              <w:t> </w:t>
            </w:r>
          </w:p>
        </w:tc>
      </w:tr>
      <w:tr>
        <w:trPr/>
        <w:tc>
          <w:tcPr>
            <w:tcW w:w="8088"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5(c) To reflect preliminary estimated transaction costs of $3.8 million, not yet reflected in the historical financial statements, that are expected to be incurred by Serapha in connection with the Merger, and $0.3 million reflected in the historical financial statements as deferred transaction costs, such as advisory, legal and auditor fees, as a reduction in cash, a reduction in other assets and a reduction in accounts payable in the unaudited pro forma condensed combined balance sheet. As the Merger will be accounted for as a reverse recapitalization equivalent to the issuance of equity for the net assets, primarily prepaid assets, of Boundless Bio,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5(d) To reflect the mark to market of Serapha’s warrant liability of $79.4 million and reclass to additional paid-in capital as of the Merger since the warrants will be exercisable into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5(e) To reflect preliminary estimated transaction costs of $5.8 million, of which $3.8 million is not yet reflected in the historical financial statements, which are expected to be incurred by Boundless Bio in connection with the Merger, such as advisory, legal and auditor fees and including the estimated $0.9 million D&amp;O tail policy, as a reduction in cash of $5.8 million, a reduction of accrued expenses of $2.0 million and an increase in accumulated deficit of $3.8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5(f) To reflect preliminary estimated incremental compensation expenses of $4.7 million related to severance and other separation benefits in connection with the termination of substantially all of Boundless Bio’s workforce and certain members of its executive management. The pro forma adjustment is reflected as a decrease in cash of $7.5 million, a reduction of accrued compensation of $2.8 million and an increase in accumulated deficit of $4.7 million. </w:t>
      </w:r>
    </w:p>
    <w:p>
      <w:pPr>
        <w:pStyle w:val="TextBody"/>
        <w:bidi w:val="0"/>
        <w:spacing w:before="240" w:after="0"/>
        <w:jc w:val="left"/>
        <w:rPr>
          <w:rFonts w:ascii="Times New Roman" w:hAnsi="Times New Roman"/>
          <w:sz w:val="20"/>
        </w:rPr>
      </w:pPr>
      <w:r>
        <w:rPr>
          <w:rFonts w:ascii="Times New Roman" w:hAnsi="Times New Roman"/>
          <w:sz w:val="20"/>
        </w:rPr>
        <w:t xml:space="preserve">5(g) To derecognize $0.7 million of Boundless Bio’s prepaid expenses, including non-current prepaid expenses, consisting of prepaid insurance primarily related to the current D&amp;O policy of Boundless Bio that will be fully utilized at the Closing and $0.1 million of property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5(h) To reflect the liquidation of Boundless Bio’s short-term investments of $52.8 million, including interest receivable of $0.4 million into cash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one-time lease termination expense of $0.8 million for the Boundless Bio facility lease prior to the Closing, comprising base rent of $0.5 million and estimated common area maintenance charges of $0.3 million, net of the security deposit. </w:t>
      </w:r>
    </w:p>
    <w:p>
      <w:pPr>
        <w:pStyle w:val="TextBody"/>
        <w:bidi w:val="0"/>
        <w:spacing w:before="240" w:after="0"/>
        <w:jc w:val="left"/>
        <w:rPr>
          <w:rFonts w:ascii="Times New Roman" w:hAnsi="Times New Roman"/>
          <w:sz w:val="20"/>
        </w:rPr>
      </w:pPr>
      <w:r>
        <w:rPr>
          <w:rFonts w:ascii="Times New Roman" w:hAnsi="Times New Roman"/>
          <w:sz w:val="20"/>
        </w:rPr>
        <w:t xml:space="preserve">5(j) To reflect an estimate of the one-time Boundless Bio Pre-Closing Dividend of $46.0 million expected to be declared and paid to the holders of record of shares of Boundless Bio Common Stock outstanding prior to the Effective Time, which assumes a midpoint of the estimated range of $44.0 million to $48.0 million. The Boundless Bio Pre-Closing Dividend will be treated as a decrease in additional paid-in capital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5(k) To reflect the recapitalization of Serapha and the derecognition of other comprehensive loss and the accumulated deficit of Boundless Bio, which is reversed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Boundless Bio of $307.0 million is determined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54"/>
        <w:gridCol w:w="388"/>
        <w:gridCol w:w="142"/>
        <w:gridCol w:w="841"/>
        <w:gridCol w:w="63"/>
      </w:tblGrid>
      <w:tr>
        <w:trPr/>
        <w:tc>
          <w:tcPr>
            <w:tcW w:w="7954"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 of Boundless Bio as of June 30, 2026</w:t>
            </w:r>
          </w:p>
        </w:tc>
        <w:tc>
          <w:tcPr>
            <w:tcW w:w="38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296,917</w:t>
            </w:r>
          </w:p>
        </w:tc>
        <w:tc>
          <w:tcPr>
            <w:tcW w:w="63" w:type="dxa"/>
            <w:tcBorders/>
            <w:shd w:fill="CCEEFF" w:val="clear"/>
            <w:vAlign w:val="bottom"/>
          </w:tcPr>
          <w:p>
            <w:pPr>
              <w:pStyle w:val="TableContents"/>
              <w:bidi w:val="0"/>
              <w:spacing w:before="0" w:after="283"/>
              <w:jc w:val="left"/>
              <w:rPr/>
            </w:pPr>
            <w:r>
              <w:rPr/>
              <w:t> </w:t>
            </w:r>
          </w:p>
        </w:tc>
      </w:tr>
      <w:tr>
        <w:trPr/>
        <w:tc>
          <w:tcPr>
            <w:tcW w:w="7954" w:type="dxa"/>
            <w:tcBorders/>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Boundless Bio, see Note 5(e)</w:t>
            </w:r>
          </w:p>
        </w:tc>
        <w:tc>
          <w:tcPr>
            <w:tcW w:w="38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3,836</w:t>
            </w:r>
          </w:p>
        </w:tc>
        <w:tc>
          <w:tcPr>
            <w:tcW w:w="63" w:type="dxa"/>
            <w:tcBorders/>
            <w:vAlign w:val="bottom"/>
          </w:tcPr>
          <w:p>
            <w:pPr>
              <w:pStyle w:val="TableContents"/>
              <w:bidi w:val="0"/>
              <w:spacing w:before="0" w:after="283"/>
              <w:jc w:val="left"/>
              <w:rPr/>
            </w:pPr>
            <w:r>
              <w:rPr/>
              <w:t> </w:t>
            </w:r>
          </w:p>
        </w:tc>
      </w:tr>
      <w:tr>
        <w:trPr/>
        <w:tc>
          <w:tcPr>
            <w:tcW w:w="7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Boundless Bio severance, retention bonuses and change in control payments, see Note 5(f)</w:t>
            </w:r>
          </w:p>
        </w:tc>
        <w:tc>
          <w:tcPr>
            <w:tcW w:w="38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4,713</w:t>
            </w:r>
          </w:p>
        </w:tc>
        <w:tc>
          <w:tcPr>
            <w:tcW w:w="63" w:type="dxa"/>
            <w:tcBorders/>
            <w:shd w:fill="CCEEFF" w:val="clear"/>
            <w:vAlign w:val="bottom"/>
          </w:tcPr>
          <w:p>
            <w:pPr>
              <w:pStyle w:val="TableContents"/>
              <w:bidi w:val="0"/>
              <w:spacing w:before="0" w:after="283"/>
              <w:jc w:val="left"/>
              <w:rPr/>
            </w:pPr>
            <w:r>
              <w:rPr/>
              <w:t> </w:t>
            </w:r>
          </w:p>
        </w:tc>
      </w:tr>
      <w:tr>
        <w:trPr/>
        <w:tc>
          <w:tcPr>
            <w:tcW w:w="7954"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of Boundless Bio prepaid insurance and property and equipment, see Note 5(g)</w:t>
            </w:r>
          </w:p>
        </w:tc>
        <w:tc>
          <w:tcPr>
            <w:tcW w:w="38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757</w:t>
            </w:r>
          </w:p>
        </w:tc>
        <w:tc>
          <w:tcPr>
            <w:tcW w:w="63" w:type="dxa"/>
            <w:tcBorders/>
            <w:vAlign w:val="bottom"/>
          </w:tcPr>
          <w:p>
            <w:pPr>
              <w:pStyle w:val="TableContents"/>
              <w:bidi w:val="0"/>
              <w:spacing w:before="0" w:after="283"/>
              <w:jc w:val="left"/>
              <w:rPr/>
            </w:pPr>
            <w:r>
              <w:rPr/>
              <w:t> </w:t>
            </w:r>
          </w:p>
        </w:tc>
      </w:tr>
      <w:tr>
        <w:trPr/>
        <w:tc>
          <w:tcPr>
            <w:tcW w:w="7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Pre-Merger lease termination expense for Boundless Bio, see Note 5(i)</w:t>
            </w:r>
          </w:p>
        </w:tc>
        <w:tc>
          <w:tcPr>
            <w:tcW w:w="38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756</w:t>
            </w:r>
          </w:p>
        </w:tc>
        <w:tc>
          <w:tcPr>
            <w:tcW w:w="63" w:type="dxa"/>
            <w:tcBorders/>
            <w:shd w:fill="CCEEFF" w:val="clear"/>
            <w:vAlign w:val="bottom"/>
          </w:tcPr>
          <w:p>
            <w:pPr>
              <w:pStyle w:val="TableContents"/>
              <w:bidi w:val="0"/>
              <w:spacing w:before="0" w:after="283"/>
              <w:jc w:val="left"/>
              <w:rPr/>
            </w:pPr>
            <w:r>
              <w:rPr/>
              <w:t> </w:t>
            </w:r>
          </w:p>
        </w:tc>
      </w:tr>
      <w:tr>
        <w:trPr/>
        <w:tc>
          <w:tcPr>
            <w:tcW w:w="7954"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954"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Boundless Bio</w:t>
            </w:r>
          </w:p>
        </w:tc>
        <w:tc>
          <w:tcPr>
            <w:tcW w:w="38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306,979</w:t>
            </w:r>
          </w:p>
        </w:tc>
        <w:tc>
          <w:tcPr>
            <w:tcW w:w="63" w:type="dxa"/>
            <w:tcBorders/>
            <w:vAlign w:val="bottom"/>
          </w:tcPr>
          <w:p>
            <w:pPr>
              <w:pStyle w:val="TableContents"/>
              <w:bidi w:val="0"/>
              <w:spacing w:before="0" w:after="283"/>
              <w:jc w:val="left"/>
              <w:rPr/>
            </w:pPr>
            <w:r>
              <w:rPr/>
              <w:t> </w:t>
            </w:r>
          </w:p>
        </w:tc>
      </w:tr>
      <w:tr>
        <w:trPr/>
        <w:tc>
          <w:tcPr>
            <w:tcW w:w="7954"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Adjustments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statement of operations and comprehensive loss of Boundless Bio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audited statement of operations of Serapha for the period from April 2, 2026 (inception)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6(C) Derived from the audited statement of operations and comprehensive loss of Boundless Bio for the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Statements of Operations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6(a) To reflect preliminary estimated incremental compensation expense related to severance, retention and change in control payments recorded in general and administrative expenses of $3.5 million and research and development of $1.2 million, assuming that the adjustment described in Note 5(f)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derecognition of Boundless Bio’s prepaid expenses of $0.7 million related to prepaid insurance primarily related to the current Boundless Bio D&amp;O policy that will be fully utilized at the Closing and write off of $0.1 million of property and equipment, assuming the adjustment made in Note 5(g) was made on January 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6(c) To reflect the lease termination of Boundless Bio’s property lease of $0.8 million, assuming the adjustment made in Note 5(i)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6(d) The pro forma combined basic and diluted net loss per share has been adjusted to reflect the pro forma net loss. In addition, the number of shares used in calculating the pro forma combined basic and diluted net loss per share has been adjusted to reflect the estimated total number of shares of common stock of the Combined Company. Pro forma weighted average shares outstanding include the pre-funded warrants as the exercise price is negligible and they are fully vested and exercisable. For the six months ended June 30, 2026 and for the year ended December 31, 2025, the pro forma weighted average shares have been calculated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62"/>
        <w:gridCol w:w="255"/>
        <w:gridCol w:w="60"/>
        <w:gridCol w:w="1228"/>
        <w:gridCol w:w="60"/>
        <w:gridCol w:w="255"/>
        <w:gridCol w:w="63"/>
        <w:gridCol w:w="1325"/>
        <w:gridCol w:w="64"/>
      </w:tblGrid>
      <w:tr>
        <w:trPr/>
        <w:tc>
          <w:tcPr>
            <w:tcW w:w="5262"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6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pPr>
            <w:r>
              <w:rPr/>
              <w:t>June 30, 2026</w:t>
              <w:br/>
              <w:t>Basic and</w:t>
              <w:br/>
              <w:t>Diluted</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 Basic and</w:t>
              <w:br/>
              <w:t>Diluted</w:t>
            </w:r>
          </w:p>
        </w:tc>
        <w:tc>
          <w:tcPr>
            <w:tcW w:w="64" w:type="dxa"/>
            <w:tcBorders/>
            <w:vAlign w:val="bottom"/>
          </w:tcPr>
          <w:p>
            <w:pPr>
              <w:pStyle w:val="TableContents"/>
              <w:bidi w:val="0"/>
              <w:spacing w:before="0" w:after="283"/>
              <w:jc w:val="left"/>
              <w:rPr/>
            </w:pPr>
            <w:r>
              <w:rPr/>
              <w:t> </w:t>
            </w:r>
          </w:p>
        </w:tc>
      </w:tr>
      <w:tr>
        <w:trPr/>
        <w:tc>
          <w:tcPr>
            <w:tcW w:w="5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shares of Boundless Bio Common Stock outstanding</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22,428,501</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22,360,371</w:t>
            </w:r>
          </w:p>
        </w:tc>
        <w:tc>
          <w:tcPr>
            <w:tcW w:w="64" w:type="dxa"/>
            <w:tcBorders/>
            <w:shd w:fill="CCEEFF" w:val="clear"/>
            <w:vAlign w:val="bottom"/>
          </w:tcPr>
          <w:p>
            <w:pPr>
              <w:pStyle w:val="TableContents"/>
              <w:bidi w:val="0"/>
              <w:spacing w:before="0" w:after="283"/>
              <w:jc w:val="left"/>
              <w:rPr/>
            </w:pPr>
            <w:r>
              <w:rPr/>
              <w:t> </w:t>
            </w:r>
          </w:p>
        </w:tc>
      </w:tr>
      <w:tr>
        <w:trPr/>
        <w:tc>
          <w:tcPr>
            <w:tcW w:w="5262" w:type="dxa"/>
            <w:tcBorders/>
          </w:tcPr>
          <w:p>
            <w:pPr>
              <w:pStyle w:val="TableContents"/>
              <w:bidi w:val="0"/>
              <w:spacing w:before="0" w:after="0"/>
              <w:jc w:val="left"/>
              <w:rPr>
                <w:rFonts w:ascii="Times New Roman" w:hAnsi="Times New Roman"/>
                <w:sz w:val="20"/>
              </w:rPr>
            </w:pPr>
            <w:r>
              <w:rPr>
                <w:rFonts w:ascii="Times New Roman" w:hAnsi="Times New Roman"/>
                <w:sz w:val="20"/>
              </w:rPr>
              <w:t>Shares of Boundless Bio Common Stock issued to Serapha securityholders upon the Closing, assuming consummation of the Merger as of January 1, 2025, see Note 4 (1)</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644,002,431</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644,002,431</w:t>
            </w:r>
          </w:p>
        </w:tc>
        <w:tc>
          <w:tcPr>
            <w:tcW w:w="64" w:type="dxa"/>
            <w:tcBorders/>
            <w:vAlign w:val="bottom"/>
          </w:tcPr>
          <w:p>
            <w:pPr>
              <w:pStyle w:val="TableContents"/>
              <w:bidi w:val="0"/>
              <w:spacing w:before="0" w:after="283"/>
              <w:jc w:val="left"/>
              <w:rPr/>
            </w:pPr>
            <w:r>
              <w:rPr/>
              <w:t> </w:t>
            </w:r>
          </w:p>
        </w:tc>
      </w:tr>
      <w:tr>
        <w:trPr/>
        <w:tc>
          <w:tcPr>
            <w:tcW w:w="5262"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Boundless Bio Common Stock</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666,430,932</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666,362,802</w:t>
            </w:r>
          </w:p>
        </w:tc>
        <w:tc>
          <w:tcPr>
            <w:tcW w:w="64" w:type="dxa"/>
            <w:tcBorders/>
            <w:shd w:fill="CCEEFF" w:val="clear"/>
            <w:vAlign w:val="bottom"/>
          </w:tcPr>
          <w:p>
            <w:pPr>
              <w:pStyle w:val="TableContents"/>
              <w:bidi w:val="0"/>
              <w:spacing w:before="0" w:after="283"/>
              <w:jc w:val="left"/>
              <w:rPr/>
            </w:pPr>
            <w:r>
              <w:rPr/>
              <w:t> </w:t>
            </w:r>
          </w:p>
        </w:tc>
      </w:tr>
      <w:tr>
        <w:trPr/>
        <w:tc>
          <w:tcPr>
            <w:tcW w:w="5262"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Represents the estimated shares of Boundless Bio Common Stock expected to be issued to Serapha securityholders at Closing, excluding the outstanding and unvested Serapha restricted common stock at the Closing that will be converted to 1,194,073 shares of Boundless Bio Common Stock, after reflecting the estimated Exchange Ratio. The restricted common stock is subject to the same vesting conditions (see Note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0" w:name="tx108148_34"/>
      <w:bookmarkEnd w:id="70"/>
      <w:r>
        <w:rPr>
          <w:rFonts w:ascii="Times New Roman" w:hAnsi="Times New Roman"/>
          <w:b/>
          <w:sz w:val="20"/>
        </w:rPr>
        <w:t xml:space="preserve">DESCRIPTION OF BOUNDLESS BIO CAPITAL STOCK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one class of securities registered under Section 12 of the Exchange Act: its common stock, $0.0001 par value per share. The general terms and provisions of the Boundless Bio Common Stock are summarized below. This summary does not purport to be complete and is qualified by reference to the Boundless Bio Charter and the Boundless Bio Bylaws, each of which has been filed as an exhibit to the registration statement of which this proxy statement/prospectus forms a part. The Boundless Bio Common Stock is listed on Nasdaq under the symbol “BOLD.”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authorized capital stock consists of 700,000,000 shares of common stock, and 70,000,000 shares of preferred stock, $0.0001 par value per share. No shares of preferred stock are designated or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Boundless Bio Common Stock are entitled to one vote for each share held on all matters submitted to a vote of stockholders, including the election of directors, and do not have cumulative voting rights. The Boundless Bio Charter established a classified board of directors that is divided into three classes with staggered three-year terms. Only the directors in one class are subject to election at each annual meeting of Boundless Bio stockholders. In addition, the Boundless Bio Charter provides that Boundless Bio’s directors may be removed from office only for cause and only by the affirmative vote of the holders of at least two-thirds of the voting power of all the then outstanding shares of Boundless Bio’s voting stock entitled to vote at an election of directors, subject to any special rights of the holders of any then outstanding series of Boundless Bio Preferred Stock. At all duly called or convened meetings of stockholders at which a quorum is present, for the election of directors, a plurality of the votes cast is sufficient to elect a director. Except as otherwise provided by applicable law or regulation or requirement of any securities exchange applicable to Boundless Bio, and subject to the supermajority votes required for some matters, other matters will be decided by the affirmative vote of Boundless Bio’s stockholders having a majority in voting power of the votes cast by the stockholders present or represented and voting on such matter (excluding abstentions and broker non-votes). </w:t>
      </w:r>
    </w:p>
    <w:p>
      <w:pPr>
        <w:pStyle w:val="TextBody"/>
        <w:bidi w:val="0"/>
        <w:spacing w:before="240" w:after="0"/>
        <w:jc w:val="left"/>
        <w:rPr>
          <w:rFonts w:ascii="Times New Roman" w:hAnsi="Times New Roman"/>
          <w:sz w:val="20"/>
        </w:rPr>
      </w:pPr>
      <w:r>
        <w:rPr>
          <w:rFonts w:ascii="Times New Roman" w:hAnsi="Times New Roman"/>
          <w:sz w:val="20"/>
        </w:rPr>
        <w:t>The affirmative vote of the holders of at least two-thirds of the total voting power of all the then outstanding shares of Boundless Bio Capital Stock entitled to vote thereon, voting together as a single class, is required to amend, alter, repeal, or rescind, in whole or in part, or to adopt any provision inconsistent with, several of the provisions of the Boundless Bio Charter, including provisions granting Boundless Bio the power to provide indemnification and advancement of expenses to its directors and officers, provisions limiting the personal liability of Boundless Bio’s directors and officers to it and its stockholders, and provisions relating to classification of the Boundless Bio Board of Directors, limitations on removal of directors from office, and other provisions that could have the effect of delaying, deferring, or preventing a change in control of Boundless Bio as discussed below under the subsection titled “</w:t>
      </w:r>
      <w:r>
        <w:rPr>
          <w:rFonts w:ascii="Times New Roman" w:hAnsi="Times New Roman"/>
          <w:i/>
          <w:sz w:val="20"/>
        </w:rPr>
        <w:t>Anti-Takeover Effects of Provisions of Delaware Law and Boundless Bio’s Certificate of Incorporation and Bylaws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Boundless Bio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Boundless Bio’s liquidation, dissolution or winding up, whether voluntary or involuntary, the holders of the then outstanding shares of Boundless Bio Common Stock will be entitled to share ratably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assets legally available for distribution to stockholders after the payment of or provision for all of Boundless Bio’s debts and other liabilities and the satisfaction of any liquidation preference granted to the holders of any then outstanding shares of Boundless Bio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Boundless Bio Common Stock have no preemptive, conversion, subscription, or other similar rights, and there are no redemption or sinking funds provisions applicable to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of Preferred Stock May be Senior to Rights and Preferences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has the authority, without further action by its stockholders, to issue up to 70,000,000 shares of Boundless Bio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 The rights, preferences and privileges of one or more series of preferred stock could include dividend rights, conversion rights, voting rights, terms of redemption, and liquidation preferences, any or all of which may be greater than the rights of the holders of Boundless Bio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The issued and outstanding shares of Boundless Bio Common Stock as of June 30, 2026 were duly authorized, validly issued,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Boundless Bio Common Stock is Computershare Trust Company, N.A.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Common Stock is listed and traded on the Nasdaq Global Select Market under the symbol “BOLD.”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Boundless Bio’s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DGCL, the Boundless Bio Charter, and the Boundless Bio Bylaws could make the following transactions more difficult: an acquisition of Boundless Bio by means of a tender offer; an acquisition of Boundless Bio by means of a proxy contest or otherwise; or the removal of Boundless Bio’s incumbent officers and directors. It is possible that these provisions, which are summarized below, could make it more difficult to accomplish or could deter transactions that stockholders may otherwise consider to be in their best interest or in Boundless Bio’s best interest, including transactions that provide for payment of a premium over the market price for shares of Boundless Bio Common Stock. These provisions are intended to discourage coercive takeover practices and inadequate takeover bids. These provisions are also designed to encourage persons seeking to acquire control of Boundless Bio to first negotiate with the Boundless Bio Board of Directors. Boundless Bio believes that the benefits of the increased protection of its potential ability to negotiate with the proponent of an unfriendly or unsolicited proposal to acquire or restructure it outweigh the disadvantages of discouraging these proposals because negotiation of these proposals could result in an improvement of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Authorized 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Boundless Bio Board of Directors, without action by the stockholders, to issue up to 70,000,000 shares of Boundless Bio Preferred Stock with voting or other rights or preferences as designated by the Boundless Bio Board of Directors could impede the success of any attempt to change control of Boundless Bio. For example, if in the due exercise of its fiduciary obligations, the Boundless Bio Board of Directors were to determine that a takeover proposal is not in the best interests of its stockholders, the Boundless Bio Board of Directors could cause shares of Boundless Bio Preferred Stock to be issued that might dilute the voting or other rights of the proposed hostile acquirer. The issuance of Boundless Bio Preferred Stock, while providing flexibility in connection with possible acquisitions and other corporate purposes, could, among other things, have the effect of delaying, deterring, or preventing a change in Boundless Bio’s management or a change in control of it and may adversely affect the market price of Boundless Bio Common Stock and the voting and other rights or preferences of the holders of Boundless Bio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any action required or permitted to be taken by the Boundless Bio stockholders must be effected at an annual or special meeting of the stockholders and specifically eliminates the ability of stockholders to act by written consent in lieu of a meeting, subject to any special rights of the holders of any series of preferred stock to act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a special meeting of stockholders may be called only by or at the direction of the Boundless Bio Board of Directors, the chairperson of the Boundless Bio Board of Directors, the chief executive officer, or the president. The Boundless Bio Charter specifically denies power to any other person to call a special meeting of stockholders. The Boundless Bio Bylaws provide that no business may be transacted at any special meeting of stockholders other than the business specified in the notice of the special meeting. Accordingly, stockholders may not bring business before a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Notification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Bylaws establish advance notice procedures with respect to stockholder proposals relating to business to be brought before an annual meeting of stockholders and the nomination of candidates for election as directors. Noncompliance with these requirements would preclude a stockholder from bringing matters before an annual meeting of stockholders and making any nomination of a person for election to the Boundless Bio Board of Directors at any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for the division of the Boundless Bio Board of Directors into three classes serving staggered three-year terms, with one class being elected each year by its stockholders. This system of electing directors may tend to discourage a third party from attempting to obtain control of Boundless Bio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does not permit stockholders to cumulate their votes in the election of directors, which limits the ability of minority stockholders to elect director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total number of directors on the Boundless Bio Board of Directors is established by the Boundless Bio Board of Directors, which may delay the ability of stockholders to change the composition of a majority of the Boundless Bio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Filling of Vacancies </w:t>
      </w:r>
    </w:p>
    <w:p>
      <w:pPr>
        <w:pStyle w:val="TextBody"/>
        <w:bidi w:val="0"/>
        <w:spacing w:before="120" w:after="0"/>
        <w:jc w:val="left"/>
        <w:rPr>
          <w:rFonts w:ascii="Times New Roman" w:hAnsi="Times New Roman"/>
          <w:sz w:val="20"/>
        </w:rPr>
      </w:pPr>
      <w:r>
        <w:rPr>
          <w:rFonts w:ascii="Times New Roman" w:hAnsi="Times New Roman"/>
          <w:sz w:val="20"/>
        </w:rPr>
        <w:t xml:space="preserve">Any vacancies on the Boundless Bio Board of Directors, however occurring, including a vacancy resulting from an increase in the size of its board, may be filled only by the affirmative vote of a majority of its directors then in office, even if less than a quorum, or by a sole remaining director, and may not be filled by the stockholders, subject to any special rights of the holders of any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no member of the Boundless Bio Board of Directors may be removed from office except for cause and only upon the approval of the holders of at least two-thirds of the voting power of all of the then outstanding shares of Boundless Bio’s voting stock entitled to vote at an election of directors, subject to any special rights of the holders of any then outstanding series of Boundless Bio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Boundless Bio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Boundless Bio stockholders have appraisal rights in connection with a merger or consolidation of Boundless Bio. Under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unless Boundless Bio consents in writing to the selection of an alternative forum,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suit or proceeding (“proceeding”) brought on Boundless Bio’s behalf; (ii) any proceeding asserting a claim of breach of a fiduciary duty owed by any of its directors, officers, or stockholders to Boundless Bio or its stockholders; (iii) any proceeding arising pursuant to any provision of the DGCL, Boundless Bio Charter, or Boundless Bio Bylaws; or (iv) any proceeding asserting a claim against Boundless Bio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the Boundless Bio Charter also provides that, unless it consents in writing to the selection of an alternative forum, the federal district courts of the United States shall be the exclusive forum for the resolution of any complaint asserting a cause of action arising under the Securities Act of 1933, as amended, including all causes of action asserted against any defendant to such complaint. For the avoidance of doubt, this provision is intended to benefit and may be enforced by Boundless Bio, its officers and directors, the underwriters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giving rise to such proceeding, and any other professional or entity whose profession gives authority to a statement made by that person or entity and who has prepared or certified any part of the documents underlying the offering. In any case, stockholders will not be deemed to have waived Boundless Bio’s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The Boundless Bio Charter also provides that any person or entity purchasing or otherwise acquiring any interest in any of its securities will be deemed to have notice of and to have consented to this choice of forum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or repeal of any of the above-described provisions of the Boundless Bio Charter by stockholders would require approval by the holders of at least two-thirds of the total voting power of all of the then outstanding shares of Boundless Bio capital stock entitled to vote thereon. The amendment or repeal of any of the above-described provisions of the Boundless Bio Bylaws, or adoption of new bylaws, by stockholders would require approval by the holders of at least two-thirds of the voting power of all of the then outstanding shares of Boundless Bio voting stock entitled to vote generally in an election of directors. The Boundless Bio Board of Directors may amend or repeal any of the above-described provisions of its bylaws, or adopt new bylaws, by majority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1" w:name="tx108148_35"/>
      <w:bookmarkEnd w:id="71"/>
      <w:r>
        <w:rPr>
          <w:rFonts w:ascii="Times New Roman" w:hAnsi="Times New Roman"/>
          <w:b/>
          <w:sz w:val="20"/>
        </w:rPr>
        <w:t xml:space="preserve">COMPARISON OF RIGHTS OF HOLDERS OF BOUNDLESS BIO CAPITAL STOCK AND SERAPHA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Serapha stockholders will receive shares of Boundless Bio Common Stock, pursuant to the terms of the Merger Agreement. Prior to or upon the closing of the Merger, assuming that Proposal Nos. 2 and 3 are approved by Boundless Bio’s stockholders, the Boundless Bio Charter will be amended to increase the number of shares of Boundless Bio Common Stock that Boundless Bio is authorized to issue from 700,000,000 to    , and to effect the proposed Nasdaq Reverse Split, as set forth in the forms of certificates of amendment attached as </w:t>
      </w:r>
      <w:r>
        <w:rPr>
          <w:rFonts w:ascii="Times New Roman" w:hAnsi="Times New Roman"/>
          <w:i/>
          <w:sz w:val="20"/>
        </w:rPr>
        <w:t>Annex B</w:t>
      </w:r>
      <w:r>
        <w:rPr>
          <w:rFonts w:ascii="Times New Roman" w:hAnsi="Times New Roman"/>
          <w:sz w:val="20"/>
        </w:rPr>
        <w:t xml:space="preserve"> and </w:t>
      </w:r>
      <w:r>
        <w:rPr>
          <w:rFonts w:ascii="Times New Roman" w:hAnsi="Times New Roman"/>
          <w:i/>
          <w:sz w:val="20"/>
        </w:rPr>
        <w:t>Annex C</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Serapha are both incorporated under the laws of the State of Delaware, and the rights of their respective stockholders are generally governed by the DGCL, as well as their respective certificates of incorporation and bylaws. Upon completion of the Merger, Serapha stockholders will become stockholders of Boundless Bio, and their rights thereafter will be governed by the DGCL, the Boundless Bio Bylaws, and the Boundless Bio Charter, each as may be amended in connection with the Merger, including as contemplated by Proposal Nos. 2 and 3.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Serapha stockholders under the Serapha Charter, the Serapha Bylaws and the Investors’ Rights Agreement, dated June 22, 2026, by and among Serapha and the Investors and Key Holders party thereto (the “Serapha IRA”), and their rights as Boundless Bio stockholders after the Merger, under the Boundless Bio Charter and Boundless Bio Bylaws, both as will be in effect immediately following the completion of the Merger and assuming that Proposal Nos. 2 and 3 are approved by Boundless Bio’s stockholders,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Boundless Bio or Serapha before the Merger and being a stockholder of the Combined Company following the completion of the Merger. For more information on how to obtain these documents, see the section titled “</w:t>
      </w:r>
      <w:r>
        <w:rPr>
          <w:rFonts w:ascii="Times New Roman" w:hAnsi="Times New Roman"/>
          <w:i/>
          <w:sz w:val="20"/>
        </w:rPr>
        <w:t>Where You Can Find More Information</w:t>
      </w:r>
      <w:r>
        <w:rPr>
          <w:rFonts w:ascii="Times New Roman" w:hAnsi="Times New Roman"/>
          <w:sz w:val="20"/>
        </w:rPr>
        <w:t xml:space="preserve">” beginning on page 392 of this proxy statement/prospectus.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10205" w:type="dxa"/>
            <w:gridSpan w:val="3"/>
            <w:tcBorders/>
          </w:tcPr>
          <w:p>
            <w:pPr>
              <w:pStyle w:val="TableContents"/>
              <w:bidi w:val="0"/>
              <w:spacing w:before="0" w:after="283"/>
              <w:jc w:val="center"/>
              <w:rPr>
                <w:i/>
              </w:rPr>
            </w:pPr>
            <w:r>
              <w:rPr>
                <w:i/>
              </w:rPr>
              <w:t>Organizational Documents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rights of Boundless Bio stockholders are governed by the Boundless Bio Charter, the Boundless Bio Bylaws and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rights of Serapha stockholders are governed by the Serapha Charter, the Serapha Bylaws and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Authorized Capital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Boundless Bio is authorized to issue two classes of capital stock which are designated, respectively, “Boundless Bio Common Stock” and “Boundless Bio Preferred Stock.” The total number of shares that Boundless Bio is authorized to issue is 770,000,000, of which 700,000,000 shares are common stock and 70,000,000 shares are preferred stock, each with a par value of $0.0001 per share. Subject to the rights of the holders of any outstanding series of Boundless Bio Preferred Stock, the number of authorized shares of Boundless Bio Common Stock or Boundless Bio Preferred Stock may be increased or decreased (but not below the number of shares thereof then outstanding) by the affirmative vote of the holders 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total number of shares of all classes of stock which Serapha has the authority to issue is 160,000,000. Serapha has two classes of stock, referred to as “Serapha Common Stock” and “Serapha Preferred Stock,” respectively. There are 100,000,000 shares of authorized Serapha Common Stock, $0.00001 par value per share, and 60,000,000 shares of authorized Serapha Preferred Stock, $0.00001 par value per share, 35,000,000 of which are designated “Series A Preferred Stock” and 25,000,000 of which are designated “Series A-1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5" w:type="dxa"/>
            <w:tcBorders/>
          </w:tcPr>
          <w:p>
            <w:pPr>
              <w:pStyle w:val="TableContents"/>
              <w:bidi w:val="0"/>
              <w:spacing w:before="0" w:after="283"/>
              <w:jc w:val="left"/>
              <w:rPr/>
            </w:pPr>
            <w:r>
              <w:rPr/>
              <w:t>a majority of the stock of Boundless Bio entitled to vote, irrespective of the provisions of Section 242(b)(2) of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number of authorized shares of Serapha Common Stock may be increased or decreased (but not below the number of shares thereof then outstanding) by (in addition to any vote of the holders of one or more series of Serapha Preferred Stock that may be required by the terms of the Serapha Charter) the affirmative vote of the holders of shares of capital stock of Serapha representing a majority of the votes represented by all outstanding shares of capital stock of Serapha entitled to vote, irrespective of the provisions of Section 242(b)(2) of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Common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authorized Boundless Bio Common Stock consists of 700,000,000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may be otherwise provided in the Boundless Bio Charter or Boundless Bio Bylaws, the holders of the Boundless Bio Common Stock are each entitled to one vote, including the election of directors, and do not have cumulative voting rights.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There are 100,000,000 shares of authorized Serapha Common Stock, $0.00001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The holders of the Serapha Common Stock are entitled to one vote for each share of Serapha Common Stock held;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required by law, holders of Serapha Common Stock, as such, will not be entitled to vote on any amendment to the Serapha Charter that relates solely to the terms of one or more outstanding series of Serapha Preferred Stock if the holders of such affected series are entitled, either separately or together with the holders of one or more other such series, to vote thereon pursuant to the Serapha Charter or pursuant to the DGCL. There will be no cumulative voting.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authorized Boundless Bio Preferred Stock consists of 70,000,000 shares of preferred stock, par value $0.0001 per share. Shares of Boundless Bio Preferred Stock may be issued from time to time in one or more series. The Boundless Bio Board of Directors is authorized to provide from time to time by resolution or resolutions for the creation and issuance, out of the authorized and unissued shares of Boundless Bio Preferred Stock, of one or more series of Boundless Bio Preferred Stock by filing a certificate of designation (a “Certificate of Designation”) pursuant to the DGCL, setting forth such resolution and, with respect to each such series, establishing the designation of such series and the number of shares to be included in such series and fixing the voting powers (full or limited, or no voting power), preferences and relative, participating, optional or other special rights, and the qualifications, limitations and restrictions thereof, of the shares of each such series.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There are 60,000,000 shares of authorized Serapha Preferred Stock, $0.00001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any matter presented to the stockholders of Serapha, each holder of outstanding shares of Serapha Series A Preferred Stock will be entitled to cast the number of votes equal to the number of whole shares of Serapha Common Stock into which the shares of Serapha Series A Preferred Stock held by such holder are convertible as of the record date for determining stockholders entitled to vote on such matter. Except as provided by law or by the other provisions of the Serapha Charter, holders of Serapha Series A Preferred Stock will vote together with the holders of Serapha Common Stock as a single class and on an as-converted to Serapha Common Stock basis. Except as required by the DGCL, holders of Serapha Series A-1 Preferred Stock shall have no voting rights and shall not be entitled to vote on any matter presented to the stockholders of Serapha.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Number and Qualification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number of directors which shall constitute the whole Boundless Bio Board of Directors shall be fixed exclusively by one or more resolutions adopted from time to time by the Boundless Bio Board of Directors. No reduction of the authorized number of directors will have the effect of removing any director before that director’s term of office expires.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number of directors constituting the entire Serapha Board of Directors is one or more directors. This number may be changed by a resolution of the Serapha Board of Directors or of the stockholders. No reduction of the authorized number of directors will have the effect of removing any director before such director’s term of office expires.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Structure of Board of Directors; Term of Directors; 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special rights of the holders of one or more outstanding series of Boundless Bio Preferred Stock to elect directors, the directors of Boundless Bio shall be classified with respect to the time for which they severally hold office into three classes, designated as Class I, Class II and Class III.</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At each annual meeting of the stockholders of Boundless Bio beginning with the first annual meeting of the stockholders following the date of the Boundless Bio Charter, subject to the special rights of the holders of one or more outstanding series of Preferred Stock to elect directors, the successors of the class of directors whose term expires at that meeting shall be elected to hold office for a term expiring at the annual meeting of the stockholders held in the third year following the year of their election.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Each director shall hold office until his or her successor is duly elected and qualified or until his or her earlier death, resignation, disqualification or removal. No decrease in the number of directors shall shorten the term of any incumbent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Directors are elected by a plurality of the votes cast by stockholders.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Directors are elected at each annual meeting of stockholders to hold office until the next annual meeting. Each director, including a director elected to fill a vacancy, shall hold office until his or her successor is elected and qualified or until his or her earlier resignation or removal. Elections of directors need not be by written ballot.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elections are determined by a plurality of the votes cast by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At all times when at least 15,334,197 shares of Serapha Series A Preferred Stock remain outstanding (subject to appropriate adjustment in the event of any stock dividend, stock split, combination or other similar recapitalization with respect to the Serapha Series A Preferred Stock), the holders of record of the shares of Serapha Series A Preferred Stock, exclusively and voting together as a separate class on an as-converted to Serapha Common Stock basis, are entitled to elect five directors of Serapha.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holders of Serapha Common Stock and Serapha Series A Preferred Stock, voting together as a single class on an as-converted basis, shall be entitled to elect one director, who shall be the Chief Executive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holders of Serapha Common Stock and Serapha Series A Preferred Stock, voting together as a single class on an as-converted basis, shall be entitled to elect one director who is not an employee or Affiliate (as defined in the Serapha Charter) of Serapha or any holder of Serapha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holders of record of the shares of Serapha Common Stock and of any other class or series of voting stock (including the Serapha Series A Preferred Stock), exclusively and voting together as a single class on an as-converted to Serapha Common Stock basis, shall be entitled to elect the balance of the total number of directors of Serapha.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Removal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Subject to the special rights of the holders of one or more outstanding series of Boundless Bio Preferred Stock to elect directors, the Boundless Bio Board of Directors or any individual director may be removed from office at any time, but only for cause and only by the affirmative vote of the holders of at least two-thirds (66 and 2/3%) of the voting power of all of the then outstanding shares of voting stock of Boundless Bio entitled to vote at an election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director may be removed without cause by, and only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Vacancies on the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Subject to the special rights of the holders of one or more outstanding series of Boundless Bio Preferred Stock to elect directors, except as otherwise provided by law, any vacancies on the Boundless Bio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Any director may resign at any time upon written notice to the attention of the secretary of Serapha. When one or more directors so resigns and the resignation is effective at a future date, a majority of the directors then in office, including those who have so resigned, will have power to fill such vacancy or vacancies, the vote thereon to take effect when such resignation or resignations shall become effective, and each director so chosen shall hold office as provided in the Serapha Bylaws in the filling of other vacancies.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Serapha Series A Preferred Stock or Serapha Common Stock, as the case may be, fail to elect a sufficient number of directors to fill all directorships for which they are entitled to elect directors (and to the extent any of such directorships is not otherwise filled by a director appointed in accordance with the Serapha Charter), then any directorship not so filled shall remain vacant until such time as the holders of the Serapha Series A Preferred Stock or Serapha Common Stock, as the case may be, fill such directorship in accordance with the Serapha Charter. A vacancy in the seat of the director who is the Chief Executive Officer or the director who is not an employee or Affiliate of Serapha or any holder of Serapha Preferred Stock can be filled by either (A) the stockholders entitled to elect such director, or (B) a majority of the remaining directors.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Stockholder Action by Written Consent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Any action required or permitted to be taken by the stockholders of Boundless Bio must be effected at an annual or special meeting of the stockholders of Boundless Bio,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Any action required to be taken at any annual or special meeting of stockholders of Serapha, or any action that may be taken at any annual or special meeting of such stockholders, may be taken without a meeting, without prior notice and without a vote if a consent in writing, setting forth the action so taken, is (a) signed by the holders of outstanding stock having not less than the minimum number of votes that would be necessary to authorize or take such action at a meeting at which all shares entitled to vote thereon were present and voted, and (b) delivered to Serapha in accordance with Section 228(a) of the DGCL.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Every written consent shall bear the date of signature of each stockholder who signs the consent and no written consent shall be effective to take the corporate action referred to therein unless, within sixty (60) days of the date the earliest dated consent is delivered to Serapha, a written consent or consents signed by a sufficient number of holders to take action are delivered to Serapha.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Quorum</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holders of a majority in voting power of the stock issued and outstanding and entitled to vote,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the Boundless Bio Bylaws until a quorum is present or represented. At any recessed or adjourned meeting at which a quorum is present or represented, any business may be transacted that might have been transacted at the meeting as originally noticed.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holders of a majority of the shares of stock issued and outstanding and entitled to vote thereat, present in person or represented by proxy, shall constitute a quorum at all meetings of the stockholders for the transaction of business. If, however, such quorum is not present or represented at any meeting of the stockholders, then either (a) the chair of the meeting or (b) holders of a majority of the shares of stock entitled to vote who are present, in person or by proxy, may adjourn the meeting to another place (if any), date or time.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Special Meetings of Stockholders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Subject to the special rights of the holders of one or more series of Boundless Bio Preferred Stock, special meetings of the stockholders of Boundless Bio may be called, for any purpose or purposes, at any time only by or at the direction of the Boundless Bio Board of Directors, the Chairperson of the Boundless Bio Board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 special meeting of the stockholders may be called at any time by the Serapha Board of Directors, the chair of the Serapha board of directors, the president or by one or more stockholders holding shares in the aggregate entitled to cast not less than 10% of the votes at that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5" w:type="dxa"/>
            <w:tcBorders/>
          </w:tcPr>
          <w:p>
            <w:pPr>
              <w:pStyle w:val="TableContents"/>
              <w:bidi w:val="0"/>
              <w:spacing w:before="0" w:after="283"/>
              <w:jc w:val="left"/>
              <w:rPr/>
            </w:pPr>
            <w:r>
              <w:rPr/>
              <w:t>of Directors, the Chief Executive Officer or the President, and shall not be called by any other person or persons. No business may be transacted at any special meeting of stockholders other than the business specified in the notice of such meeting.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special meeting is called by any person or persons other than the Serapha Board of Directors, the president or the chair of the Serapha Board of Directors, the request shall be in writing, specifying the time of such meeting and the general nature of the business proposed to be transacted, and shall be delivered personally or sent by registered mail or by electronic or other facsimile transmission to the chair of the Serapha Board of Directors, the president, any vice president, or the secretary of Serapha. No business may be transacted at such special meeting other than specified in such notice.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i/>
              </w:rPr>
              <w:t xml:space="preserve">Notice of Stockholder </w:t>
            </w:r>
            <w:r>
              <w:rPr/>
              <w:t>Meetings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notice of any meeting of stockholders shall be sent or otherwise given in accordance with the Boundless Bio Bylaws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All notices of meetings with stockholders shall be in writing and shall be sent or otherwise given in accordance with the Serapha Bylaws not less than 10 nor more than 60 days before the date of the meeting to each stockholder entitled to vote at such meeting. The notice shall specify the place (if any), date and hour of the meeting, and in the case of a special meeting, the purpose or purposes for which the meeting is called.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Advance Notice Requirements for Stockholder Proposals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Boundless Bio Board of Directors, (ii) if not specified in a notice of meeting, otherwise brought before the meeting by the Boundless Bio Board of Directors or the Chairperson of the Boundless Bio Board of Directors or (iii) otherwise properly brought before the meeting by a stockholder present in person who (A)(1) was a record owner of shares of Boundless Bio both at the time of giving the notice provided for in the Boundless Bio Bylaws and at the time of the meeting, (2) is entitled to vote at the meeting, and (3) has complied with the Boundless Bio Bylaws in all applicable respects or (B) properly made such proposal in accordance with Rule 14a-8 under the Securities Exchange Act of 1934, as amended, and the rules and regulations thereunder (as so amended and inclusive of such rules and regulations, the “Exchange Act”).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business to be properly brought before an annual meeting by a stockholder, the stockholder must (i) provide Timely Notice (as defined below) thereof in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Neither the Serapha Charter nor the Serapha Bylaws contain advance notice requirements for stockholder proposals.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5" w:type="dxa"/>
            <w:tcBorders/>
          </w:tcPr>
          <w:p>
            <w:pPr>
              <w:pStyle w:val="TableContents"/>
              <w:bidi w:val="0"/>
              <w:spacing w:before="0" w:after="283"/>
              <w:jc w:val="left"/>
              <w:rPr/>
            </w:pPr>
            <w:r>
              <w:rPr/>
              <w:t>writing and in proper form to the Secretary of Boundless Bio and (ii) provide any updates or supplements to such notice at the times and in the forms required by the Boundless Bio Bylaws. To be timely, a stockholder’s notice must be delivered to, or mailed and received at, the principal executive offices of Boundless Bio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more than the 120th day prior to such annual meeting and not later than (i) the 90th day prior to such annual meeting or, (ii) if later, the 10th day following the day on which public disclosure of the date of such annual meeting was first made by Boundless Bio (such notice within such time periods, “Timely Notice”).</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Certificate of Incorporation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 addition to any vote required by applicable law, the following provisions in the Boundless Bio Charter may be amended, altered, repealed or rescinded, in whole or in part, or any provision inconsistent therewith or herewith may be adopted, only by the affirmative vote of the holders of at least two-thirds (66 and 2/3%) of the total voting power of all the then outstanding shares of stock of Boundless Bio entitled to vote thereon, voting together as a single class: (i) Part B of Article IV, which relates to preferred stock, (ii) Article V, which relates to the Board of Directors, (iii) Article VI, which outlines requirements for stockholder actions and special meetings of the stockholders, (iv) Article VII, which provides for the elimination of directors’ and officers’ liability for monetary damages to the fullest extent permitted by law, (v) Article VIII, which provides for indemnification of directors and officers, (vi) Article IX, which designates the Court of Chancery of the State of Delaware as the exclusive forum for certain legal actions involving Boundless Bio and designates the federal district courts of the United States as the exclusive forum for Securities Act claims, and (vii) Article X, which provides for the percentage of the shares necessary to amend the Boundless Bio Charter.</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Serapha Charter may be amended pursuant to Section 242 of the DGCL; provided that, at any time when at least 21,178,375 shares of Serapha Preferred Stock (subject to appropriate adjustment in the event of any stock dividend, stock split, combination or other similar recapitalization with respect to the Serapha Preferred Stock) are outstanding, Serapha will not, without the written consent or affirmative vote of the Requisite Holders (as defined in the Serapha Charter), among other things: (i) amend, alter or repeal any provision of the Serapha Charter or Serapha Bylaws; (ii) create, issue or obligate itself to issue shares of, any capital stock unless the same ranks junior to the Serapha Preferred Stock with respect to its special rights, powers and preferences or any simple agreements for future equity or convertible notes which may convert into capital stock; and (iii) increase or decrease the authorized number of shares of Serapha Common Stock, Serapha Preferred Stock or any additional class or series of capital stock of Serapha.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Boundless Bio Board of Directors is expressly empowered to adopt, amend or repeal the Boundless Bio Bylaws. In addition to any vote of the holders of any class or series of stock of Boundless Bio required by applicable law or by the Boundless Bio Charter (including any Certificate of Designation in respect of</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Serapha Bylaws may be altered, amended or repealed, in whole or in part, or new bylaws may be adopted by: (i) the Serapha Board of Directors, subject to certain limitations when at least 21,178,375 shares of Serapha Preferred Stock (subject to appropriate adjustment in the event of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4" w:type="dxa"/>
            <w:tcBorders/>
          </w:tcPr>
          <w:p>
            <w:pPr>
              <w:pStyle w:val="TableContents"/>
              <w:bidi w:val="0"/>
              <w:spacing w:before="0" w:after="283"/>
              <w:jc w:val="left"/>
              <w:rPr/>
            </w:pPr>
            <w:r>
              <w:rPr/>
              <w:t>one or more series of Preferred Stock) or the Bylaws of Boundless Bio, the adoption, amendment or repeal of the Bylaws of Boundless Bio by the stockholders of Boundless Bio shall require the affirmative vote of the holders of at least two-thirds (66 and 2/3%) of the voting power of all of the then outstanding shares of voting stock of Boundless Bio entitled to vote generally in an election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stock dividend, stock split, combination or other similar recapitalization with respect to the Serapha Preferred Stock) are outstanding, and (ii) the affirmative vote of the holders of a majority of the shares of the capital stock of Serapha issued and outstanding and entitled to vote, subject to the Serapha Preferred Stock limitations set forth in the previous section.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Limitation on Director and Officer Liability</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No director or officer of Boundless Bio shall have any personal liability to Boundless Bio or its stockholders for monetary damages for any breach of fiduciary duty as a director or officer, except to the extent such exemption from liability or limitation thereof is not permitted under the DGCL as the same exists or hereafter may be amended. If the DGCL is amended after approval by the stockholders of this Article to authorize corporate action further eliminating or limiting the personal liability of directors or officers, then the liability of a director or officer of Boundless Bio shall be eliminated or limited to the fullest extent permitted by the DGCL as so amended.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To the fullest extent permitted by law, a director or officer of Serapha shall not be personally liable to Serapha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Serapha shall be eliminated or limited to the fullest extent permitted by the DGCL as so amended.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Indemnification</w:t>
            </w:r>
          </w:p>
        </w:tc>
      </w:tr>
      <w:tr>
        <w:trPr/>
        <w:tc>
          <w:tcPr>
            <w:tcW w:w="5204" w:type="dxa"/>
            <w:tcBorders/>
          </w:tcPr>
          <w:p>
            <w:pPr>
              <w:pStyle w:val="TableContents"/>
              <w:bidi w:val="0"/>
              <w:spacing w:before="0" w:after="283"/>
              <w:jc w:val="left"/>
              <w:rPr/>
            </w:pPr>
            <w:r>
              <w:rPr/>
              <w:t>Boundless Bio shall indemnify and hold harmless, to the fullest extent permitted by the DGCL as it presently exists or may hereafter be amended, any director or officer of Boundless Bio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Boundless Bio or, while serving as a director or officer of Boundless Bio, is or was serving at the request of Boundless Bio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the Boundless Bio Bylaws, Boundless Bio shall be required to indemnify a person in connection with a Proceeding initiated by such person only if the Proceeding was authorized in the specific case by the Boundless Bio Board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Serapha will indemnify, to the maximum extent and in the manner permitted by the DGCL, each of its directors and officers against expenses (including attorneys’ fees), judgments, fines, settlements and other amounts actually and reasonably incurred in connection with any proceeding, arising by reason of the fact that such person is or was an agent of Serapha. For purposes of this section, a “director” or “officer” of Serapha includes any person (a) who is or was a director or officer of Serapha, (b) who is or was serving at the request of Serapha as a director or officer of another corporation, partnership, joint venture, trust or other enterprise, or (c) who was a director or officer of a corporation which was a predecessor corporation of Serapha or of another enterprise at the request of such predecessor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Serapha may also, to the maximum extent and in the manner permitted by the DGCL,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Serapha. For purposes of this section, an “employee” or “agent” of Serapha (other than a director or officer) includes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Boundless Bio shall have the power to indemnify and hold harmless, to the fullest extent permitted by applicable law as it presently exists or may hereafter be amended, any employee or agent of Boundless Bio who was or is made or is threatened to be made a party or is otherwise involved in any Proceeding by reason of the fact that he or she, or a person for whom he or she is the legal representative, is or was an employee or agent of Boundless Bio or is or was serving at the request of Boundless Bio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indemnification provisions of the Boundless Bio Bylaws shall not be exclusive of any other rights which such person may have or hereafter acquire under any statute, provision of the Boundless Bio Charter, the Boundless Bio Bylaws, agreement, vote of stockholders or disinterested directors or otherwise.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person (a) who is or was an employee or agent of Serapha, (b) who is or was serving at the request of Serapha as an employee or agent of another corporation, partnership, joint venture, trust or other enterprise, or (c) who was an employee or agent of a corporation which was a predecessor corporation of Serapha or of another enterprise at the request of such predecessor corporation.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Conversion Rights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Although the Boundless Bio Charter authorizes the issuance of shares of preferred stock, as of the date of this proxy statement/prospectus, no shares of Boundless Bio Preferred Stock are outstanding. Thus, Boundless Bio stockholders currently do not have any conversion rights.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Each share of Serapha Preferred Stock will be convertible, at the option of the holder thereof, at any time, and without the payment of additional consideration by the holder thereof, into such whole number of fully paid and non-assessable shares of Serapha Common Stock, at a conversion rate in accordance with the terms set forth in the Serapha Charter.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outstanding shares of Serapha Preferred Stock will automatically be converted into shares of Serapha Common Stock, at the then effective conversion rate as calculated in accordance with the Serapha Charter, upon the earliest to occur of: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immediately prior to the closing of the sale of shares of Serapha Common Stock to the public, in a firm-commitment underwritten public offering pursuant to an effective registration statement under the Securities Act of 1933, as amended, resulting in (i) a pre-money valuation of Serapha of at least $250,000,000 and (ii) at least $50,000,000 of gross proceeds to Serapha and in connection with such offering the shares of Serapha Common Stock are listed for trading on Nasdaq, the New York Stock Exchange or another exchange or marketplace approved by the Requisite Directors (as defined in the Serapha Charter);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immediately prior to the closing of a business combination between Serapha and a public company, in which the pre-transaction Serapha equityholders own, directly or indirectly, a majority of the voting power or economic interests of the surviving public company after the transaction (which, for the avoidance of doubt, would include a reverse merger with a public company);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the date and time, or upon the occurrence of an event, specified by vote or written consent of the holders of a majority of the outstanding shares of Serapha Series A Preferred Stock, voting together as a single class on an as-converted to Serapha Common Stock basis.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in the event any holder of Serapha Series A Preferred Stock does not participate in a Qualified Financing (as defined in the Serapha Charter) by purchasing in the aggregate such holder’s Pro Rata Amount (as defined in the Serapha Charter) within the time period specified by Serapha, after notice and an opportunity to participate, then each share of Serapha Series A Preferred Stock held by such holder shall automatically, and without any further action on the part of such holder, be converted into 1/10th of the number of shares of Serapha Common Stock into which such share would otherwise then be convertible on a one-to-one basis.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Preemptive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Boundless Bio stockholders do not have preemptive rights. Thus, if additional shares of Boundless Bio Common Stock are issued, the current holders of Boundless Bio Common Stock will own a proportionately smaller interest in a larger number of outstanding shares of Boundless Bio Common Stock to the extent that they do not participate in the additional issuance.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the Serapha IRA, if Serapha proposes to offer or sell certain new equity securities, Serapha must first offer such securities to each Major Investor (as defined in the Serapha IRA), which will then have a right to purchase securities in such new offering equal to the proportionate ownership interest of such Major Investor prior to such offering.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Distributions to Stockholders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Boundless Bio Board of Directors, subject to any restrictions contained in either (i) the DGCL or (ii) the Boundless Bio Charter, may declare and pay dividends upon the shares of its capital stock. Dividends may be paid in cash, in property or in shares of Boundless Bio’s capital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Boundless Bio Board of Directors may set apart out of any of the funds of Boundless Bio available for dividends a reserve or reserves for any proper purpose and may abolish any such reserve. Such purposes shall include but not be limited to equalizing dividends,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Serapha shall not declare, pay or set aside any dividends on shares of any other class or series of capital stock of Serapha (other than dividends on shares of Serapha Common Stock payable in shares of Serapha Common Stock) unless (in addition to the obtaining of any consents required elsewhere in the Serapha Charter) the holders of Serapha Preferred Stock then outstanding first receive, or simultaneously receive, a dividend on each outstanding share of Serapha Preferred Stock in an amount calculated in accordance with the Serapha Charter.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4" w:type="dxa"/>
            <w:tcBorders/>
          </w:tcPr>
          <w:p>
            <w:pPr>
              <w:pStyle w:val="TableContents"/>
              <w:bidi w:val="0"/>
              <w:spacing w:before="0" w:after="283"/>
              <w:jc w:val="left"/>
              <w:rPr/>
            </w:pPr>
            <w:r>
              <w:rPr/>
              <w:t>repairing or maintaining any property of Boundless Bio, and meeting contingencies.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Exclusive Forum</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Unless Boundless Bio consents in writing to the selection of an alternative forum, (a) the Court of Chancery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Boundless Bio, (ii) any Proceeding asserting a claim of breach of a fiduciary duty owed by any director, officer or stockholder of Boundless Bio to Boundless Bio or to Boundless Bio’s stockholders, (iii) any Proceeding arising pursuant to any provision of the DGCL, the Boundless Bio Charter or the Boundless Bio Bylaws or (iv) any Proceeding asserting a claim against Boundless Bio governed by the internal affairs doctrine; and (b) subject to the preceding provisions of this Article, to the extent permitted by applicable law, the federal district courts of the United States of America shall be the exclusive forum for the resolution of any complaint asserting a cause of action arising under the Securities Act. Any person or entity purchasing or otherwise acquiring any interest in any security of Boundless Bio shall be deemed to have notice of and consented to this provision.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Unless Serapha consents in writing to the selection of an alternative forum, the Court of Chancery in the State of Delaware shall be the sole and exclusive forum for any stockholder (including a beneficial owner) to bring (i) any derivative action or proceeding brought on behalf of Serapha, (ii) any action asserting a claim of breach of fiduciary duty owed by any director, officer or other employee of Serapha to Serapha or Serapha’s stockholders, (iii) any action asserting a claim against Serapha, its directors, officers or employees arising pursuant to any provision of the DGCL or Serapha’s Charter or Serapha’s Bylaws or (iv) any action asserting a claim against Serapha, its directors, officers or employees governed by the internal affairs doctrine or that otherwise relates to the internal affairs of Serapha,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Registration Rights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Certain holders of shares of Boundless Bio’s outstanding common stock have registration rights that entitle such holders to require Boundless Bio to register their shares for resale under the Securities Act, subject to certain exceptions. Registration of these shares under the Securities Act would result in the shares becoming freely tradable without restriction under the Securities Act, except for shares held by affiliates, as defined in Rule 144 under the Securities Act. In connection with the Merger, Boundless Bio, Serapha and the investors participating in the Serapha Pre-Closing Financing will enter into a registration rights agreement at the closing of the Serapha Pre-Closing Financing, pursuant to which, among other things, the Combined Company will agree to prepare and file a resale registration statement covering the resale of certain shares of Boundless Bio Common Stock within 45 calendar days of the Closing pursuant to Rule 415 and to use its commercially reasonable efforts to keep such registration statement continuously effective under the Securities Act. The registration rights agreement also provides that the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In addition to those registration rights in connection with the Merger, under the Serapha IRA, certain holders of Serapha Capital Stock that are party to the Serapha IRA have certain registration rights, including the right to demand that Serapha file a registration statement, so-called “demand” registration rights, or request that their shares be covered by a registration statement that Serapha is otherwise filing, so-called “piggyback” registration rights. The registration rights granted under the Serapha IRA will terminate, with respect to a holder, upon the earliest to occur of: (i) the closing of a Deemed Liquidation Event (as such term is defined in the Serapha Charter), (ii) such time after Serapha’s initial public offering or direct listing when such holder, together with its affiliates, holds less than 1% of the outstanding Serapha Capital Stock and may immediately sell all of its registrable securities under Rule 144 of the Securities Act, or a similar exemption, without limitation during a three-month period without registration, (iii) the fifth anniversary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205" w:type="dxa"/>
            <w:tcBorders/>
          </w:tcPr>
          <w:p>
            <w:pPr>
              <w:pStyle w:val="TableContents"/>
              <w:bidi w:val="0"/>
              <w:spacing w:before="0" w:after="283"/>
              <w:jc w:val="left"/>
              <w:rPr/>
            </w:pPr>
            <w:r>
              <w:rPr/>
              <w:t>Combined Company will pay certain expenses relating to such registrations and indemnify the applicable securityholders against certain liabilities.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of Serapha’s initial public offering or direct listing, or (iv) the closing of a Reverse Merger Transaction (as such term is defined in the Serapha Charter).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Stock Transfer Restrictions Applicable to Stockholders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Shares of Boundless Bio Common Stock are transferable in the manner prescribed by law and the Boundless Bio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No holder of any of the shares of stock of Serapha may transfer any of the shares of Serapha or any right or interest therein, without the prior written consent of Serapha, upon duly authorized action of the Serapha Board of Directors. Serapha may withhold consent for any legitimate corporate purpose, as determined by the Serapha Board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restriction on transfers set forth in the Serapha Bylaws will terminate upon the date securities of Serapha are first offered to the public pursuant to a registration statement filed with, and declared effective by, the SEC under the Securities 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x108148_36"/>
      <w:bookmarkEnd w:id="72"/>
      <w:r>
        <w:rPr>
          <w:rFonts w:ascii="Times New Roman" w:hAnsi="Times New Roman"/>
          <w:b/>
          <w:sz w:val="20"/>
        </w:rPr>
        <w:t xml:space="preserve">PRINCIPAL STOCKHOLDERS OF BOUNDLESS BIO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Boundless Bio Common Stock at July 31, 2026 for (1) each person, or group of affiliated persons, known to Boundless Bio to be the beneficial owner of more than 5% of its common stock, (2) each of Boundless Bio’s directors, (3) each of Boundless Bio’s named executive officers, and (4) all of Boundless Bio’s current directors and executive officers as a group. Unless otherwise indicated, the address of each beneficial owner listed in the table below is c/o Boundless Bio, Inc., 11099 North Torrey Pines Road, Suite 150, La Jolla, California 92037.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determined beneficial ownership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in the paragraph above through the exercise of any option, warrant, or right, or through the conversion of any convertible security. Except as indicated in the footnotes to the table below, Boundless Bio believes, based on information furnished to it and on SEC filings, that the persons named in the table below have sole voting and sole investment power with respect to all shares of common stock indicated as beneficially owned,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is based on 22,728,285 shares of common stock outstanding as of July 31, 2026. In computing the number of shares of common stock beneficially owned by a person and the percentage ownership of that person, Boundless Bio deemed to be outstanding all shares of common stock subject to options, warrants, rights, or convertible securities held by that person that are currently exercisable or convertible or will be exercisable or convertible within 60 days of July 31, 2026. Boundless Bio did not deem these shares outstanding, however, for the purpose of computing the percentage ownership of any other person.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28"/>
        <w:gridCol w:w="372"/>
        <w:gridCol w:w="137"/>
        <w:gridCol w:w="2248"/>
        <w:gridCol w:w="137"/>
        <w:gridCol w:w="516"/>
        <w:gridCol w:w="206"/>
        <w:gridCol w:w="1533"/>
        <w:gridCol w:w="278"/>
      </w:tblGrid>
      <w:tr>
        <w:trPr/>
        <w:tc>
          <w:tcPr>
            <w:tcW w:w="2328"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2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47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278" w:type="dxa"/>
            <w:tcBorders/>
            <w:vAlign w:val="bottom"/>
          </w:tcPr>
          <w:p>
            <w:pPr>
              <w:pStyle w:val="TableContents"/>
              <w:bidi w:val="0"/>
              <w:spacing w:before="0" w:after="283"/>
              <w:jc w:val="left"/>
              <w:rPr/>
            </w:pPr>
            <w:r>
              <w:rPr/>
              <w:t> </w:t>
            </w:r>
          </w:p>
        </w:tc>
      </w:tr>
      <w:tr>
        <w:trPr/>
        <w:tc>
          <w:tcPr>
            <w:tcW w:w="23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372" w:type="dxa"/>
            <w:tcBorders/>
            <w:vAlign w:val="bottom"/>
          </w:tcPr>
          <w:p>
            <w:pPr>
              <w:pStyle w:val="TableContents"/>
              <w:bidi w:val="0"/>
              <w:spacing w:before="0" w:after="283"/>
              <w:jc w:val="left"/>
              <w:rPr/>
            </w:pPr>
            <w:r>
              <w:rPr/>
              <w:t>  </w:t>
            </w:r>
          </w:p>
        </w:tc>
        <w:tc>
          <w:tcPr>
            <w:tcW w:w="2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7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2248"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328" w:type="dxa"/>
            <w:tcBorders/>
          </w:tcPr>
          <w:p>
            <w:pPr>
              <w:pStyle w:val="TableContents"/>
              <w:bidi w:val="0"/>
              <w:spacing w:before="0" w:after="0"/>
              <w:jc w:val="left"/>
              <w:rPr>
                <w:rFonts w:ascii="Times New Roman" w:hAnsi="Times New Roman"/>
                <w:sz w:val="20"/>
              </w:rPr>
            </w:pPr>
            <w:r>
              <w:rPr>
                <w:rFonts w:ascii="Times New Roman" w:hAnsi="Times New Roman"/>
                <w:sz w:val="20"/>
              </w:rPr>
              <w:t>Entities and individual affiliated with Tang Capital(1)</w:t>
            </w:r>
          </w:p>
        </w:tc>
        <w:tc>
          <w:tcPr>
            <w:tcW w:w="37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48" w:type="dxa"/>
            <w:tcBorders/>
            <w:vAlign w:val="bottom"/>
          </w:tcPr>
          <w:p>
            <w:pPr>
              <w:pStyle w:val="TableContents"/>
              <w:bidi w:val="0"/>
              <w:spacing w:before="0" w:after="283"/>
              <w:jc w:val="right"/>
              <w:rPr/>
            </w:pPr>
            <w:r>
              <w:rPr/>
              <w:t>2,858,935</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12.6</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and individuals affiliated with ARCH Venture Partners (2)</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48" w:type="dxa"/>
            <w:tcBorders/>
            <w:shd w:fill="CCEEFF" w:val="clear"/>
            <w:vAlign w:val="bottom"/>
          </w:tcPr>
          <w:p>
            <w:pPr>
              <w:pStyle w:val="TableContents"/>
              <w:bidi w:val="0"/>
              <w:spacing w:before="0" w:after="283"/>
              <w:jc w:val="right"/>
              <w:rPr/>
            </w:pPr>
            <w:r>
              <w:rPr/>
              <w:t>2,694,095</w:t>
            </w:r>
          </w:p>
        </w:tc>
        <w:tc>
          <w:tcPr>
            <w:tcW w:w="137"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11.9</w:t>
            </w:r>
          </w:p>
        </w:tc>
        <w:tc>
          <w:tcPr>
            <w:tcW w:w="278" w:type="dxa"/>
            <w:tcBorders/>
            <w:shd w:fill="CCEEFF" w:val="clear"/>
            <w:vAlign w:val="bottom"/>
          </w:tcPr>
          <w:p>
            <w:pPr>
              <w:pStyle w:val="TableContents"/>
              <w:bidi w:val="0"/>
              <w:spacing w:before="0" w:after="283"/>
              <w:jc w:val="left"/>
              <w:rPr/>
            </w:pPr>
            <w:r>
              <w:rPr/>
              <w:t>% </w:t>
            </w:r>
          </w:p>
        </w:tc>
      </w:tr>
      <w:tr>
        <w:trPr/>
        <w:tc>
          <w:tcPr>
            <w:tcW w:w="2328" w:type="dxa"/>
            <w:tcBorders/>
          </w:tcPr>
          <w:p>
            <w:pPr>
              <w:pStyle w:val="TableContents"/>
              <w:bidi w:val="0"/>
              <w:spacing w:before="0" w:after="0"/>
              <w:jc w:val="left"/>
              <w:rPr>
                <w:rFonts w:ascii="Times New Roman" w:hAnsi="Times New Roman"/>
                <w:sz w:val="20"/>
              </w:rPr>
            </w:pPr>
            <w:r>
              <w:rPr>
                <w:rFonts w:ascii="Times New Roman" w:hAnsi="Times New Roman"/>
                <w:sz w:val="20"/>
              </w:rPr>
              <w:t>Entities and individuals affiliated with Fidelity (3)</w:t>
            </w:r>
          </w:p>
        </w:tc>
        <w:tc>
          <w:tcPr>
            <w:tcW w:w="37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48" w:type="dxa"/>
            <w:tcBorders/>
            <w:vAlign w:val="bottom"/>
          </w:tcPr>
          <w:p>
            <w:pPr>
              <w:pStyle w:val="TableContents"/>
              <w:bidi w:val="0"/>
              <w:spacing w:before="0" w:after="283"/>
              <w:jc w:val="right"/>
              <w:rPr/>
            </w:pPr>
            <w:r>
              <w:rPr/>
              <w:t>2,684,022</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11.8</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Bayer HealthCare LLC (4)</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48" w:type="dxa"/>
            <w:tcBorders/>
            <w:shd w:fill="CCEEFF" w:val="clear"/>
            <w:vAlign w:val="bottom"/>
          </w:tcPr>
          <w:p>
            <w:pPr>
              <w:pStyle w:val="TableContents"/>
              <w:bidi w:val="0"/>
              <w:spacing w:before="0" w:after="283"/>
              <w:jc w:val="right"/>
              <w:rPr/>
            </w:pPr>
            <w:r>
              <w:rPr/>
              <w:t>1,615,201</w:t>
            </w:r>
          </w:p>
        </w:tc>
        <w:tc>
          <w:tcPr>
            <w:tcW w:w="137"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7.1</w:t>
            </w:r>
          </w:p>
        </w:tc>
        <w:tc>
          <w:tcPr>
            <w:tcW w:w="278" w:type="dxa"/>
            <w:tcBorders/>
            <w:shd w:fill="CCEEFF" w:val="clear"/>
            <w:vAlign w:val="bottom"/>
          </w:tcPr>
          <w:p>
            <w:pPr>
              <w:pStyle w:val="TableContents"/>
              <w:bidi w:val="0"/>
              <w:spacing w:before="0" w:after="283"/>
              <w:jc w:val="left"/>
              <w:rPr/>
            </w:pPr>
            <w:r>
              <w:rPr/>
              <w:t>% </w:t>
            </w:r>
          </w:p>
        </w:tc>
      </w:tr>
      <w:tr>
        <w:trPr/>
        <w:tc>
          <w:tcPr>
            <w:tcW w:w="2328" w:type="dxa"/>
            <w:tcBorders/>
          </w:tcPr>
          <w:p>
            <w:pPr>
              <w:pStyle w:val="TableContents"/>
              <w:bidi w:val="0"/>
              <w:spacing w:before="0" w:after="0"/>
              <w:jc w:val="left"/>
              <w:rPr>
                <w:rFonts w:ascii="Times New Roman" w:hAnsi="Times New Roman"/>
                <w:sz w:val="20"/>
              </w:rPr>
            </w:pPr>
            <w:r>
              <w:rPr>
                <w:rFonts w:ascii="Times New Roman" w:hAnsi="Times New Roman"/>
                <w:sz w:val="20"/>
              </w:rPr>
              <w:t>Entities and individuals affiliated with Citadel Advisors LLC (5)</w:t>
            </w:r>
          </w:p>
        </w:tc>
        <w:tc>
          <w:tcPr>
            <w:tcW w:w="37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48" w:type="dxa"/>
            <w:tcBorders/>
            <w:vAlign w:val="bottom"/>
          </w:tcPr>
          <w:p>
            <w:pPr>
              <w:pStyle w:val="TableContents"/>
              <w:bidi w:val="0"/>
              <w:spacing w:before="0" w:after="283"/>
              <w:jc w:val="right"/>
              <w:rPr/>
            </w:pPr>
            <w:r>
              <w:rPr/>
              <w:t>1,433,388</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6.3</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2248"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328" w:type="dxa"/>
            <w:tcBorders/>
          </w:tcPr>
          <w:p>
            <w:pPr>
              <w:pStyle w:val="TableContents"/>
              <w:bidi w:val="0"/>
              <w:spacing w:before="0" w:after="0"/>
              <w:jc w:val="left"/>
              <w:rPr>
                <w:rFonts w:ascii="Times New Roman" w:hAnsi="Times New Roman"/>
                <w:sz w:val="20"/>
              </w:rPr>
            </w:pPr>
            <w:r>
              <w:rPr>
                <w:rFonts w:ascii="Times New Roman" w:hAnsi="Times New Roman"/>
                <w:sz w:val="20"/>
              </w:rPr>
              <w:t>Zachary D. Hornby (6)</w:t>
            </w:r>
          </w:p>
        </w:tc>
        <w:tc>
          <w:tcPr>
            <w:tcW w:w="37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48" w:type="dxa"/>
            <w:tcBorders/>
            <w:vAlign w:val="bottom"/>
          </w:tcPr>
          <w:p>
            <w:pPr>
              <w:pStyle w:val="TableContents"/>
              <w:bidi w:val="0"/>
              <w:spacing w:before="0" w:after="283"/>
              <w:jc w:val="right"/>
              <w:rPr/>
            </w:pPr>
            <w:r>
              <w:rPr/>
              <w:t>2,426,857</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9.8</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Doebele, M.D., Ph.D. (7)</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48" w:type="dxa"/>
            <w:tcBorders/>
            <w:shd w:fill="CCEEFF" w:val="clear"/>
            <w:vAlign w:val="bottom"/>
          </w:tcPr>
          <w:p>
            <w:pPr>
              <w:pStyle w:val="TableContents"/>
              <w:bidi w:val="0"/>
              <w:spacing w:before="0" w:after="283"/>
              <w:jc w:val="right"/>
              <w:rPr/>
            </w:pPr>
            <w:r>
              <w:rPr/>
              <w:t>410,000</w:t>
            </w:r>
          </w:p>
        </w:tc>
        <w:tc>
          <w:tcPr>
            <w:tcW w:w="137"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1.8</w:t>
            </w:r>
          </w:p>
        </w:tc>
        <w:tc>
          <w:tcPr>
            <w:tcW w:w="278" w:type="dxa"/>
            <w:tcBorders/>
            <w:shd w:fill="CCEEFF" w:val="clear"/>
            <w:vAlign w:val="bottom"/>
          </w:tcPr>
          <w:p>
            <w:pPr>
              <w:pStyle w:val="TableContents"/>
              <w:bidi w:val="0"/>
              <w:spacing w:before="0" w:after="283"/>
              <w:jc w:val="left"/>
              <w:rPr/>
            </w:pPr>
            <w:r>
              <w:rPr/>
              <w:t>% </w:t>
            </w:r>
          </w:p>
        </w:tc>
      </w:tr>
      <w:tr>
        <w:trPr/>
        <w:tc>
          <w:tcPr>
            <w:tcW w:w="2328" w:type="dxa"/>
            <w:tcBorders/>
          </w:tcPr>
          <w:p>
            <w:pPr>
              <w:pStyle w:val="TableContents"/>
              <w:bidi w:val="0"/>
              <w:spacing w:before="0" w:after="0"/>
              <w:jc w:val="left"/>
              <w:rPr>
                <w:rFonts w:ascii="Times New Roman" w:hAnsi="Times New Roman"/>
                <w:sz w:val="20"/>
              </w:rPr>
            </w:pPr>
            <w:r>
              <w:rPr>
                <w:rFonts w:ascii="Times New Roman" w:hAnsi="Times New Roman"/>
                <w:sz w:val="20"/>
              </w:rPr>
              <w:t>Christian Hassig, Ph.D. (8)</w:t>
            </w:r>
          </w:p>
        </w:tc>
        <w:tc>
          <w:tcPr>
            <w:tcW w:w="37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48" w:type="dxa"/>
            <w:tcBorders/>
            <w:vAlign w:val="bottom"/>
          </w:tcPr>
          <w:p>
            <w:pPr>
              <w:pStyle w:val="TableContents"/>
              <w:bidi w:val="0"/>
              <w:spacing w:before="0" w:after="283"/>
              <w:jc w:val="right"/>
              <w:rPr/>
            </w:pPr>
            <w:r>
              <w:rPr/>
              <w:t>681,923</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2.9</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E. Lim, M.D. (9)</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48" w:type="dxa"/>
            <w:tcBorders/>
            <w:shd w:fill="CCEEFF" w:val="clear"/>
            <w:vAlign w:val="bottom"/>
          </w:tcPr>
          <w:p>
            <w:pPr>
              <w:pStyle w:val="TableContents"/>
              <w:bidi w:val="0"/>
              <w:spacing w:before="0" w:after="283"/>
              <w:jc w:val="right"/>
              <w:rPr/>
            </w:pPr>
            <w:r>
              <w:rPr/>
              <w:t>786,845</w:t>
            </w:r>
          </w:p>
        </w:tc>
        <w:tc>
          <w:tcPr>
            <w:tcW w:w="137"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3.4</w:t>
            </w:r>
          </w:p>
        </w:tc>
        <w:tc>
          <w:tcPr>
            <w:tcW w:w="278" w:type="dxa"/>
            <w:tcBorders/>
            <w:shd w:fill="CCEEFF" w:val="clear"/>
            <w:vAlign w:val="bottom"/>
          </w:tcPr>
          <w:p>
            <w:pPr>
              <w:pStyle w:val="TableContents"/>
              <w:bidi w:val="0"/>
              <w:spacing w:before="0" w:after="283"/>
              <w:jc w:val="left"/>
              <w:rPr/>
            </w:pPr>
            <w:r>
              <w:rPr/>
              <w:t>% </w:t>
            </w:r>
          </w:p>
        </w:tc>
      </w:tr>
      <w:tr>
        <w:trPr/>
        <w:tc>
          <w:tcPr>
            <w:tcW w:w="2328" w:type="dxa"/>
            <w:tcBorders/>
          </w:tcPr>
          <w:p>
            <w:pPr>
              <w:pStyle w:val="TableContents"/>
              <w:bidi w:val="0"/>
              <w:spacing w:before="0" w:after="0"/>
              <w:jc w:val="left"/>
              <w:rPr>
                <w:rFonts w:ascii="Times New Roman" w:hAnsi="Times New Roman"/>
                <w:sz w:val="20"/>
              </w:rPr>
            </w:pPr>
            <w:r>
              <w:rPr>
                <w:rFonts w:ascii="Times New Roman" w:hAnsi="Times New Roman"/>
                <w:sz w:val="20"/>
              </w:rPr>
              <w:t>James Christensen, Ph.D. (10)</w:t>
            </w:r>
          </w:p>
        </w:tc>
        <w:tc>
          <w:tcPr>
            <w:tcW w:w="37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48" w:type="dxa"/>
            <w:tcBorders/>
            <w:vAlign w:val="bottom"/>
          </w:tcPr>
          <w:p>
            <w:pPr>
              <w:pStyle w:val="TableContents"/>
              <w:bidi w:val="0"/>
              <w:spacing w:before="0" w:after="283"/>
              <w:jc w:val="right"/>
              <w:rPr/>
            </w:pPr>
            <w:r>
              <w:rPr/>
              <w:t>102,756</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Lew (11)</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48" w:type="dxa"/>
            <w:tcBorders/>
            <w:shd w:fill="CCEEFF" w:val="clear"/>
            <w:vAlign w:val="bottom"/>
          </w:tcPr>
          <w:p>
            <w:pPr>
              <w:pStyle w:val="TableContents"/>
              <w:bidi w:val="0"/>
              <w:spacing w:before="0" w:after="283"/>
              <w:jc w:val="right"/>
              <w:rPr/>
            </w:pPr>
            <w:r>
              <w:rPr/>
              <w:t>102,756</w:t>
            </w:r>
          </w:p>
        </w:tc>
        <w:tc>
          <w:tcPr>
            <w:tcW w:w="137"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2328" w:type="dxa"/>
            <w:tcBorders/>
          </w:tcPr>
          <w:p>
            <w:pPr>
              <w:pStyle w:val="TableContents"/>
              <w:bidi w:val="0"/>
              <w:spacing w:before="0" w:after="0"/>
              <w:jc w:val="left"/>
              <w:rPr>
                <w:rFonts w:ascii="Times New Roman" w:hAnsi="Times New Roman"/>
                <w:sz w:val="20"/>
              </w:rPr>
            </w:pPr>
            <w:r>
              <w:rPr>
                <w:rFonts w:ascii="Times New Roman" w:hAnsi="Times New Roman"/>
                <w:sz w:val="20"/>
              </w:rPr>
              <w:t>Nancy Whiting, Pharm.D. (12)</w:t>
            </w:r>
          </w:p>
        </w:tc>
        <w:tc>
          <w:tcPr>
            <w:tcW w:w="37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48" w:type="dxa"/>
            <w:tcBorders/>
            <w:vAlign w:val="bottom"/>
          </w:tcPr>
          <w:p>
            <w:pPr>
              <w:pStyle w:val="TableContents"/>
              <w:bidi w:val="0"/>
              <w:spacing w:before="0" w:after="283"/>
              <w:jc w:val="right"/>
              <w:rPr/>
            </w:pPr>
            <w:r>
              <w:rPr/>
              <w:t>102,756</w:t>
            </w:r>
          </w:p>
        </w:tc>
        <w:tc>
          <w:tcPr>
            <w:tcW w:w="13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(six persons) (13)</w:t>
            </w:r>
          </w:p>
        </w:tc>
        <w:tc>
          <w:tcPr>
            <w:tcW w:w="37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48" w:type="dxa"/>
            <w:tcBorders/>
            <w:shd w:fill="CCEEFF" w:val="clear"/>
            <w:vAlign w:val="bottom"/>
          </w:tcPr>
          <w:p>
            <w:pPr>
              <w:pStyle w:val="TableContents"/>
              <w:bidi w:val="0"/>
              <w:spacing w:before="0" w:after="283"/>
              <w:jc w:val="right"/>
              <w:rPr/>
            </w:pPr>
            <w:r>
              <w:rPr/>
              <w:t>1,916,042</w:t>
            </w:r>
          </w:p>
        </w:tc>
        <w:tc>
          <w:tcPr>
            <w:tcW w:w="137"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8.0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Tang Capital Partners, LP (“TCP”) has shared voting and dispositive power over 655,170 shares of common stock, Tang Capital Partners International, LP (“TCPI”) has shared voting and dispositive power over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893,434 shares of common stock, Tang Capital Partners III, Inc. (“TCP3”) has shared voting and dispositive power over 655,161 shares of common stock, and Tang Capital Partners IV, Inc. (“TCP4”) has shared voting and dispositive power over 655,170 shares of common stock. Tang Capital Management, LLC (“TCM”) is the general partner of TCP and TCPI and shares voting and dispositive power over shares of common stock held by TCP and TCPI. Kevin Tang is the sole manager of TCM and the sole director and Chief Executive Officer of TCP3 and TCP4 and shares voting and dispositive power over shares of common stock held by TCP, TCPI, TCP3 and TCP4. The business address for each of TCM, Kevin Tang, TCP and TCPI is 4747 Executive Drive, Suite 210, San Diego, CA 92121. The address of TCP3 and TCP4 is 400 S. 4th Street, 3rd Floor, Las Vegas, NV 89101. The information herein is based on the information in the Schedule 13G filed by TCM, Kevin Tang, TCP, TCPI, TCP3 and TCP4 with the SEC on June 29, 2026 and the Form 4 filed by TCM and Kevin Tang on July 21,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683,759 shares of common stock (the “AVF IX Shares”) held by ARCH Venture Fund IX, L.P. (“AVF IX”), 828,570 shares of common stock (the “AVF IX Overage Shares”) held by ARCH Venture Fund IX Overage, L.P. (“AVF IX Overage”), and 1,181,766 shares of common stock (the “AVF X Overage Shares”) held by ARCH Venture Fund X Overage, L.P. (“AVF X Overage”). ARCH Venture Partners IX, L.P. (“AVP IX GP”), as the sole general partner of AVF IX, may be deemed to beneficially own the AVF IX Shares. ARCH Venture Partners IX Overage, L.P. (“AVP IX Overage GP”), as the sole general partner of AVF IX Overage, may be deemed to beneficially own the AVF IX Overage shares, combined with AVF IX Shares (the “IX Record Shares”). ARCH Venture Partners X Overage, L.P. (“AVP X Overage GP”), as the sole general partner of AVF X Overage, may be deemed to beneficially own the AVF X Overage Shares. ARCH Venture Partners IX, LLC (“AVP IX LLC”), as the sole general partner of AVP IX GP and AVP IX Overage GP, may be deemed to beneficially own the IX Record Shares. As managing directors of AVP IX LLC, each of Keith Crandell, Robert Nelsen and Clinton Bybee (collectively, the “Managing Directors” and each a “Managing Director”), may also be deemed to share the power to direct the disposition and vote of the IX Record Shares. ARCH Venture Partners X, LLC (“AVP X LLC”), as the sole general partner of AVP X Overage GP, may be deemed to beneficially own the AVF X Overage Shares. As Investment Committee Members of AVP X LLC, each of Mr. Crandell, Mr. Nelsen, Steven Gillis, and Kristina Burow (collectively the “Investment Committee” and each a “Committee Member”) may also be deemed to share the power to direct the disposition and vote of the AVF X Overage Shares. By virtue of their relationship as affiliated entities who have overlapping general partners and investment committee members, each of the Committee Members and direct and indirect general partners of AVF IX, AVF IX Overage, and AVF X Overage may be deemed to share the power to direct the IX Record Shares, AVF IX Overage Shares, and AVF X Overage Shares (collectively the “Record Shares”). Each of AVF IX, AVP IX GP, AVP IX LLC, AVF IX Overage, AVP IX Overage GP, AVF X Overage, AVP X Overage GP, AVP X LLC, each Managing Director, and each Committee Member (collectively, the “ARCH Persons”) disclaims beneficial ownership of the Record Shares except for the shares, if any, held of record by such ARCH Person. The business address of each ARCH Person is 8755 W. Higgins Road, Suite 1025, Chicago, Illinois 60631. The information herein is based on information in the Schedule 13D filed by the ARCH Persons with the SEC on October 29, 2024. Ms. Burow, a member of the Boundless Bio Board of Directors, owns an interest in AVF IX and AVF IX Overage but does not have voting or dispositive power over the shares held by AVF IX and AVF IX Overage and disclaims beneficial ownership of such shares, except to the extent of any pecuniary interest therein. See footnote (9) below for information regarding Ms. Burow’s beneficial ownership.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beneficially owned, or may be deemed to be beneficially owned, by FMR LLC, certain of its subsidiaries and affiliates, and other companies, including the following subsidiaries of FMR LLC, the parent holding company: Fidelity Institutional Asset Management Trust Company (a bank); Fidelity Management &amp; Research Company LLC (an investment advisor); and Fidelity Management Trust Company (a bank). Members of the Johnson family, including Abigail P. Johnson, a Director, the Chairman, and the Chief Executive Officer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shareholders’ voting agreement, members of the Johnson family may be deemed, under the Investment Company Act of 1940, to form a controlling group with respect to FMR LLC. FMR LLC has sole voting power with respect to 2,681,049 shares of Boundless Bio Common Stock, and sole dispositive power with respect to 2,684,022 shares of Boundless Bio Common Stock. One or more other persons are known to FMR LLC to have the right to receive or the power to direct the receipt of dividends from, or the proceeds from the sale of, such shares of Boundless Bio Common Stock. The interest of Fidelity Growth Company Commingled Pool in such shares of Boundless Bio Common Stock amounts to 1,237,265 shares. The address of FMR LLC is 245 Summer Street, Boston, Massachusetts 02210. The business address of FMR LLC is 245 Summer Street, Boston, Massachusetts 02210. The information herein is based on the information in Amendment No. 1 to Schedule 13G filed by FMR LLC and Ms. Johnson with the SEC on February 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Bayer HealthCare LLC (“BHC”) is the direct beneficial owner of these shares. BHC is controlled by Bayer US Holding LP (“BUSH LP”). Bayer World Investments B.V. (“BWI”) is the general partner of BUSH LP. BWI is an indirect, wholly owned subsidiary of Bayer Aktiengesellschaft (“Bayer AG”). Bayer AG may be deemed to be an indirect beneficial owner of the shares beneficially owned directly by BHC. BHC, BUSH LP, BWI, and Bayer AG share voting and dispositive power over the shares beneficially owned directly by BHC. The business address for BHC and BUSH LP is 100 Bayer Boulevard, Whippany, New Jersey 07981. The business address for BWI is Siriusdreef 36, 2132 WT Hoofddorp, The Netherlands. The business address for Bayer AG is Kaiser-Wilhelm-Allee 1, 51368 Leverkusen, Germany. The information herein is based on information in the Schedule 13G filed by BHC, BUSH LP, BWI, and Bayer AG with the SEC on April 9,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(collectively, the “Citadel Reported Shares”) are owned by Citadel Multi-Strategy Equities Master Fund Ltd. (“CM”) and Citadel Securities LLC (“Citadel Securities”). Citadel Advisors LLC (“Citadel Advisors”) is the portfolio manager for CM. Citadel Advisors Holdings LP (“CAH”) is the sole member of Citadel Advisors. Citadel GP LLC (“CGP”) is the general partner of CAH. Citadel Securities Group LP (“CALC4”) is the non-member manager of Citadel Securities. Citadel Securities GP LLC (“CSGP”) is the general partner of CALC4. Kenneth Griffin is the President and Chief Executive Officer of CGP and owns a controlling interest in CGP and CSGP. Each of Citadel Advisors, CAH, and CGP may be deemed to beneficially own 830,936 of the Citadel Reported Shares. Citadel Securities may be deemed to beneficially own 602,452 of the Citadel Reported Shares. Each of CALC4 and CSGP may be deemed to beneficially own 602,452 of the Citadel Reported Shares. Mr. Griffin may be deemed to beneficially own all 1,433,388 of the Citadel Reported Shares. Each of Citadel Advisors, CAH, and CGP has shared voting power with respect to 830,936 of the Citadel Reported Shares. Citadel Securities has shared voting power with respect to 602,452 of the Citadel Reported Shares. Each of CALC4 and CSGP has shared voting power with respect to 602,452 of the Citadel Reported Shares. Mr. Griffin has shared voting power with respect to all 1,433,388 of the Citadel Reported Shares. Each of Citadel Advisors, CAH, and CGP has shared dispositive power with respect to 830,936 of the Citadel Reported Shares. Citadel Securities has shared dispositive power with respect to 602,452 of the Citadel Reported Shares. Each of CALC4 and CSGP has shared dispositive power with respect to 602,452 of the Citadel Reported Shares. Mr. Griffin has shared dispositive power with respect to all 1,433,388 of the Citadel Reported Shares. The business address of each of Citadel Advisors, CAH, CGP, Citadel Securities, CALC4, CSGP, and Mr. Griffin (the “Citadel Reporting Persons”) is 830 Brickell Plaza, Miami, Florida 33131. The information herein is based on information in the Schedule 13G jointly filed by Citadel Reporting Persons with the SEC on December 4, 2025. The filing of the Schedule 13G by the Citadel Reporting Persons shall not be construed as an admission that any of the Citadel Reporting Persons is the beneficial owner of any of the Citadel Reported Shares other than the securities actually owned by such person (if 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256,410 shares of common stock and (ii) 2,170,447 shares of common stock underlying options that are exercisable as of July 31, 2026, or that will become exercisable within 60 days after such date. Mr. Hornby ceased being an officer and director of Boundless Bio effective July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410,000 shares of common stock underlying options that are exercisable as of July 31, 2026, or that will become exercisable within 60 days after such date. Dr. Doebele ceased being an officer of Boundless Bio effective July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25,641 shares of common stock and (ii) 656,282 shares of common stock underlying options that are exercisable as of July 31, 2026, or that will become exercisable within 60 days after such date. Dr. Hassig ceased being an officer of Boundless Bio effective July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102,564 shares of common stock held by a family trust of Dr. Lim, for which he and his spouse are co-trustees and share voting and dispositive power over the securities held by the trust, (ii) 550,915 shares of common stock held by City Hill, LLC for which Dr. Lim serves as the managing partner and exercises voting and dispositive control over the securities held by City Hill, and (iii) 133,366 shares of common stock underlying options that are exercisable as of July 31, 2026, or that will become exercisable within 60 days after such date. Dr. Lim disclaims beneficial ownership of the shares held by City Hill, except to the extent of any pecuniary interest therein.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102,756 shares of common stock underlying options that are exercisable as of July 31, 2026,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102,756 shares of common stock underlying options that are exercisable as of July 31, 2026,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102,756 shares of common stock underlying options that are exercisable as of July 31, 2026,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shares described in footnotes 9 through 12, as well as (i) 501,669 shares of common stock underlying options held by Jessica Oien, J.D. that are exercisable as of July 31, 2026, or that will become exercisable within 60 days after such date, and (ii) 100 shares of common stock held by David Hinkle and 319,160 shares of common stock underlying options held by Mr. Hinkle that are exercisable as of July 31, 2026, or that will become exercisable within 60 days after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x108148_37"/>
      <w:bookmarkEnd w:id="73"/>
      <w:r>
        <w:rPr>
          <w:rFonts w:ascii="Times New Roman" w:hAnsi="Times New Roman"/>
          <w:b/>
          <w:sz w:val="20"/>
        </w:rPr>
        <w:t xml:space="preserve">PRINCIPAL STOCKHOLDERS OF SERAPHA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Serapha regarding beneficial ownership of Serapha Common Stock on an as-converted to Serapha Common Stock basis as of July 31,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Serapha’s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Serapha’s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Serapha’s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Serapha to beneficially own greater than 5% of Serapha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Serapha’s securities. Under such rules, beneficial ownership includes any shares over which the individual has sole or shared voting power or investment power as well as any shares that the individual has the right to acquire within 60 days of the date of this table. Shares of Serapha Common Stock that an individual has the right to acquire within 60 days of the date of this table are deemed to be outstanding and beneficially owned by the individual for the purpose of computing the percentage ownership of that individual, but they are not treated as outstanding for the purpose of computing the percentage ownership of any other person. To Serapha’s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Serapha Pre-Closing Financing in the table below is based on 36,768,708 shares of Serapha Common Stock deemed to be outstanding as of the date of this table, assuming the conversion of all outstanding shares of Serapha Preferred Stock into shares of Serapha Common Stock. The following table does not reflect any shares of Serapha Common Stock or Serapha Pre-Funded Warrants that such holders have agreed to purchase in the Serapha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Serapha Bio, Inc., 40 10th Avenue, Floor 7, New York, NY 10014.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89"/>
        <w:gridCol w:w="263"/>
        <w:gridCol w:w="98"/>
        <w:gridCol w:w="1805"/>
        <w:gridCol w:w="60"/>
        <w:gridCol w:w="263"/>
        <w:gridCol w:w="227"/>
        <w:gridCol w:w="1670"/>
        <w:gridCol w:w="280"/>
      </w:tblGrid>
      <w:tr>
        <w:trPr/>
        <w:tc>
          <w:tcPr>
            <w:tcW w:w="3089"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263" w:type="dxa"/>
            <w:tcBorders/>
            <w:vAlign w:val="bottom"/>
          </w:tcPr>
          <w:p>
            <w:pPr>
              <w:pStyle w:val="TableContents"/>
              <w:bidi w:val="0"/>
              <w:spacing w:before="0" w:after="283"/>
              <w:jc w:val="left"/>
              <w:rPr/>
            </w:pPr>
            <w:r>
              <w:rPr/>
              <w:t>  </w:t>
            </w:r>
          </w:p>
        </w:tc>
        <w:tc>
          <w:tcPr>
            <w:tcW w:w="1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OUTSTANDING</w:t>
              <w:br/>
              <w:t>BENEFICIALLY</w:t>
              <w:br/>
              <w:t>OWNED</w:t>
            </w:r>
          </w:p>
        </w:tc>
        <w:tc>
          <w:tcPr>
            <w:tcW w:w="280" w:type="dxa"/>
            <w:tcBorders/>
            <w:vAlign w:val="bottom"/>
          </w:tcPr>
          <w:p>
            <w:pPr>
              <w:pStyle w:val="TableContents"/>
              <w:bidi w:val="0"/>
              <w:spacing w:before="0" w:after="283"/>
              <w:jc w:val="left"/>
              <w:rPr/>
            </w:pPr>
            <w:r>
              <w:rPr/>
              <w:t> </w:t>
            </w:r>
          </w:p>
        </w:tc>
      </w:tr>
      <w:tr>
        <w:trPr/>
        <w:tc>
          <w:tcPr>
            <w:tcW w:w="308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67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08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RTW Investments, LP(1)</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10,767,111</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29.3</w:t>
            </w:r>
          </w:p>
        </w:tc>
        <w:tc>
          <w:tcPr>
            <w:tcW w:w="280" w:type="dxa"/>
            <w:tcBorders/>
            <w:vAlign w:val="bottom"/>
          </w:tcPr>
          <w:p>
            <w:pPr>
              <w:pStyle w:val="TableContents"/>
              <w:bidi w:val="0"/>
              <w:spacing w:before="0" w:after="283"/>
              <w:jc w:val="left"/>
              <w:rPr/>
            </w:pPr>
            <w:r>
              <w:rPr/>
              <w:t>% </w:t>
            </w:r>
          </w:p>
        </w:tc>
      </w:tr>
      <w:tr>
        <w:trPr/>
        <w:tc>
          <w:tcPr>
            <w:tcW w:w="3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Management(2)</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9,862,867</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26.8</w:t>
            </w:r>
          </w:p>
        </w:tc>
        <w:tc>
          <w:tcPr>
            <w:tcW w:w="280" w:type="dxa"/>
            <w:tcBorders/>
            <w:shd w:fill="CCEEFF" w:val="clear"/>
            <w:vAlign w:val="bottom"/>
          </w:tcPr>
          <w:p>
            <w:pPr>
              <w:pStyle w:val="TableContents"/>
              <w:bidi w:val="0"/>
              <w:spacing w:before="0" w:after="283"/>
              <w:jc w:val="left"/>
              <w:rPr/>
            </w:pPr>
            <w:r>
              <w:rPr/>
              <w:t>% </w:t>
            </w:r>
          </w:p>
        </w:tc>
      </w:tr>
      <w:tr>
        <w:trPr/>
        <w:tc>
          <w:tcPr>
            <w:tcW w:w="308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 US LLC(3)</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4,000,266</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10.9</w:t>
            </w:r>
          </w:p>
        </w:tc>
        <w:tc>
          <w:tcPr>
            <w:tcW w:w="280" w:type="dxa"/>
            <w:tcBorders/>
            <w:vAlign w:val="bottom"/>
          </w:tcPr>
          <w:p>
            <w:pPr>
              <w:pStyle w:val="TableContents"/>
              <w:bidi w:val="0"/>
              <w:spacing w:before="0" w:after="283"/>
              <w:jc w:val="left"/>
              <w:rPr/>
            </w:pPr>
            <w:r>
              <w:rPr/>
              <w:t>% </w:t>
            </w:r>
          </w:p>
        </w:tc>
      </w:tr>
      <w:tr>
        <w:trPr/>
        <w:tc>
          <w:tcPr>
            <w:tcW w:w="3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YolTech Therapeutics Co., Ltd.(4)</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4,040,068</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9.9</w:t>
            </w:r>
          </w:p>
        </w:tc>
        <w:tc>
          <w:tcPr>
            <w:tcW w:w="280" w:type="dxa"/>
            <w:tcBorders/>
            <w:shd w:fill="CCEEFF" w:val="clear"/>
            <w:vAlign w:val="bottom"/>
          </w:tcPr>
          <w:p>
            <w:pPr>
              <w:pStyle w:val="TableContents"/>
              <w:bidi w:val="0"/>
              <w:spacing w:before="0" w:after="283"/>
              <w:jc w:val="left"/>
              <w:rPr/>
            </w:pPr>
            <w:r>
              <w:rPr/>
              <w:t>% </w:t>
            </w:r>
          </w:p>
        </w:tc>
      </w:tr>
      <w:tr>
        <w:trPr/>
        <w:tc>
          <w:tcPr>
            <w:tcW w:w="308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Capital(5)</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3,333,555</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9.1</w:t>
            </w:r>
          </w:p>
        </w:tc>
        <w:tc>
          <w:tcPr>
            <w:tcW w:w="280" w:type="dxa"/>
            <w:tcBorders/>
            <w:vAlign w:val="bottom"/>
          </w:tcPr>
          <w:p>
            <w:pPr>
              <w:pStyle w:val="TableContents"/>
              <w:bidi w:val="0"/>
              <w:spacing w:before="0" w:after="283"/>
              <w:jc w:val="left"/>
              <w:rPr/>
            </w:pPr>
            <w:r>
              <w:rPr/>
              <w:t>% </w:t>
            </w:r>
          </w:p>
        </w:tc>
      </w:tr>
      <w:tr>
        <w:trPr/>
        <w:tc>
          <w:tcPr>
            <w:tcW w:w="3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Vivo Capital(6)</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2,000,133</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5.4</w:t>
            </w:r>
          </w:p>
        </w:tc>
        <w:tc>
          <w:tcPr>
            <w:tcW w:w="280" w:type="dxa"/>
            <w:tcBorders/>
            <w:shd w:fill="CCEEFF" w:val="clear"/>
            <w:vAlign w:val="bottom"/>
          </w:tcPr>
          <w:p>
            <w:pPr>
              <w:pStyle w:val="TableContents"/>
              <w:bidi w:val="0"/>
              <w:spacing w:before="0" w:after="283"/>
              <w:jc w:val="left"/>
              <w:rPr/>
            </w:pPr>
            <w:r>
              <w:rPr/>
              <w:t>% </w:t>
            </w:r>
          </w:p>
        </w:tc>
      </w:tr>
      <w:tr>
        <w:trPr/>
        <w:tc>
          <w:tcPr>
            <w:tcW w:w="308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Named Directors and Executive Officers</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167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Mills</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9" w:type="dxa"/>
            <w:tcBorders/>
          </w:tcPr>
          <w:p>
            <w:pPr>
              <w:pStyle w:val="TableContents"/>
              <w:bidi w:val="0"/>
              <w:spacing w:before="0" w:after="0"/>
              <w:jc w:val="left"/>
              <w:rPr>
                <w:rFonts w:ascii="Times New Roman" w:hAnsi="Times New Roman"/>
                <w:sz w:val="20"/>
              </w:rPr>
            </w:pPr>
            <w:r>
              <w:rPr>
                <w:rFonts w:ascii="Times New Roman" w:hAnsi="Times New Roman"/>
                <w:sz w:val="20"/>
              </w:rPr>
              <w:t>Christina Allgeier</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Piratip Pratumsuwan</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9" w:type="dxa"/>
            <w:tcBorders/>
          </w:tcPr>
          <w:p>
            <w:pPr>
              <w:pStyle w:val="TableContents"/>
              <w:bidi w:val="0"/>
              <w:spacing w:before="0" w:after="0"/>
              <w:jc w:val="left"/>
              <w:rPr>
                <w:rFonts w:ascii="Times New Roman" w:hAnsi="Times New Roman"/>
                <w:sz w:val="20"/>
              </w:rPr>
            </w:pPr>
            <w:r>
              <w:rPr>
                <w:rFonts w:ascii="Times New Roman" w:hAnsi="Times New Roman"/>
                <w:sz w:val="20"/>
              </w:rPr>
              <w:t>Paul Lu</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Laura Tadvalkar</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9" w:type="dxa"/>
            <w:tcBorders/>
          </w:tcPr>
          <w:p>
            <w:pPr>
              <w:pStyle w:val="TableContents"/>
              <w:bidi w:val="0"/>
              <w:spacing w:before="0" w:after="0"/>
              <w:jc w:val="left"/>
              <w:rPr>
                <w:rFonts w:ascii="Times New Roman" w:hAnsi="Times New Roman"/>
                <w:sz w:val="20"/>
              </w:rPr>
            </w:pPr>
            <w:r>
              <w:rPr>
                <w:rFonts w:ascii="Times New Roman" w:hAnsi="Times New Roman"/>
                <w:sz w:val="20"/>
              </w:rPr>
              <w:t>Matthew Hammond</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Victor Tong</w:t>
            </w:r>
          </w:p>
        </w:tc>
        <w:tc>
          <w:tcPr>
            <w:tcW w:w="26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9"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(7 persons)</w:t>
            </w:r>
          </w:p>
        </w:tc>
        <w:tc>
          <w:tcPr>
            <w:tcW w:w="26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4,100,000 shares of Serapha Common Stock and 6,667,111 shares of Serapha Preferred Stock held by RTW Holdings X, LLC (“RTW Holdings X”). RTW Fund Group GP, LLC (“RTW Fund Group”), in its capacity as the manager of RTW Holdings X, has the power to vote and the power to direct the disposition of the shares held by RTW Holdings X. Accordingly, RTW Fund Group may be deemed to be the beneficial owner of such securities. Roderick Wong, M.D., as the Managing Member of RTW Fund Group, has the power to direct the vote and disposition of the securities held by RTW Holdings X, and Peter Fong is a Member of RTW Fund Group. Each of Dr. Wong and Mr. Fong disclaims beneficial ownership of the shares held by RTW Holdings X, except to the extent of his respective pecuniary interest therein. RTW Holdings X is an affiliate of Piratip Pratumsuwan and Paul Lu, each a Serapha director. The address and principal office of RTW Fund Group GP, LLC is 40 10th Avenue, Floor 7, New York, NY 10014, and the address of each of Dr. Wong, Mr. Fong and RTW Holdings X is c/o RTW Fund Group GP, LLC, 40 10th Avenue, Floor 7, New York, NY 10014.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1,862,334 shares of Serapha Common Stock and 8,000,533 shares of Serapha Preferred Stock held by entities affiliated with RA Capital Management, L.P. RA Capital Management, L.P., is the investment manager for RA Capital Nexus Fund IV, L.P., and RA Capital Healthcare Fund, L.P. Peter Kolchinsky, Ph.D. and Rajeev Shah are the managing members of RA Capital Management GP, LLC. Each of Dr. Kolchinsky and Mr. Shah disclaims beneficial ownership of the securities held by RA Capital Nexus Fund IV, L.P., and RA Capital Healthcare Fund, L.P., except to the extent of any pecuniary interest therein, if any. RA Capital Management, L.P. is an affiliate of Laura Tadvalkar and Matthew Hammond, each a Serapha director. The address of RA Capital Nexus Fund IV, L.P., and RA Capital Healthcare Fund, L.P.,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4,000,266 shares of Serapha Preferred Stock held by Janus Henderson Biotech Innovation Master Fund Limited (“Janus Master Fund”). Such shares may be deemed to be beneficially owned by Janus Henderson Investors US LLC (“Janus”), an investment adviser registered under the Investment Advisers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4,040,068 shares of Serapha Common Stock issuable upon conversion of 4,040,068 shares of Serapha Series A-1 Preferred Stock issuable upon the exercise of the YolTech Warrant held by YolTech Therapeutics Co., Ltd. (“YolTech”). Excludes 7,648,387 shares of Serapha Common Stock issuable upon conversion of 7,648,387 shares of Serapha Series A-1 Preferred Stock issuable upon the exercise of the YolTech Warrant held by YolTech. The YolTech Warrant is subject to a beneficial ownership limitation of 9.9%. The YolTech Warrant was issued to YolTech on June 12, 2026 in connection with the YolTech License Agreement and entitles YolTech to acquire a number of shares of Serapha Series A-1 Preferred Stock representing approximately 19.9% of Serapha’s fully-diluted capitalization measured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(after taking into account the 2026 Stock Plan and 2026 ESPP). The address of YolTech is Room 605, Building 5, No. 799 Dangui Road, China (Shanghai) Pilot Free Trade Zone, Pudong New Area, Shanghai 201203, the People’s Republic of China.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3,006,255 shares of Serapha Preferred Stock held by Decheng Capital Global Life Sciences Fund V, L.P. (“Decheng Fund V”), (ii) 196,380 shares of Serapha Preferred Stock held by Decheng Capital Global Life Sciences Fund V-A, L.P. (“Decheng Fund V-A”) and (iii) 130,920 shares of Serapha Preferred Stock held by Decheng Capital Global Life Sciences Fund V-B, L.P. (“Decheng Fund V-B”). Decheng Capital Management V (Cayman), LLC (“Decheng GP V”) is the sole general partner of each of Decheng Fund V, Decheng Fund V-A and Decheng Fund V-B. Dr. Xiangmin Cui is the manager of Decheng GP V. Decheng Capital is an affiliate of Victor Tong, a Serapha director. The address of the entities affiliated with Decheng Capital is 3000 Sand Hill Road, Building 2, Suite 110,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1,211,091 shares of Serapha Preferred Stock held by Vivo Opportunity Fund Holdings, L.P. (“Vivo Opportunity Fund”), (ii) 122,331 shares of Serapha Preferred Stock held by Vivo Opportunity Cayman Fund, L.P. (“Vivo Cayman Fund”) and (iii) 666,711 shares of Serapha Preferred Stock held by Vivo Innovation Fund II Holdings, L.P. (“Vivo Innovation Fund” and together with Vivo Opportunity Fund and Vivo Cayman Fund, the “Vivo Funds”). Vivo Opportunity, LLC is the general partner of Vivo Opportunity Fund. Vivo Opportunity Cayman, LLC is the general partner of Vivo Cayman Fund. Vivo Innovation II, LLC is the general partner of Vivo Innovation Fund. The voting members of each of Vivo Opportunity, LLC, Vivo Opportunity Cayman, LLC and Vivo Innovation II, LLC are Kevin Dai, Gaurav Aggarwal, Frank Kung and Shan Fu, none of whom has individual voting or investment power with respect to the shares held by Vivo Opportunity Fund, Vivo Cayman Fund or Vivo Innovation Fund. The address of the individuals and entities referenced in this footnote is 192 Lytton Avenue, Palo Alto, California 94301.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x108148_38"/>
      <w:bookmarkEnd w:id="74"/>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Nasdaq Reverse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 common stock immediately after consummation of the Merger, assuming the consummation of the Merger occurred on    ,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Boundless Bio and Serapha to be the beneficial owner of more than 5% of the Combined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or entity has the right to acquire within 60 days of    , 2026. Shares of the Combined Company common stock that an individual or entity has the right to acquire within 60 days of     , 2026 are deemed to be outstanding and beneficially owned by the individual or entity for the purpose of computing the percentage ownership of that individual or entity, but they are not treated as outstanding for the purpose of computing the percentage ownership of any other person. To Boundless Bio’s and Serapha’s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shares of Combined Company common stock expected to be outstanding upon consummation of the Merger, after giving effect to the anticipated Serapha Pre-Closing Financing and prior to giving effect to the anticipated Nasdaq Reverse Split. The number of shares beneficially owned includes shares of Combined Company common stock that each person has the right to acquire within 60 days, including upon the exercise of stock options, warrants and pre-funded warrants. These stock options, warrants and pre-funded warrants shall be deemed to be outstanding for the purpose of computing the percentage of outstanding shares of the Combined Company common stock expected to be owned by such person but shall not be deemed to be outstanding for the purpose of computing the percentage of outstanding shares of the Combined Company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Boundless Bio securityholders as of immediately prior to the Merger are expected to own approximately    % of the outstanding shares of capital stock of the Combined Company (on a fully-diluted basis), and former holders of Serapha securities are expected to own approximately     % of the outstanding shares of capital stock of the Combined Company (on a fully-diluted basis), subject to certain assumptions, including, but not limited to, the Boundless Bio Net Cash as of Closing being equal to $0. Boundless Bio management currently anticipates that the Boundless Bio Net Cash as of Closing will be approximately $0, after giving effect to the Boundless Bio Pre-Closing Dividend, which is expected to be approximately $44 million to $48 million, and the currently estimated ownership percentages reflect this projection. There can be no assurances that any of these assumptions will be accurate at Closing when the final Exchange Ratio is determined. The table below assumes that, based on Boundless Bio’s and Serapha’s capitalization as of     , 2026, the Exchange Ratio is estimated to be equal to approximately     shares of Boundless Bio Common Stock for each share of Serapha Common Stock, prior to giving effect to the anticipated Nasdaq Reverse Split. The estimated Exchange Ratio was derived on a fully-diluted basis as of    , 2026, using a stipulated value of Serapha of approximately $    million and of Boundless Bio of approximately $    million, assuming that the Boundless Bio Net Cash is $0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The final Exchange Ratio is subject to adjustment prior to Closing based upon the Boundless Bio Net Cash at Closing and the aggregate proceeds from the sale of Serapha Common Stock and Serapha Pre-Funded Warrants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is c/o Serapha Bio, Inc., 40 10th Avenue, Floor 7, New York, NY 10014.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35"/>
        <w:gridCol w:w="301"/>
        <w:gridCol w:w="142"/>
        <w:gridCol w:w="1755"/>
        <w:gridCol w:w="60"/>
        <w:gridCol w:w="301"/>
        <w:gridCol w:w="142"/>
        <w:gridCol w:w="1755"/>
        <w:gridCol w:w="64"/>
      </w:tblGrid>
      <w:tr>
        <w:trPr/>
        <w:tc>
          <w:tcPr>
            <w:tcW w:w="3235"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01" w:type="dxa"/>
            <w:tcBorders/>
            <w:vAlign w:val="bottom"/>
          </w:tcPr>
          <w:p>
            <w:pPr>
              <w:pStyle w:val="TableContents"/>
              <w:bidi w:val="0"/>
              <w:spacing w:before="0" w:after="283"/>
              <w:jc w:val="left"/>
              <w:rPr/>
            </w:pPr>
            <w:r>
              <w:rPr/>
              <w:t>  </w:t>
            </w:r>
          </w:p>
        </w:tc>
        <w:tc>
          <w:tcPr>
            <w:tcW w:w="189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897"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OUTSTANDING</w:t>
            </w:r>
            <w:r>
              <w:rPr/>
              <w:br/>
            </w:r>
            <w:r>
              <w:rPr>
                <w:b/>
              </w:rPr>
              <w:t>BENEFICIALLY</w:t>
            </w:r>
            <w:r>
              <w:rPr/>
              <w:br/>
            </w:r>
            <w:r>
              <w:rPr>
                <w:b/>
              </w:rPr>
              <w:t>OWNED</w:t>
            </w:r>
          </w:p>
        </w:tc>
        <w:tc>
          <w:tcPr>
            <w:tcW w:w="64" w:type="dxa"/>
            <w:tcBorders/>
            <w:vAlign w:val="bottom"/>
          </w:tcPr>
          <w:p>
            <w:pPr>
              <w:pStyle w:val="TableContents"/>
              <w:bidi w:val="0"/>
              <w:spacing w:before="0" w:after="283"/>
              <w:jc w:val="left"/>
              <w:rPr/>
            </w:pPr>
            <w:r>
              <w:rPr/>
              <w:t> </w:t>
            </w:r>
          </w:p>
        </w:tc>
      </w:tr>
      <w:tr>
        <w:trPr/>
        <w:tc>
          <w:tcPr>
            <w:tcW w:w="323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0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235"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left"/>
              <w:rPr/>
            </w:pPr>
            <w:r>
              <w:rPr/>
              <w:t>   </w:t>
            </w:r>
            <w:r>
              <w:rPr/>
              <w:t>%</w:t>
            </w:r>
          </w:p>
        </w:tc>
        <w:tc>
          <w:tcPr>
            <w:tcW w:w="64" w:type="dxa"/>
            <w:tcBorders/>
            <w:vAlign w:val="bottom"/>
          </w:tcPr>
          <w:p>
            <w:pPr>
              <w:pStyle w:val="TableContents"/>
              <w:bidi w:val="0"/>
              <w:spacing w:before="0" w:after="283"/>
              <w:jc w:val="left"/>
              <w:rPr/>
            </w:pPr>
            <w:r>
              <w:rPr/>
              <w:t> </w:t>
            </w:r>
          </w:p>
        </w:tc>
      </w:tr>
      <w:tr>
        <w:trPr/>
        <w:tc>
          <w:tcPr>
            <w:tcW w:w="323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Named Directors and Executive Officers</w:t>
            </w:r>
          </w:p>
        </w:tc>
        <w:tc>
          <w:tcPr>
            <w:tcW w:w="30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7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( persons)</w:t>
            </w:r>
          </w:p>
        </w:tc>
        <w:tc>
          <w:tcPr>
            <w:tcW w:w="30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7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x108148_39"/>
      <w:bookmarkEnd w:id="7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Costa Mesa, California, will pass upon the validity of the securities offered by this proxy statement/prospectus. </w:t>
      </w:r>
    </w:p>
    <w:p>
      <w:pPr>
        <w:pStyle w:val="TextBody"/>
        <w:bidi w:val="0"/>
        <w:spacing w:before="480" w:after="0"/>
        <w:jc w:val="center"/>
        <w:rPr>
          <w:rFonts w:ascii="Times New Roman" w:hAnsi="Times New Roman"/>
          <w:b/>
          <w:sz w:val="20"/>
        </w:rPr>
      </w:pPr>
      <w:bookmarkStart w:id="76" w:name="tx108148_40"/>
      <w:bookmarkEnd w:id="7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Boundless Bio, Inc. as of December 31, 2025 and 2024, and for each of the years in the two-year period ended December 31, 2025, have been included herein and in the registration statement in reliance upon the report of KPMG LLP, independent registered public accounting firm, appearing elsewhere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Serapha Bio, Inc. as of June 30, 2026 and for the period from April 2, 2026 (inception) to June 30, 2026, have been included herein and in the registration statement in reliance upon the report of KPMG LLP, independent auditors, appearing elsewhere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7" w:name="tx108148_41"/>
      <w:bookmarkEnd w:id="7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subject to the informational requirements of the Exchange Act and in accordance therewith, files annual, quarterly and current reports, proxy statements and other information with the SEC electronically, and the SEC maintains a website that contains Boundless Bio’s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also makes available free of charge on or through its website at </w:t>
      </w:r>
      <w:r>
        <w:rPr>
          <w:rFonts w:ascii="Times New Roman" w:hAnsi="Times New Roman"/>
          <w:i/>
          <w:sz w:val="20"/>
        </w:rPr>
        <w:t>www.boundlessbio.com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Boundless Bio electronically files such material with or otherwise furnishes it to the SEC. The website addresses for the SEC and Boundless Bio are inactive textual references and except as specifically incorporated by reference into this proxy statement/prospectus, information on or accessible from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filed with the SEC a registration statement on Form S-4, of which this proxy statement/prospectus is a part, under the Securities Act to register the shares of Boundless Bio Common Stock to be issued to Serapha stockholders in the Merger. This proxy statement/prospectus is a part of that registration statement and constitutes a prospectus of Boundless Bio, as well as a proxy statement of Boundless Bio for its special meeting. The registration statement, including the attached annexes, exhibits and schedules, contains additional relevant information about Boundless Bio and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supplied all information contained in this proxy statement/prospectus relating to Boundless Bio and Serapha has supplied all information contained in this proxy statement/prospectus relating to Serapha.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Boundless Bio or Serapha, please send a request in writing or by telephone to either Boundless Bio or Serapha at the following addresses: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t>Boundless Bio, Inc.</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Serapha Bio, Inc.</w:t>
            </w:r>
          </w:p>
        </w:tc>
      </w:tr>
      <w:tr>
        <w:trPr/>
        <w:tc>
          <w:tcPr>
            <w:tcW w:w="5205" w:type="dxa"/>
            <w:tcBorders/>
            <w:vAlign w:val="bottom"/>
          </w:tcPr>
          <w:p>
            <w:pPr>
              <w:pStyle w:val="TableContents"/>
              <w:bidi w:val="0"/>
              <w:spacing w:before="0" w:after="283"/>
              <w:jc w:val="center"/>
              <w:rPr/>
            </w:pPr>
            <w:r>
              <w:rPr/>
              <w:t>11099 North Torrey Pines Road, Suite 150</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40 10th Avenue</w:t>
            </w:r>
          </w:p>
        </w:tc>
      </w:tr>
      <w:tr>
        <w:trPr/>
        <w:tc>
          <w:tcPr>
            <w:tcW w:w="5205" w:type="dxa"/>
            <w:tcBorders/>
            <w:vAlign w:val="bottom"/>
          </w:tcPr>
          <w:p>
            <w:pPr>
              <w:pStyle w:val="TableContents"/>
              <w:bidi w:val="0"/>
              <w:spacing w:before="0" w:after="283"/>
              <w:jc w:val="center"/>
              <w:rPr/>
            </w:pPr>
            <w:r>
              <w:rPr/>
              <w:t>La Jolla, CA 92037</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Floor 7</w:t>
            </w:r>
          </w:p>
        </w:tc>
      </w:tr>
      <w:tr>
        <w:trPr/>
        <w:tc>
          <w:tcPr>
            <w:tcW w:w="5205" w:type="dxa"/>
            <w:tcBorders/>
            <w:vAlign w:val="bottom"/>
          </w:tcPr>
          <w:p>
            <w:pPr>
              <w:pStyle w:val="TableContents"/>
              <w:bidi w:val="0"/>
              <w:spacing w:before="0" w:after="283"/>
              <w:jc w:val="center"/>
              <w:rPr/>
            </w:pPr>
            <w:r>
              <w:rPr/>
              <w:t>Attn: Corporate Secretary</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New York, NY 10014</w:t>
            </w:r>
          </w:p>
        </w:tc>
      </w:tr>
      <w:tr>
        <w:trPr/>
        <w:tc>
          <w:tcPr>
            <w:tcW w:w="5205" w:type="dxa"/>
            <w:tcBorders/>
            <w:vAlign w:val="bottom"/>
          </w:tcPr>
          <w:p>
            <w:pPr>
              <w:pStyle w:val="TableContents"/>
              <w:bidi w:val="0"/>
              <w:spacing w:before="0" w:after="283"/>
              <w:jc w:val="center"/>
              <w:rPr/>
            </w:pPr>
            <w:r>
              <w:rPr/>
              <w:t>Tel: (858) 766-9912</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Tel:      </w:t>
            </w:r>
          </w:p>
        </w:tc>
      </w:tr>
      <w:tr>
        <w:trPr/>
        <w:tc>
          <w:tcPr>
            <w:tcW w:w="5205" w:type="dxa"/>
            <w:tcBorders/>
            <w:vAlign w:val="bottom"/>
          </w:tcPr>
          <w:p>
            <w:pPr>
              <w:pStyle w:val="TableContents"/>
              <w:bidi w:val="0"/>
              <w:spacing w:before="0" w:after="283"/>
              <w:jc w:val="center"/>
              <w:rPr/>
            </w:pPr>
            <w:r>
              <w:rPr/>
              <w:t>Email: legal@boundlessbio.com</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Email: info@seraphabio.com</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Boundless Bio has filed its Annual Report on Form 10-K for the year ended December 31, 2025 with the SEC. It is available free of charge at the SEC’s web site at www.sec.gov. Upon written request by a Boundless Bio stockholder, Boundless Bio will mail without charge a copy of its Annual Report on Form 10-K, including the financial statements, but excluding exhibits to the Annual Report on Form 10-K. Exhibits to the Annual Report on Form 10-K are available upon payment of a reasonable fee, which is limited to Boundless Bio’s expenses in furnishing the requested exhibit. All requests should be directed to Boundless Bio’s Corporate Secretary, 11099 North Torrey Pines Road, Suite 150, La Jolla, CA 92037. </w:t>
      </w:r>
    </w:p>
    <w:p>
      <w:pPr>
        <w:pStyle w:val="TextBody"/>
        <w:bidi w:val="0"/>
        <w:spacing w:before="240" w:after="0"/>
        <w:jc w:val="left"/>
        <w:rPr>
          <w:rFonts w:ascii="Times New Roman" w:hAnsi="Times New Roman"/>
          <w:sz w:val="20"/>
        </w:rPr>
      </w:pPr>
      <w:r>
        <w:rPr>
          <w:rFonts w:ascii="Times New Roman" w:hAnsi="Times New Roman"/>
          <w:sz w:val="20"/>
        </w:rPr>
        <w:t xml:space="preserve">If you are a Boundless Bio stockholder and would like additional copies, without charge, of this proxy statement/prospectus or if you have questions about the Merger, including the procedures for voting your shares, you should contact Boundless Bio’s proxy solicitor, MacKenzie Partners, Inc., at the following address, telephone number or email address: </w:t>
      </w:r>
    </w:p>
    <w:p>
      <w:pPr>
        <w:pStyle w:val="TextBody"/>
        <w:bidi w:val="0"/>
        <w:spacing w:before="24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+1 (212) 929-5500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(U.S. only): +1 (800) 322-2885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8" w:name="tx108148_42"/>
      <w:bookmarkEnd w:id="78"/>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intend to have a proposal considered for inclusion in Boundless Bio’s proxy materials for presentation at next year’s annual meeting of stockholders pursuant to Rule 14a-8 under the Securities Exchange Act of 1934, as amended (“Exchange Act”), must submit the proposal to Boundless Bio’s corporate secretary at its principal executive offices in writing not later than December 30, 2026, which is 120 days prior to the one-year anniversary of the date its proxy statement for its 2026 annual meeting was released to stockholders. However, if the date of next year’s annual meeting of stockholders is changed by more than 30 days from the anniversary of its 2026 annual meeting of stockholders, then the deadline for such proposals will be a reasonable time before Boundless Bio begins to print and send its proxy materials. These proposals must comply with the requirements as to form and substance established by the SEC in Rule 14a-8 of the Exchange Act for such proposals in order to be included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Stockholders intending to present a proposal at next year’s annual meeting of stockholders, but not to include the proposal in Boundless Bio’s proxy statement, or to nominate a person for election as a director, must comply with the requirements set forth in the Boundless Bio Bylaws, which require, among other things, that its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Boundless Bio must receive notice of such a proposal or nomination for next year’s annual meeting of stockholders no earlier than the close of business on February 15, 2027 and no later than the close of business on March 17, 2027. The notice must contain the information required by the Boundless Bio Bylaws, a copy of which is available upon written request to its corporate secretary. In the event that the date of next year’s annual meeting of stockholders is more than 30 days before or more than 60 days after the one-year anniversary of its 2026 annual meeting of stockholders, then its corporate secretary must receive such written notice not earlier than the close of business on the 120th day and not later than the close of business on the 90th day prior to next year’s annual meeting of stockholders or, if later, the close of business on the 10th day following the day on which public disclosure of the date of such annual meeting is first made by Boundless Bio. SEC rules permit management to vote proxies in its discretion in certain cases if the stockholder does not comply with this deadline and, in certain other cases, notwithstanding the stockholder’s compliance with this deadline. Stockholders are advised to review the Boundless Bio Bylaws, which also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the Boundless Bio Bylaws, including with respect to the deadline for notices disclosed above, to comply with the universal proxy rules, stockholders who intend to solicit proxies in support of director nominees other than Boundless Bio’s nominees must provide notice that sets forth the information required by Rule 14a-19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intends to file a proxy statement and WHITE proxy card with the SEC in connection with the solicitation of proxies for next year’s annual meeting of stockholders. It reserves the right to reject, rule out of order, or take other appropriate action with respect to any proposal that does not comply with these or other applicable requirements.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principal executive offices are located at 11099 North Torrey Pines Road, Suite 150, La Jolla, CA 92037.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does not also comply with the requirements of Rule 14a-4(c)(2) under the Exchange Act, Boundless Bio may exercise discretionary voting authority under proxies that it solicits to vote in accordance with its best judgment on any such stockholder proposal or nomination. </w:t>
      </w:r>
    </w:p>
    <w:p>
      <w:pPr>
        <w:pStyle w:val="TextBody"/>
        <w:bidi w:val="0"/>
        <w:spacing w:before="360" w:after="0"/>
        <w:jc w:val="left"/>
        <w:rPr>
          <w:rFonts w:ascii="Times New Roman" w:hAnsi="Times New Roman"/>
          <w:b/>
          <w:sz w:val="20"/>
        </w:rPr>
      </w:pPr>
      <w:r>
        <w:rPr>
          <w:rFonts w:ascii="Times New Roman" w:hAnsi="Times New Roman"/>
          <w:b/>
          <w:sz w:val="20"/>
        </w:rPr>
        <w:t xml:space="preserve">Communication with the Boundless Bio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will give appropriate attention to written communications that are submitted by stockholders and will respond if and as appropriate. Its corporate secretary is primarily responsible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reviewing such communications from stockholders and for providing copies or summaries to the directors as she considers appropriate. Communications are forwarded to all directors if they relate to important substantive matters and include suggestions or comments that Boundless Bio’s corporate secretary and chairman of the Boundless Bio Board of Directors consider to be important for the directors to know. In general, communications relating to corporate governance and long-term corporate strategy are more likely to be forwarded than communications relating to ordinary business affairs, personal grievances, and matters as to which Boundless Bio tends to receive repetitive or duplicative communications. Stockholders who wish to send communications on any topic to the Boundless Bio Board of Directors should address such communications to the Boundless Bio Board of Directors in writing: Boundless Bio, Inc., Attention: Corporate Secretary, 11099 North Torrey Pines Road, Suite 150, La Jolla, CA 92037.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adopted an SEC-approved procedure called “householding.” This procedure potentially means extra convenience for stockholders and cost savings for companies. Under this procedure, Boundless Bio sends only one copy of proxy materials to stockholders of record who share the same address and last name, unless one of those stockholders notifies Boundless Bio that the stockholder would like a separate copy of such documents. If, at any time, you no longer wish to participate in householding and would prefer to receive a separate copy of the proxy materials from the other stockholder(s) sharing your address, please direct your written request to Boundless Bio’s transfer agent, Computershare Trust Company, N.A., at P.O. Box 43078, Providence, RI 02940-3078, or contact the transfer agent by phone at 800-736-3001. Boundless Bio undertakes to deliver promptly, upon any such oral or written request, a separate copy of the proxy materials to a stockholder at a shared address to which a single copy of these documents was delivered. Similarly, if stockholders of record sharing the same address are receiving multiple copies of the proxy materials and such stockholders would like a single copy to be delivered to them in the future, such stockholders may make such a request by contacting Boundless Bio by the means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update your participation in householding and you are a beneficial owner who holds shares in “street name” with a broker, bank, or similar organization, you may contact your broker, bank, or other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rom108148_43"/>
      <w:bookmarkStart w:id="80" w:name="index"/>
      <w:bookmarkEnd w:id="79"/>
      <w:bookmarkEnd w:id="80"/>
      <w:r>
        <w:rPr>
          <w:rFonts w:ascii="Times New Roman" w:hAnsi="Times New Roman"/>
          <w:b/>
          <w:sz w:val="20"/>
        </w:rPr>
        <w:t xml:space="preserve">INDEX TO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240" w:after="0"/>
        <w:jc w:val="left"/>
        <w:rPr>
          <w:rFonts w:ascii="Times New Roman" w:hAnsi="Times New Roman"/>
          <w:sz w:val="20"/>
        </w:rPr>
      </w:pPr>
      <w:r>
        <w:rPr>
          <w:rFonts w:ascii="Times New Roman" w:hAnsi="Times New Roman"/>
          <w:sz w:val="20"/>
        </w:rPr>
        <w:t xml:space="preserve">Audited Financial Statements as of and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tcPr>
          <w:p>
            <w:pPr>
              <w:pStyle w:val="TableContents"/>
              <w:bidi w:val="0"/>
              <w:spacing w:before="0" w:after="0"/>
              <w:jc w:val="left"/>
              <w:rPr/>
            </w:pPr>
            <w:hyperlink w:anchor="fin108148_1">
              <w:r>
                <w:rPr>
                  <w:rStyle w:val="InternetLink"/>
                  <w:rFonts w:ascii="Times New Roman" w:hAnsi="Times New Roman"/>
                  <w:sz w:val="20"/>
                </w:rPr>
                <w:t>Report of Independent Registered Public Accounting Firm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108148_2">
              <w:r>
                <w:rPr>
                  <w:rStyle w:val="InternetLink"/>
                  <w:rFonts w:ascii="Times New Roman" w:hAnsi="Times New Roman"/>
                  <w:sz w:val="20"/>
                </w:rPr>
                <w:t>Balance Sheets as of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108148_3">
              <w:r>
                <w:rPr>
                  <w:rStyle w:val="InternetLink"/>
                  <w:rFonts w:ascii="Times New Roman" w:hAnsi="Times New Roman"/>
                  <w:sz w:val="20"/>
                </w:rPr>
                <w:t>Statements of Operations and Comprehensive Loss for the Years ended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108148_4">
              <w:r>
                <w:rPr>
                  <w:rStyle w:val="InternetLink"/>
                  <w:rFonts w:ascii="Times New Roman" w:hAnsi="Times New Roman"/>
                  <w:sz w:val="20"/>
                </w:rPr>
                <w:t>Statements of Convertible Preferred Stock and Stockholders’ Equity for the Years ended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108148_5">
              <w:r>
                <w:rPr>
                  <w:rStyle w:val="InternetLink"/>
                  <w:rFonts w:ascii="Times New Roman" w:hAnsi="Times New Roman"/>
                  <w:sz w:val="20"/>
                </w:rPr>
                <w:t>Statements of Cash Flows for the Years ended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108148_6">
              <w:r>
                <w:rPr>
                  <w:rStyle w:val="InternetLink"/>
                  <w:rFonts w:ascii="Times New Roman" w:hAnsi="Times New Roman"/>
                  <w:sz w:val="20"/>
                </w:rPr>
                <w:t>Notes to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Condensed Financial Statements as of and 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108148_7">
              <w:r>
                <w:rPr>
                  <w:rStyle w:val="InternetLink"/>
                  <w:rFonts w:ascii="Times New Roman" w:hAnsi="Times New Roman"/>
                  <w:sz w:val="20"/>
                </w:rPr>
                <w:t>Balance Sheets as of June 30, 2026 and December 31,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108148_8">
              <w:r>
                <w:rPr>
                  <w:rStyle w:val="InternetLink"/>
                  <w:rFonts w:ascii="Times New Roman" w:hAnsi="Times New Roman"/>
                  <w:sz w:val="20"/>
                </w:rPr>
                <w:t>Statements of Operations and Comprehensive Loss for the Six Months ended June 30, 2026 and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108148_9">
              <w:r>
                <w:rPr>
                  <w:rStyle w:val="InternetLink"/>
                  <w:rFonts w:ascii="Times New Roman" w:hAnsi="Times New Roman"/>
                  <w:sz w:val="20"/>
                </w:rPr>
                <w:t>Statements of Convertible Preferred Stock and Stockholders’ Equity for the Six Months ended June 30, 2026 and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108148_10">
              <w:r>
                <w:rPr>
                  <w:rStyle w:val="InternetLink"/>
                  <w:rFonts w:ascii="Times New Roman" w:hAnsi="Times New Roman"/>
                  <w:sz w:val="20"/>
                </w:rPr>
                <w:t>Statements of Cash Flows for the Six Months ended June  30, 2026 and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108148_11">
              <w:r>
                <w:rPr>
                  <w:rStyle w:val="InternetLink"/>
                  <w:rFonts w:ascii="Times New Roman" w:hAnsi="Times New Roman"/>
                  <w:sz w:val="20"/>
                </w:rPr>
                <w:t>Notes to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toc108148_51">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F-46</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toc108148_52">
              <w:r>
                <w:rPr>
                  <w:rStyle w:val="InternetLink"/>
                  <w:rFonts w:ascii="Times New Roman" w:hAnsi="Times New Roman"/>
                  <w:sz w:val="20"/>
                </w:rPr>
                <w:t>Balance Sheet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F-48</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toc108148_53">
              <w:r>
                <w:rPr>
                  <w:rStyle w:val="InternetLink"/>
                  <w:rFonts w:ascii="Times New Roman" w:hAnsi="Times New Roman"/>
                  <w:sz w:val="20"/>
                </w:rPr>
                <w:t>Statement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F-49</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toc108148_54">
              <w:r>
                <w:rPr>
                  <w:rStyle w:val="InternetLink"/>
                  <w:rFonts w:ascii="Times New Roman" w:hAnsi="Times New Roman"/>
                  <w:sz w:val="20"/>
                </w:rPr>
                <w:t>Statement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F-50</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toc108148_55">
              <w:r>
                <w:rPr>
                  <w:rStyle w:val="InternetLink"/>
                  <w:rFonts w:ascii="Times New Roman" w:hAnsi="Times New Roman"/>
                  <w:sz w:val="20"/>
                </w:rPr>
                <w:t>Statement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toc108148_56">
              <w:r>
                <w:rPr>
                  <w:rStyle w:val="InternetLink"/>
                  <w:rFonts w:ascii="Times New Roman" w:hAnsi="Times New Roman"/>
                  <w:sz w:val="20"/>
                </w:rPr>
                <w:t>Notes to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1" w:name="fin108148_1"/>
      <w:bookmarkEnd w:id="81"/>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360" w:after="0"/>
        <w:jc w:val="left"/>
        <w:rPr>
          <w:rFonts w:ascii="Times New Roman" w:hAnsi="Times New Roman"/>
          <w:i/>
          <w:sz w:val="20"/>
        </w:rPr>
      </w:pPr>
      <w:r>
        <w:rPr>
          <w:rFonts w:ascii="Times New Roman" w:hAnsi="Times New Roman"/>
          <w:i/>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Boundless Bio, Inc. (the Company) as of December 31, 2025 and 2024, the related statements of operations and comprehensive loss, convertible preferred stock and stockholders’ equity, and cash flows for each of the years then ended, and the related notes (collectively, the financial statements). In our opinion, the financial statements present fairly, in all material respects, the financial position of the Company as of December 31, 2025 and 2024, and the results of its operations and its cash flows for each of the years then ended, in conformity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2020.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March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fin108148_2"/>
      <w:bookmarkEnd w:id="82"/>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par value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21"/>
        <w:gridCol w:w="315"/>
        <w:gridCol w:w="140"/>
        <w:gridCol w:w="885"/>
        <w:gridCol w:w="166"/>
        <w:gridCol w:w="283"/>
        <w:gridCol w:w="140"/>
        <w:gridCol w:w="885"/>
        <w:gridCol w:w="170"/>
      </w:tblGrid>
      <w:tr>
        <w:trPr/>
        <w:tc>
          <w:tcPr>
            <w:tcW w:w="7221"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21"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4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70" w:type="dxa"/>
            <w:tcBorders/>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22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17,868</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26,587</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89,713</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125,527</w:t>
            </w:r>
          </w:p>
        </w:tc>
        <w:tc>
          <w:tcPr>
            <w:tcW w:w="170" w:type="dxa"/>
            <w:tcBorders/>
            <w:vAlign w:val="bottom"/>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2,030</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2,276</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109,611</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154,390</w:t>
            </w:r>
          </w:p>
        </w:tc>
        <w:tc>
          <w:tcPr>
            <w:tcW w:w="170" w:type="dxa"/>
            <w:tcBorders/>
            <w:vAlign w:val="bottom"/>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3,216</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4,321</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 net</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43,659</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47,039</w:t>
            </w:r>
          </w:p>
        </w:tc>
        <w:tc>
          <w:tcPr>
            <w:tcW w:w="170" w:type="dxa"/>
            <w:tcBorders/>
            <w:vAlign w:val="bottom"/>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560</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560</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13</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99</w:t>
            </w:r>
          </w:p>
        </w:tc>
        <w:tc>
          <w:tcPr>
            <w:tcW w:w="170" w:type="dxa"/>
            <w:tcBorders/>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157,059</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206,409</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6,727</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5,354</w:t>
            </w:r>
          </w:p>
        </w:tc>
        <w:tc>
          <w:tcPr>
            <w:tcW w:w="170" w:type="dxa"/>
            <w:tcBorders/>
            <w:vAlign w:val="bottom"/>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2,643</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2,781</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 current portion</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3,167</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12,537</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8,135</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 non-current</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45,868</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47,632</w:t>
            </w:r>
          </w:p>
        </w:tc>
        <w:tc>
          <w:tcPr>
            <w:tcW w:w="170" w:type="dxa"/>
            <w:tcBorders/>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58,405</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55,767</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7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$0.0001 par value; 70,000 shares authorized and </w:t>
              <w:br/>
              <w:t>no shares issued and outstanding as of December 31, 2025 and December 31, 2024</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$0.0001 par value; 700,000 shares authorized, 22,407 shares issued and outstanding as of December 31, 2025; 700,000 shares authorized, 22,300 shares issued and outstanding as of December 31, 2024</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358,257</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351,991</w:t>
            </w:r>
          </w:p>
        </w:tc>
        <w:tc>
          <w:tcPr>
            <w:tcW w:w="170" w:type="dxa"/>
            <w:tcBorders/>
            <w:vAlign w:val="bottom"/>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64</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121</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(259,669</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(201,472</w:t>
            </w:r>
          </w:p>
        </w:tc>
        <w:tc>
          <w:tcPr>
            <w:tcW w:w="170" w:type="dxa"/>
            <w:tcBorders/>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98,654</w:t>
            </w:r>
          </w:p>
        </w:tc>
        <w:tc>
          <w:tcPr>
            <w:tcW w:w="16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150,642</w:t>
            </w:r>
          </w:p>
        </w:tc>
        <w:tc>
          <w:tcPr>
            <w:tcW w:w="170" w:type="dxa"/>
            <w:tcBorders/>
            <w:shd w:fill="CCEEFF" w:val="clear"/>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157,059</w:t>
            </w:r>
          </w:p>
        </w:tc>
        <w:tc>
          <w:tcPr>
            <w:tcW w:w="1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206,409</w:t>
            </w:r>
          </w:p>
        </w:tc>
        <w:tc>
          <w:tcPr>
            <w:tcW w:w="170" w:type="dxa"/>
            <w:tcBorders/>
            <w:vAlign w:val="bottom"/>
          </w:tcPr>
          <w:p>
            <w:pPr>
              <w:pStyle w:val="TableContents"/>
              <w:bidi w:val="0"/>
              <w:spacing w:before="0" w:after="283"/>
              <w:jc w:val="left"/>
              <w:rPr/>
            </w:pPr>
            <w:r>
              <w:rPr/>
              <w:t> </w:t>
            </w:r>
          </w:p>
        </w:tc>
      </w:tr>
      <w:tr>
        <w:trPr/>
        <w:tc>
          <w:tcPr>
            <w:tcW w:w="7221"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fin108148_3"/>
      <w:bookmarkEnd w:id="83"/>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81"/>
        <w:gridCol w:w="312"/>
        <w:gridCol w:w="140"/>
        <w:gridCol w:w="767"/>
        <w:gridCol w:w="155"/>
        <w:gridCol w:w="285"/>
        <w:gridCol w:w="140"/>
        <w:gridCol w:w="767"/>
        <w:gridCol w:w="158"/>
      </w:tblGrid>
      <w:tr>
        <w:trPr/>
        <w:tc>
          <w:tcPr>
            <w:tcW w:w="7481"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81"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2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44,845</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55,267</w:t>
            </w:r>
          </w:p>
        </w:tc>
        <w:tc>
          <w:tcPr>
            <w:tcW w:w="158" w:type="dxa"/>
            <w:tcBorders/>
            <w:vAlign w:val="bottom"/>
          </w:tcPr>
          <w:p>
            <w:pPr>
              <w:pStyle w:val="TableContents"/>
              <w:bidi w:val="0"/>
              <w:spacing w:before="0" w:after="283"/>
              <w:jc w:val="left"/>
              <w:rPr/>
            </w:pPr>
            <w:r>
              <w:rPr/>
              <w:t> </w:t>
            </w:r>
          </w:p>
        </w:tc>
      </w:tr>
      <w:tr>
        <w:trPr/>
        <w:tc>
          <w:tcPr>
            <w:tcW w:w="74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18,707</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18,000</w:t>
            </w:r>
          </w:p>
        </w:tc>
        <w:tc>
          <w:tcPr>
            <w:tcW w:w="158" w:type="dxa"/>
            <w:tcBorders/>
            <w:shd w:fill="CCEEFF" w:val="clear"/>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63,552</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73,267</w:t>
            </w:r>
          </w:p>
        </w:tc>
        <w:tc>
          <w:tcPr>
            <w:tcW w:w="158" w:type="dxa"/>
            <w:tcBorders/>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(63,552</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(73,267</w:t>
            </w:r>
          </w:p>
        </w:tc>
        <w:tc>
          <w:tcPr>
            <w:tcW w:w="158" w:type="dxa"/>
            <w:tcBorders/>
            <w:shd w:fill="CCEEFF" w:val="clear"/>
            <w:vAlign w:val="bottom"/>
          </w:tcPr>
          <w:p>
            <w:pPr>
              <w:pStyle w:val="TableContents"/>
              <w:bidi w:val="0"/>
              <w:spacing w:before="0" w:after="283"/>
              <w:jc w:val="left"/>
              <w:rPr/>
            </w:pPr>
            <w:r>
              <w:rPr/>
              <w:t>) </w:t>
            </w:r>
          </w:p>
        </w:tc>
      </w:tr>
      <w:tr>
        <w:trPr/>
        <w:tc>
          <w:tcPr>
            <w:tcW w:w="748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5,357</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7,892</w:t>
            </w:r>
          </w:p>
        </w:tc>
        <w:tc>
          <w:tcPr>
            <w:tcW w:w="158" w:type="dxa"/>
            <w:tcBorders/>
            <w:shd w:fill="CCEEFF" w:val="clear"/>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12</w:t>
            </w:r>
          </w:p>
        </w:tc>
        <w:tc>
          <w:tcPr>
            <w:tcW w:w="158" w:type="dxa"/>
            <w:tcBorders/>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5,355</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7,904</w:t>
            </w:r>
          </w:p>
        </w:tc>
        <w:tc>
          <w:tcPr>
            <w:tcW w:w="158" w:type="dxa"/>
            <w:tcBorders/>
            <w:shd w:fill="CCEEFF" w:val="clear"/>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(58,197</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(65,363</w:t>
            </w:r>
          </w:p>
        </w:tc>
        <w:tc>
          <w:tcPr>
            <w:tcW w:w="158" w:type="dxa"/>
            <w:tcBorders/>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(58,197</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(65,363</w:t>
            </w:r>
          </w:p>
        </w:tc>
        <w:tc>
          <w:tcPr>
            <w:tcW w:w="158" w:type="dxa"/>
            <w:tcBorders/>
            <w:vAlign w:val="bottom"/>
          </w:tcPr>
          <w:p>
            <w:pPr>
              <w:pStyle w:val="TableContents"/>
              <w:bidi w:val="0"/>
              <w:spacing w:before="0" w:after="283"/>
              <w:jc w:val="left"/>
              <w:rPr/>
            </w:pPr>
            <w:r>
              <w:rPr/>
              <w:t>) </w:t>
            </w:r>
          </w:p>
        </w:tc>
      </w:tr>
      <w:tr>
        <w:trPr/>
        <w:tc>
          <w:tcPr>
            <w:tcW w:w="74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gain (loss) on short-term investments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81</w:t>
            </w:r>
          </w:p>
        </w:tc>
        <w:tc>
          <w:tcPr>
            <w:tcW w:w="158" w:type="dxa"/>
            <w:tcBorders/>
            <w:shd w:fill="CCEEFF" w:val="clear"/>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(58,254</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(65,282</w:t>
            </w:r>
          </w:p>
        </w:tc>
        <w:tc>
          <w:tcPr>
            <w:tcW w:w="158" w:type="dxa"/>
            <w:tcBorders/>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(2.60</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(3.85</w:t>
            </w:r>
          </w:p>
        </w:tc>
        <w:tc>
          <w:tcPr>
            <w:tcW w:w="158" w:type="dxa"/>
            <w:tcBorders/>
            <w:shd w:fill="CCEEFF" w:val="clear"/>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Shares used in calculation</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22,360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16,984</w:t>
            </w:r>
          </w:p>
        </w:tc>
        <w:tc>
          <w:tcPr>
            <w:tcW w:w="158" w:type="dxa"/>
            <w:tcBorders/>
            <w:vAlign w:val="bottom"/>
          </w:tcPr>
          <w:p>
            <w:pPr>
              <w:pStyle w:val="TableContents"/>
              <w:bidi w:val="0"/>
              <w:spacing w:before="0" w:after="283"/>
              <w:jc w:val="left"/>
              <w:rPr/>
            </w:pPr>
            <w:r>
              <w:rPr/>
              <w:t> </w:t>
            </w:r>
          </w:p>
        </w:tc>
      </w:tr>
      <w:tr>
        <w:trPr/>
        <w:tc>
          <w:tcPr>
            <w:tcW w:w="748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fin108148_4"/>
      <w:bookmarkEnd w:id="84"/>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Convertible Preferred Stock and Stockholders’ Equity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12150" w:type="dxa"/>
        <w:jc w:val="center"/>
        <w:tblInd w:w="0" w:type="dxa"/>
        <w:tblLayout w:type="fixed"/>
        <w:tblCellMar>
          <w:top w:w="0" w:type="dxa"/>
          <w:left w:w="0" w:type="dxa"/>
          <w:bottom w:w="0" w:type="dxa"/>
          <w:right w:w="0" w:type="dxa"/>
        </w:tblCellMar>
      </w:tblPr>
      <w:tblGrid>
        <w:gridCol w:w="1055"/>
        <w:gridCol w:w="60"/>
        <w:gridCol w:w="80"/>
        <w:gridCol w:w="1172"/>
        <w:gridCol w:w="207"/>
        <w:gridCol w:w="80"/>
        <w:gridCol w:w="187"/>
        <w:gridCol w:w="1174"/>
        <w:gridCol w:w="155"/>
        <w:gridCol w:w="60"/>
        <w:gridCol w:w="60"/>
        <w:gridCol w:w="680"/>
        <w:gridCol w:w="60"/>
        <w:gridCol w:w="60"/>
        <w:gridCol w:w="231"/>
        <w:gridCol w:w="629"/>
        <w:gridCol w:w="60"/>
        <w:gridCol w:w="60"/>
        <w:gridCol w:w="163"/>
        <w:gridCol w:w="937"/>
        <w:gridCol w:w="60"/>
        <w:gridCol w:w="60"/>
        <w:gridCol w:w="413"/>
        <w:gridCol w:w="1122"/>
        <w:gridCol w:w="155"/>
        <w:gridCol w:w="60"/>
        <w:gridCol w:w="188"/>
        <w:gridCol w:w="1182"/>
        <w:gridCol w:w="155"/>
        <w:gridCol w:w="60"/>
        <w:gridCol w:w="188"/>
        <w:gridCol w:w="1182"/>
        <w:gridCol w:w="155"/>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 Preferred Stock</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br/>
              <w:t>equity/</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3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at December 31, 2023</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287,447</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247,617</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8,987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(136,109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(127,082</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stock in initial public offering, net of $12,305 in discounts and offering costs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87,694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87,695</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Conversion of convertible preferred stock into common stock upon initial public offering</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(287,447</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(247,617</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247,616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247,617</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Vesting of early exercised stock options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stock under the Employee Stock Purchase Plan</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7,516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7,516</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Unrealized gain on short-term investments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(65,363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(65,363</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 at December 31, 2024</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351,991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121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(201,472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150,642</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6,125</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stock under the Employee Stock Purchase Plan</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Unrealized loss on short-term investments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(58,197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(58,197</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at December 31, 2025</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22,407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358,257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(259,669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98,654</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fin108148_5"/>
      <w:bookmarkEnd w:id="85"/>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Cash Flows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0"/>
        <w:gridCol w:w="316"/>
        <w:gridCol w:w="140"/>
        <w:gridCol w:w="884"/>
        <w:gridCol w:w="155"/>
        <w:gridCol w:w="278"/>
        <w:gridCol w:w="140"/>
        <w:gridCol w:w="884"/>
        <w:gridCol w:w="158"/>
      </w:tblGrid>
      <w:tr>
        <w:trPr/>
        <w:tc>
          <w:tcPr>
            <w:tcW w:w="725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5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4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(58,197</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(65,363</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to net cash used in operating activities: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6,125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7,516</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1,251</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1,086</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Accretion of investments, net</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(2,590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(5,055</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Non-cash lease expense</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3,288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2,551</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Other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102</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5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332</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(302</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775</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1,496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(2,151</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Net cash used in operating activities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(46,661</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(60,841</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Purchases of investments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(174,897</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(208,465</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Maturities of investments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213,244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184,900</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(546</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(2,536</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Net cash provided by (used in) investing activities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37,801</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(26,101</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 xml:space="preserve">Proceeds from the issuance of common stock from initial public offering, net </w:t>
              <w:br/>
              <w:t>of discounts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93,000</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Payments of common stock offering costs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(3,349</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Proceeds from the exercise of stock options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62</w:t>
            </w:r>
          </w:p>
        </w:tc>
        <w:tc>
          <w:tcPr>
            <w:tcW w:w="158" w:type="dxa"/>
            <w:tcBorders/>
            <w:vAlign w:val="bottom"/>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Proceeds from issuance of common stock under the Employee Stock Purchase Plan</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110</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Net cash provided by financing activities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89,823</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Net increase (decrease) in cash, cash equivalents, and restricted cash</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(8,719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2,881</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beginning of year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27,147</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24,266</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end of year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18,428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27,147</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Components of cash, cash equivalents, and restricted cash</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17,868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26,587</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560</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end of year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18,428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27,147</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Non-cash investing and financing activities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Change in unpaid common stock issuance costs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(197</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Addition to right-of-use assets obtained in exchange for lease obligation</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47,588</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Decrease to right-of-use assets due to remeasurement of lease obligation</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(92</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Vesting of early exercised stock options</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Unpaid property and equipment purchases</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400</w:t>
            </w:r>
          </w:p>
        </w:tc>
        <w:tc>
          <w:tcPr>
            <w:tcW w:w="158" w:type="dxa"/>
            <w:tcBorders/>
            <w:shd w:fill="CCEEFF" w:val="clear"/>
            <w:vAlign w:val="bottom"/>
          </w:tcPr>
          <w:p>
            <w:pPr>
              <w:pStyle w:val="TableContents"/>
              <w:bidi w:val="0"/>
              <w:spacing w:before="0" w:after="283"/>
              <w:jc w:val="left"/>
              <w:rPr/>
            </w:pPr>
            <w:r>
              <w:rPr/>
              <w:t> </w:t>
            </w:r>
          </w:p>
        </w:tc>
      </w:tr>
      <w:tr>
        <w:trPr/>
        <w:tc>
          <w:tcPr>
            <w:tcW w:w="725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fin108148_6"/>
      <w:bookmarkEnd w:id="86"/>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Inc. (the Company)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The Company has been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 The Company’s mission is to be the foremost biopharma company interrogating ecDNA biology to deliver transformative therapies that improve and extend the lives of patients with previously intractable oncogene amplified cancers. The Company’s lead ecDTx, BBI-940, is in early clinical development in patients with estrogen receptor positive and human epidermal growth factor receptor 2 negative, or ER+/HER2-, breast cancer who have progressed following treatment with a cyclin-dependent kinase 4 and/or 6 inhibitor, or CDK4/6 inhibitor, plus endocrine therapy, as well as patients with triple-negative breast cancer luminal androgen receptor subtype, or TNBC-LAR. The Company was incorporated in the state of Delaware on April 10, 2018 and is headquartered in San Diego, California.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On April 2, 2024, the Company completed its initial public offering (IPO), issuing 6,250,000 shares of its common stock at a public offering price of $16.00 per share, resulting in net proceeds of approximately $87.7 million, after deducting underwriting discounts, commissions, and other offering expenses. Immediately prior to the closing of the IPO, all outstanding shares of convertible preferred stock of the Company automatically converted into 14,740,840 shares of its common stock, and no shares of convertible preferred stock remained outstanding thereafter. In connection with the closing of the IPO, on April 2, 2024, the Company amended and restated its certificate of incorporation to authorize 700,000,000 shares of common stock and 70,000,000 shares of undesignated preferred stock, each with a par value of $0.0001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ATM Offering </w:t>
      </w:r>
    </w:p>
    <w:p>
      <w:pPr>
        <w:pStyle w:val="TextBody"/>
        <w:bidi w:val="0"/>
        <w:spacing w:before="120" w:after="0"/>
        <w:jc w:val="left"/>
        <w:rPr>
          <w:rFonts w:ascii="Times New Roman" w:hAnsi="Times New Roman"/>
          <w:sz w:val="20"/>
        </w:rPr>
      </w:pPr>
      <w:r>
        <w:rPr>
          <w:rFonts w:ascii="Times New Roman" w:hAnsi="Times New Roman"/>
          <w:sz w:val="20"/>
        </w:rPr>
        <w:t xml:space="preserve">On April 1, 2025, the Company entered into an Open Market Sale AgreementSM (the Sales Agreement) with Jefferies LLC (the Agent), under which the Company may, from time to time, sell shares of the Company’s common stock in “at the market” (ATM) offerings through or to the Agent, as sales agent or principal. The shares of common stock will be offered and issued pursuant to the Company’s shelf registration statement on Form S-3 (File No. 333-286302), including the Sales Agreement prospectus contained therein, filed with the Securities and Exchange Commission (SEC) on April 1, 2025 and declared effective by the SEC on April 10, 2025. Pursuant to the Sales Agreement prospectus, the Company may sell shares of its common stock having an aggregate offering price of up to $14.5 million. Sales of the shares of common stock, if any, will be made at prevailing market prices at the time of sale, or as otherwise agreed with the Agent. The Agent will receive a commission from the Company of up to 3.0% of the gross proceeds of any shares of common stock sold under the Sale Agreement. The Company is not obligated to sell, and the Agent is not obligated to buy or sell, any shares of common stock under the Sales Agreement. No assurance can be given that the Company will sell any shares of common stock under the Sales Agreement, or, if it does, as to the price or amount of shares of common stock that it sells or the dates when such sales will take place. The Company did not sell any shares under the Sales Agreement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the Company commenced operations in 2018, it has devoted substantially all of its efforts and resources to organizing and staffing the Company, business planning, raising capital, building its proprietary Spyglass platform, discovering its ecDTx, developing its ecDNA diagnostic,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The Company does not have any products for sale and has not generated any revenue to date. The Company has funded its operations primarily from the sale and issuance of shares of its convertible preferred stock (prior to the IPO) and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cash, cash equivalents, and short-term investments of $107.6 million. The Company believes that its existing cash, cash equivalents, and short-term investments will be sufficient to fund its operations for at least twelve months from the issuance date of the accompanying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the Company has incurred significant operating losses and negative cash flows from its operations and expects that it will continue to do so into the foreseeable future as it continues its development of, seeks regulatory approval for, and potentially commercializes its ecDTx, utilizes third parties to manufacture its ecDTx and related raw materials, potentially identifies additional development opportunities for its ecDTx, seeks to expand its therapeutic pipeline, and expands and protects its intellectual property. The Company also has substantial payment obligations under a long-term non-cancellable facility lease. If the Company obtains regulatory approval for any of its ecDTx, it expects to incur significant commercialization expenses related to product sales, marketing, manufacturing, and distribution. The Company does not expect to generate any revenue from product sales until it successfully completes development of and obtains regulatory approval for one or more of its ecDTx, which the Company expects will take several years and may never occur. As of December 31, 2025, the Company had an accumulated deficit of $259.7 million, and, during the year ended December 31, 2025, the Company incurred a net loss of $58.2 million and had negative cash flows from operations of $46.7 million. As the Company continues to pursue its business plan, it will need to acquire a substantial amount of additional funding until such time as it is able to generate significant revenues to fund its research and development activities and operations. Accordingly, the Company expects to finance its cash requirements through equity offerings, debt financings, or other capital sources, including potential collaborations, licenses, and other similar arrangements. There can be no assurance that the Company will be successful in acquiring additional funding or that any additional funding would be sufficient to continue operations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are presented in U.S. dollars and have been prepared in accordance with United States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impact the reported amounts of assets, liabilities, revenue and expenses, and the disclosure of contingent assets and liabilities in the Company’s financial statements and accompanying notes. Although these estimates are based on the Company’s knowledge of current events and actions it may undertake in the future, actual results may materially differ from these estimates and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an ongoing basis, management evaluates its estimates, primarily related to stock-based compensation, the fair value of its investments, accrued research and development costs and, prior to the closing of its IPO, its common stock.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Company’s estimates relating to stock-based compensation expense require the selection of appropriate valuation methodologies and models, and significant judgment in evaluating ranges of assumptions and financial inputs.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three months or less when purchased to be cash equivalents. Cash and cash equivalents include cash in readily available checking and money market accounts. </w:t>
      </w:r>
    </w:p>
    <w:p>
      <w:pPr>
        <w:pStyle w:val="TextBody"/>
        <w:bidi w:val="0"/>
        <w:spacing w:before="240" w:after="0"/>
        <w:jc w:val="left"/>
        <w:rPr>
          <w:rFonts w:ascii="Times New Roman" w:hAnsi="Times New Roman"/>
          <w:sz w:val="20"/>
        </w:rPr>
      </w:pPr>
      <w:r>
        <w:rPr>
          <w:rFonts w:ascii="Times New Roman" w:hAnsi="Times New Roman"/>
          <w:sz w:val="20"/>
        </w:rPr>
        <w:t xml:space="preserve">The balance reflected in these financial statements as restricted cash represents a deposit account pledged as collateral to secure a standby letter of credit required as a security deposit under the Company’s headquarters facility lease. The Company has classified the restricted cash as a noncurrent asset on its balance sheets as of December 31, 2025 and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which potentially subject the Company to the concentration of credit risk, consist primarily of cash, cash equivalents, and investments. The Company maintains deposits in federally insured financial institutions which exceeded federally insured limits by $1.4 million as of December 31, 2025.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its exposure to concentration of credit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Short-term investments consist of money market funds, U.S. government obligations, corporate debt securities, government agency securities, asset-backed securities, and commercial paper. The Company obtains pricing information from its investment manager and generally determines the fair value of investment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At each balance sheet date, the Company reviews its available-for-sale debt securities that are in an unrealized loss position to determine whether the unrealized loss or any potential credit losses should be recognized in the statements of operations. For available-for-sale debt securities in an unrealized loss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above criteria, 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 </w:t>
      </w:r>
    </w:p>
    <w:p>
      <w:pPr>
        <w:pStyle w:val="TextBody"/>
        <w:bidi w:val="0"/>
        <w:spacing w:before="120" w:after="0"/>
        <w:jc w:val="left"/>
        <w:rPr>
          <w:rFonts w:ascii="Times New Roman" w:hAnsi="Times New Roman"/>
          <w:sz w:val="20"/>
        </w:rPr>
      </w:pPr>
      <w:r>
        <w:rPr>
          <w:rFonts w:ascii="Times New Roman" w:hAnsi="Times New Roman"/>
          <w:b/>
          <w:sz w:val="20"/>
        </w:rPr>
        <w:t>Level 1</w:t>
      </w:r>
      <w:r>
        <w:rPr>
          <w:rFonts w:ascii="Times New Roman" w:hAnsi="Times New Roman"/>
          <w:sz w:val="20"/>
        </w:rPr>
        <w:t xml:space="preserve">—Quoted prices in active markets for identical assets or liabilities. </w:t>
      </w:r>
    </w:p>
    <w:p>
      <w:pPr>
        <w:pStyle w:val="TextBody"/>
        <w:bidi w:val="0"/>
        <w:spacing w:before="240" w:after="0"/>
        <w:jc w:val="left"/>
        <w:rPr>
          <w:rFonts w:ascii="Times New Roman" w:hAnsi="Times New Roman"/>
          <w:sz w:val="20"/>
        </w:rPr>
      </w:pPr>
      <w:r>
        <w:rPr>
          <w:rFonts w:ascii="Times New Roman" w:hAnsi="Times New Roman"/>
          <w:b/>
          <w:sz w:val="20"/>
        </w:rPr>
        <w:t>Level 2</w:t>
      </w:r>
      <w:r>
        <w:rPr>
          <w:rFonts w:ascii="Times New Roman" w:hAnsi="Times New Roman"/>
          <w:sz w:val="20"/>
        </w:rPr>
        <w:t xml:space="preserve">—Quoted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240" w:after="0"/>
        <w:jc w:val="left"/>
        <w:rPr>
          <w:rFonts w:ascii="Times New Roman" w:hAnsi="Times New Roman"/>
          <w:sz w:val="20"/>
        </w:rPr>
      </w:pPr>
      <w:r>
        <w:rPr>
          <w:rFonts w:ascii="Times New Roman" w:hAnsi="Times New Roman"/>
          <w:b/>
          <w:sz w:val="20"/>
        </w:rPr>
        <w:t>Level 3</w:t>
      </w:r>
      <w:r>
        <w:rPr>
          <w:rFonts w:ascii="Times New Roman" w:hAnsi="Times New Roman"/>
          <w:sz w:val="20"/>
        </w:rPr>
        <w:t xml:space="preserve">—Unobservable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40" w:after="0"/>
        <w:jc w:val="left"/>
        <w:rPr>
          <w:rFonts w:ascii="Times New Roman" w:hAnsi="Times New Roman"/>
          <w:sz w:val="20"/>
        </w:rPr>
      </w:pPr>
      <w:r>
        <w:rPr>
          <w:rFonts w:ascii="Times New Roman" w:hAnsi="Times New Roman"/>
          <w:sz w:val="20"/>
        </w:rPr>
        <w:t xml:space="preserve">Cash, cash equivalents, and short-term investments are carried at fair value, determined according to the fair value hierarchy described above. The carrying values of the Company’s prepaid expenses, accounts payable, and accrued expenses approximate their fair value due to the short-term nature of these assets and liabilities. None of the Company’s non-financial assets or liabilities are recorded at fair value on a non-recurring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and Common Stock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costs that are directly attributable to equity financings as deferred offering costs until such financings are consummated. Upon consummation of an equity financing, these costs are recorded as a reduction to additional paid-in capital within stockholders’ equity. In connection with the closing of the Company’s IPO in April 2024, all amounts previously recorded as deferred offering costs were reclassified to additional paid-in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including leasehold improvements, are stated at cost less accumulated depreciation and amortization. Depreciation and amortization are recorded using the straight-line method over the estimated useful lives of the related assets, which range from three to seven years. Leasehold improvements are amortized on a straight-line basis over the shorter of the estimated useful lives of the assets or the remaining lease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Repairs and maintenance charges that do not increase the useful life of the assets are charged to operating expenses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An impairment loss is recorded if and when events and circumstances indicate that any of the Company’s long-lived assets might be impaired and the undiscounted cash flows estimated to be generated by those assets are less than the carrying amount of those assets. If such assets are considered to be impaired, the impairment to be recognized is measured by the amount by which the book values of the assets exceed their fair value. The Company has not recognized any impairment losses in any of the periods presented in these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At the inception of an arrangement, the Company determines whether the arrangement is or contains a lease and whether such a lease should be classified as a financing lease or operating lease based on the unique facts and circumstances present, the existence of an identified asset(s), if any, and the Company’s control over the use of the identified asset(s), if applicable. In 2025 and 2024, the Company leased real estate facilities under non-cancellable operating leases with various expiration dates through fiscal year 2034. As of December 31, 2025, the Company had one operating lease, which expires in 2034. As of December 31, 2025 and 2024, the Company had no financing leases.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with a term greater than one year are recognized as right-of-use (ROU) assets and lease liabilities in the accompanying balance sheets. Operating lease ROU assets represent the Company’s right to use an underlying asset for the lease term, and lease liabilities represent the Company’s obligation to make lease payments arising from the lease. The Company considers the lease term to be the non-cancellable period that it has the right to use the underlying asset, together with any periods where it is reasonably certain it will exercise an option to extend (or not terminate) the lease. The Company does not assume renewals or early terminations unless it is reasonably certain to exercise these options.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liabilities are recognized at the lease commencement date based on the present value of lease payments over the lease term discounted based on (i) the interest rate implicit in the lease if that rate is readily determinable, or if not, (ii) the Company’s incremental borrowing rate (which is the estimated interest rate the Company would be required to pay for a collateralized borrowing equal to the total lease payments over a similar term as the lease term and in a similar economic environment). Because the Company’s operating leases do not provide an implicit rate, the Company estimates its incremental borrowing rate based on the information available at the lease commencement date for borrowings with a similar term. The Company’s operating lease ROU assets are measured based on the corresponding operating lease liability adjusted for (i) payments made to the lessor at or before the commencement date, (ii) initial direct costs incurred and (iii) tenant incentives under the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costs are recognized on a straight-line basis over the lease term. The Company elected not to allocate consideration between lease and non-lease components. Variable lease payments are recognized in the period in which the obligations for those payments are incurred. In addition, the Company elected not to recognize lease assets or lease liabilities for leases with a term of 12 months or less for all asset classes.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identified as components of an enterprise about which discrete financial information is available for evaluation by the chief operating decision-maker (CODM) in making decisions regarding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resource allocation and assessing performance. The Company operates and manages its business as one reporting and one operating segment, which is the business of designing and developing ecDTx, for which no revenue has been recorded. All of the Company’s long-lived assets are located in the United States. The Company’s CODM is its Chief Executive Officer. For purposes of assessing the Company’s financial performance and making resource allocation decisions, the CODM reviews total expenses, as well as expenses by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convertible preferred stock was classified as temporary equity in the accompanying balance sheet as of December 31, 2023 and excluded from stockholders’ equity/(deficit) as the potential redemption of such stock was outside the Company’s control and would have required the redemption of the then-outstanding convertible preferred stock. The convertible preferred stock was not redeemable except for in the event of a liquidation, dissolution, or winding up of the Company. Costs incurred in connection with the issuance of convertible preferred stock were recorded as a reduction of gross proceeds from issuance. The Company did not accrete the carrying values of the convertible preferred stock to the redemption values since the occurrence of these events was not considered probable as of December 31, 2023. Immediately prior to the closing of the IPO on April 2, 2024, the Company’s outstanding convertible preferred stock automatically converted into 14,740,840 shares of common stock. Following the closing of the IPO, no shares of convertible preferred stock were authorized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(R&amp;D) expenses are costs incurred by the Company in connection with its discovery and research efforts and the preclinical and clinical development of ecDTx. The Company’s R&amp;D expenses include direct program costs, consisting of expenses incurred under arrangements with third parties, such as contract research organizations, contract manufacturers, consultants and its scientific advisors; and indirect costs, consisting of personnel-related expenses, including salaries, severance, bonuses, benefits, travel, and stock-based compensation expenses, for those individuals involved in R&amp;D efforts, the costs of lab and pharmacology supplies and acquiring, developing, and manufacturing preclinical and clinical study materials, and facilities and depreciation, which include direct and allocated expenses for rent of facilities and depreciation of equipment. R&amp;D costs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accruals for estimated R&amp;D costs, comprising payments for work performed by third party contractors, labs,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R&amp;D activities are deferred and capitalized as prepaid expenses until the related goods are delivered or services are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(G&amp;A) expenses consist primarily of personnel-related expenses, including salaries, severance, bonuses, benefits, travel, and stock-based compensation expenses, for employees in executive, accounting and finance, business development, human resources, legal, and other administrative functions. Other significant G&amp;A expenses include allocated facility-related costs, legal fees relating to corporate and intellectual property matters, professional fees for accounting and tax services, consulting fees, and insurance costs. G&amp;A costs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Costs related to filing and pursuing patent applications are recorded as G&amp;A expense and are expensed as incurred since the recoverability of such expenditures is uncertain.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employee and nonemployee stock-based awards based on the estimated fair value of the awards on the date of grant and records compensation expense on a straight-line basis over the requisite service period of the award. All stock-based compensation costs are recorded in the statements of operations and comprehensive loss based upon the underlying employees’ or nonemployees’ roles within the Company. Forfeitures are accounted for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 grants and shares purchasable under the Company’s 2024 Employee Stock Purchase Plan (ESPP) is estimated on the date of grant using the Black-Scholes options-pricing model, which requires inputs based on certain subjective assumptions,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common stock. Subsequent to the closing of the IPO, the fair value of the Company’s common stock is the closing price per share on the Nasdaq Global Select Market on the date of grant of the award. For periods prior to the closing of the IPO on April 2, 2024, the Company utilized methodologies, approaches, and assumptions consistent with the American Institute of Certified Public Accountants’ Accounting and Valuation Guide, </w:t>
            </w:r>
            <w:r>
              <w:rPr>
                <w:rFonts w:ascii="Times New Roman" w:hAnsi="Times New Roman"/>
                <w:i/>
                <w:sz w:val="20"/>
              </w:rPr>
              <w:t>Valuation of Privately Held Company Equity Securities Issued as Compensation</w:t>
            </w:r>
            <w:r>
              <w:rPr>
                <w:rFonts w:ascii="Times New Roman" w:hAnsi="Times New Roman"/>
                <w:sz w:val="20"/>
              </w:rPr>
              <w:t xml:space="preserve"> (The Practice Aid) to estimate the fair value of its common stock. The fair value of the common stock was determined based upon a variety of factors, including the Company’s stage of development and material risks related to the business; the progress of the Company’s R&amp;D programs; business conditions and projections; financial position and historical and forecasted performance and operating results; the lack of an active public market for the Company’s common stock and preferred stock; the prices of the Company’s preferred stock sold to or exchanged between outside investors in arm’s length transactions and the rights, preferences, and privileges of the preferred stock as compared to those of the Company’s common stock, including liquidation preferences of the Company’s preferred stock; the likelihood of achieving a liquidity event, such as an initial public offering or sale of the Company in light of prevailing market conditions; the hiring of key personnel and the experience of management; trends and developments in the Company’s industry; and external market conditions affecting the biopharmaceutical industry and trends within the biopharmaceutical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Risk-free interest rate. The risk-free interest rate is based on the U.S. Treasury’s rates for U.S. Treasury zero-coupon bonds with maturities similar to the expected term of the award being valued.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volatility. Given that there was no active trading market for the Company’s common stock prior to the completion of the IPO and there is not yet sufficient trading history for the Company’s common stock, the Company derived the expected volatility from the average historical volatilities of the common stock of a group of comparable publicly-traded companies in the biotechnology industry over a period approximately equal to the expected term of the award being valued. The Company will continue to apply this process until enough historical information regarding the volatility of its own stock price becomes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term. The expected term represents the period that the stock-based awards are expected to be outstanding. The expected term of stock options issued is determined using the simplified method (based on the mid-point between the vesting date and the end of the contractual term) as the Company has concluded that its stock option exercise history does not provide a reasonable basis upon which to estimate expected term. For rights to purchase shares of common stock under the ESPP, the expected term represents the period from the first day of the offering period to the purchase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dividend yield. The Company has never paid dividends on its common stock and does not anticipate paying any dividends in the foreseeable future. Therefore, the Company uses an expected dividend yield of zero.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fair value of each restricted common stock award is estimated on the date of grant based on the fair value of the Company’s common stock on that same date.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in determining the estimated fair value of stock-based awards represent management’s best estimates and involve inherent uncertainties and the application of significant judgment.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all stock-based award modifications, including situations in which an original award is exchanged for a new award. Stock award modifications are accounted for as modifications under ASC 718. In such cases, the Company measures incremental compensation cost as the excess of the fair value of the modified award over the fair value of the original award immediately prior to the modification, based on the relevant factors at the modification date. </w:t>
      </w:r>
    </w:p>
    <w:p>
      <w:pPr>
        <w:pStyle w:val="TextBody"/>
        <w:bidi w:val="0"/>
        <w:spacing w:before="240" w:after="0"/>
        <w:jc w:val="left"/>
        <w:rPr>
          <w:rFonts w:ascii="Times New Roman" w:hAnsi="Times New Roman"/>
          <w:sz w:val="20"/>
        </w:rPr>
      </w:pPr>
      <w:r>
        <w:rPr>
          <w:rFonts w:ascii="Times New Roman" w:hAnsi="Times New Roman"/>
          <w:sz w:val="20"/>
        </w:rPr>
        <w:t xml:space="preserve">For vested awards, the Company recognizes any incremental compensation cost in the period in which the modification occurs. For unvested awards, if the modified award is probable of vesting both before and after the modification, the Company recognizes, on a prospective basis over the remaining requisite service period, the sum of (i) the incremental compensation cost and (ii) any remaining unrecognized compensation cost associated with the original award as of the modification date. If the fair value of the modified award is lower than the fair value of the original award immediately before the modification, the Company continues to recognize compensation cost at least equal to the cost of the original award. </w:t>
      </w:r>
    </w:p>
    <w:p>
      <w:pPr>
        <w:pStyle w:val="TextBody"/>
        <w:bidi w:val="0"/>
        <w:spacing w:before="240" w:after="0"/>
        <w:jc w:val="left"/>
        <w:rPr>
          <w:rFonts w:ascii="Times New Roman" w:hAnsi="Times New Roman"/>
          <w:sz w:val="20"/>
        </w:rPr>
      </w:pPr>
      <w:r>
        <w:rPr>
          <w:rFonts w:ascii="Times New Roman" w:hAnsi="Times New Roman"/>
          <w:sz w:val="20"/>
        </w:rPr>
        <w:t xml:space="preserve">During 2025, the Company entered into consulting arrangements with several former employees that provided for the continued vesting of outstanding stock options. The Company accounted for these arrangements as award modifications under ASC 718. Results of operations for the year ended December 31, 2025 include an immaterial amount of additional stock-based compensation expense associated with these modifications.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Company’s financial statements and related disclosures. Deferred tax assets and liabilities are determined on the basis of the differences between the Company’s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recognizes net deferred tax assets to the extent that the Company believes these assets are more likely than not to be realized. In making such a determination, management considers all available positive and negative evidence, including projected future taxable income, future reversals of existing taxable temporary differences,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Interest and penalties are included as a component of income tax expense.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Any resulting unrecognized tax benefits are included within the related tax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July 2025, legislation commonly referred to as the One Big Beautiful Bill Act (OBBBA) was enacted, which includes changes to U.S. tax law, including provisions affecting the deductibility of domestic research expenditures, limitations on interest expense deductions, and bonus depreciation. The Company evaluated the impact of the enacted legislation under ASC 740. Any remeasurement of deferred tax assets resulting from the legislation was fully offset by the Company’s existing valuation allowance. Accordingly, the enactment of the OBBBA did not have a material impact on the Company’s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reports all components of comprehensive income (loss), including net loss, in the financial statements in the period in which they are recognized. Comprehensive income (loss) is defined as the change in equity during a period from transactions and other events and circumstances from non-owner sources, including unrealized gains and losses on short-term investments. Other comprehensive income (loss) includes unrealized gains and losses on short-term investments, which was the only difference between net loss and comprehensive loss for the applicable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common share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calculated by dividing the net loss by the weighted-average number of shares of common stock and potentially dilutive securities outstanding during the period. The Company’s potentially dilutive securities, which include its options to purchase common stock, common stock subject to repurchase related to unvested restricted stock and options early exercised, and, for periods prior to April 2, 2024, convertible preferred stock, have been excluded from the calculation of diluted net loss per share as the effect would reduce the net loss per share. Therefore, the weighted-average number of shares of common stock outstanding used to calculate both basic and diluted net loss per share is the same.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still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which means that when an accounting standard is issued or revised and it has different effective dates for public and private companies, the Company can comply with the effective dates applicable to private companies. As a result, the Company’s financial statements may not be comparable to companies that comply with new or revised accounting standards as of public company effective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Improvements to Income Tax Disclosures</w:t>
      </w:r>
      <w:r>
        <w:rPr>
          <w:rFonts w:ascii="Times New Roman" w:hAnsi="Times New Roman"/>
          <w:sz w:val="20"/>
        </w:rPr>
        <w:t xml:space="preserve">. The update enhances income tax disclosure requirements, including expanded information related to the effective tax rate reconciliation and income taxes paid, and does not affect the recognition or measurement of income taxes. The Company adopted this guidance effective January 1, 2025 and applied the new disclosure requirements prospectively for the year ended December 31, 2025. The adoption did not materially affect the Company’s financial statements, and the additional required disclosures are included in Note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Recently Issued Accounting Pronouncements Pending Adoption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 (Subtopic 220-40): Disaggregation of Income Statement Expenses (ASU 2024-03)</w:t>
      </w:r>
      <w:r>
        <w:rPr>
          <w:rFonts w:ascii="Times New Roman" w:hAnsi="Times New Roman"/>
          <w:sz w:val="20"/>
        </w:rPr>
        <w:t xml:space="preserve">. The new guidance requires more detailed information about specified types of expenses (including purchases of inventory, employee compensation, depreciation, amortization, and depletion) in commonly presented expense captions (such as R&amp;D and G&amp;A) presented on the face of the statement of operations on an annual and interim basis. This guidance will be effective for annual periods beginning after December 15, 2026, and interim periods beginning after December 15, 2027. The new standard permits early adoption and can be applied prospectively or retrospectively. The Company is evaluating the effect that this guidance will have on its financial statements and related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the Company’s financial assets measured at fair value on a recurring basis and their respective input levels based on the fair value hierarchy described in Note 2 above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58"/>
        <w:gridCol w:w="295"/>
        <w:gridCol w:w="140"/>
        <w:gridCol w:w="854"/>
        <w:gridCol w:w="60"/>
        <w:gridCol w:w="295"/>
        <w:gridCol w:w="155"/>
        <w:gridCol w:w="765"/>
        <w:gridCol w:w="60"/>
        <w:gridCol w:w="295"/>
        <w:gridCol w:w="155"/>
        <w:gridCol w:w="765"/>
        <w:gridCol w:w="60"/>
        <w:gridCol w:w="295"/>
        <w:gridCol w:w="203"/>
        <w:gridCol w:w="565"/>
        <w:gridCol w:w="68"/>
      </w:tblGrid>
      <w:tr>
        <w:trPr/>
        <w:tc>
          <w:tcPr>
            <w:tcW w:w="435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5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31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Measurements Using</w:t>
            </w:r>
          </w:p>
        </w:tc>
        <w:tc>
          <w:tcPr>
            <w:tcW w:w="68" w:type="dxa"/>
            <w:tcBorders/>
            <w:vAlign w:val="bottom"/>
          </w:tcPr>
          <w:p>
            <w:pPr>
              <w:pStyle w:val="TableContents"/>
              <w:bidi w:val="0"/>
              <w:spacing w:before="0" w:after="283"/>
              <w:jc w:val="left"/>
              <w:rPr/>
            </w:pPr>
            <w:r>
              <w:rPr/>
              <w:t> </w:t>
            </w:r>
          </w:p>
        </w:tc>
      </w:tr>
      <w:tr>
        <w:trPr/>
        <w:tc>
          <w:tcPr>
            <w:tcW w:w="43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2025</w:t>
            </w:r>
          </w:p>
        </w:tc>
        <w:tc>
          <w:tcPr>
            <w:tcW w:w="2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8" w:type="dxa"/>
            <w:tcBorders/>
            <w:vAlign w:val="bottom"/>
          </w:tcPr>
          <w:p>
            <w:pPr>
              <w:pStyle w:val="TableContents"/>
              <w:bidi w:val="0"/>
              <w:spacing w:before="0" w:after="283"/>
              <w:jc w:val="left"/>
              <w:rPr/>
            </w:pPr>
            <w:r>
              <w:rPr/>
              <w:t> </w:t>
            </w:r>
          </w:p>
        </w:tc>
      </w:tr>
      <w:tr>
        <w:trPr/>
        <w:tc>
          <w:tcPr>
            <w:tcW w:w="435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3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Money market funds (1)</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4" w:type="dxa"/>
            <w:tcBorders/>
            <w:vAlign w:val="bottom"/>
          </w:tcPr>
          <w:p>
            <w:pPr>
              <w:pStyle w:val="TableContents"/>
              <w:bidi w:val="0"/>
              <w:spacing w:before="0" w:after="283"/>
              <w:jc w:val="right"/>
              <w:rPr/>
            </w:pPr>
            <w:r>
              <w:rPr/>
              <w:t>16,100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16,100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3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U.S. government obligations (2)</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89,713</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89,713</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fair value of assets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4" w:type="dxa"/>
            <w:tcBorders/>
            <w:vAlign w:val="bottom"/>
          </w:tcPr>
          <w:p>
            <w:pPr>
              <w:pStyle w:val="TableContents"/>
              <w:bidi w:val="0"/>
              <w:spacing w:before="0" w:after="283"/>
              <w:jc w:val="right"/>
              <w:rPr/>
            </w:pPr>
            <w:r>
              <w:rPr/>
              <w:t>105,813</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16,100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89,713</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cash and cash equivalents on the balance sheets.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short-term investments on the balance sheets.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32"/>
        <w:gridCol w:w="290"/>
        <w:gridCol w:w="140"/>
        <w:gridCol w:w="856"/>
        <w:gridCol w:w="60"/>
        <w:gridCol w:w="290"/>
        <w:gridCol w:w="156"/>
        <w:gridCol w:w="765"/>
        <w:gridCol w:w="60"/>
        <w:gridCol w:w="290"/>
        <w:gridCol w:w="156"/>
        <w:gridCol w:w="906"/>
        <w:gridCol w:w="60"/>
        <w:gridCol w:w="290"/>
        <w:gridCol w:w="203"/>
        <w:gridCol w:w="567"/>
        <w:gridCol w:w="67"/>
      </w:tblGrid>
      <w:tr>
        <w:trPr/>
        <w:tc>
          <w:tcPr>
            <w:tcW w:w="4232"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3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9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345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Measurements Using</w:t>
            </w:r>
          </w:p>
        </w:tc>
        <w:tc>
          <w:tcPr>
            <w:tcW w:w="67" w:type="dxa"/>
            <w:tcBorders/>
            <w:vAlign w:val="bottom"/>
          </w:tcPr>
          <w:p>
            <w:pPr>
              <w:pStyle w:val="TableContents"/>
              <w:bidi w:val="0"/>
              <w:spacing w:before="0" w:after="283"/>
              <w:jc w:val="left"/>
              <w:rPr/>
            </w:pPr>
            <w:r>
              <w:rPr/>
              <w:t> </w:t>
            </w:r>
          </w:p>
        </w:tc>
      </w:tr>
      <w:tr>
        <w:trPr/>
        <w:tc>
          <w:tcPr>
            <w:tcW w:w="42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2024</w:t>
            </w:r>
          </w:p>
        </w:tc>
        <w:tc>
          <w:tcPr>
            <w:tcW w:w="290"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7" w:type="dxa"/>
            <w:tcBorders/>
            <w:vAlign w:val="bottom"/>
          </w:tcPr>
          <w:p>
            <w:pPr>
              <w:pStyle w:val="TableContents"/>
              <w:bidi w:val="0"/>
              <w:spacing w:before="0" w:after="283"/>
              <w:jc w:val="left"/>
              <w:rPr/>
            </w:pPr>
            <w:r>
              <w:rPr/>
              <w:t> </w:t>
            </w:r>
          </w:p>
        </w:tc>
      </w:tr>
      <w:tr>
        <w:trPr/>
        <w:tc>
          <w:tcPr>
            <w:tcW w:w="42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2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Money market funds (1)</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24,889</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24,889</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2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U.S. government obligations (2)</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118,289</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118,289</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2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Corporate debt securities (2)</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7,238</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7,238</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23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fair value of assets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150,416</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24,889</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125,527</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23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cash and cash equivalents on the balance sheets.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short-term investments on the balance sheets.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money market funds are classified as Level 1 because they are valued using quoted market prices in active markets for identical assets. The Company’s investments consist of available-for-sale securities and are classified as Level 2 because their value is based on valuations using significant inputs derived from or corroborated by observable market data.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of assets between fair value levels for any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investments accounted for as available-for-sale securities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48"/>
        <w:gridCol w:w="321"/>
        <w:gridCol w:w="175"/>
        <w:gridCol w:w="1030"/>
        <w:gridCol w:w="60"/>
        <w:gridCol w:w="321"/>
        <w:gridCol w:w="305"/>
        <w:gridCol w:w="840"/>
        <w:gridCol w:w="60"/>
        <w:gridCol w:w="321"/>
        <w:gridCol w:w="305"/>
        <w:gridCol w:w="840"/>
        <w:gridCol w:w="60"/>
        <w:gridCol w:w="321"/>
        <w:gridCol w:w="237"/>
        <w:gridCol w:w="1374"/>
        <w:gridCol w:w="70"/>
      </w:tblGrid>
      <w:tr>
        <w:trPr/>
        <w:tc>
          <w:tcPr>
            <w:tcW w:w="2748"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748"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24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70" w:type="dxa"/>
            <w:tcBorders/>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Acquisition</w:t>
              <w:br/>
              <w:t>Cost</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Fair</w:t>
              <w:br/>
              <w:t>Value</w:t>
            </w:r>
          </w:p>
        </w:tc>
        <w:tc>
          <w:tcPr>
            <w:tcW w:w="70" w:type="dxa"/>
            <w:tcBorders/>
            <w:vAlign w:val="bottom"/>
          </w:tcPr>
          <w:p>
            <w:pPr>
              <w:pStyle w:val="TableContents"/>
              <w:bidi w:val="0"/>
              <w:spacing w:before="0" w:after="283"/>
              <w:jc w:val="left"/>
              <w:rPr/>
            </w:pPr>
            <w:r>
              <w:rPr/>
              <w:t> </w:t>
            </w:r>
          </w:p>
        </w:tc>
      </w:tr>
      <w:tr>
        <w:trPr/>
        <w:tc>
          <w:tcPr>
            <w:tcW w:w="27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16,100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16,100</w:t>
            </w:r>
          </w:p>
        </w:tc>
        <w:tc>
          <w:tcPr>
            <w:tcW w:w="70" w:type="dxa"/>
            <w:tcBorders/>
            <w:shd w:fill="CCEEFF" w:val="clear"/>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 government obligations</w:t>
            </w:r>
          </w:p>
        </w:tc>
        <w:tc>
          <w:tcPr>
            <w:tcW w:w="3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89,649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89,713</w:t>
            </w:r>
          </w:p>
        </w:tc>
        <w:tc>
          <w:tcPr>
            <w:tcW w:w="70" w:type="dxa"/>
            <w:tcBorders/>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7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105,749</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105,813</w:t>
            </w:r>
          </w:p>
        </w:tc>
        <w:tc>
          <w:tcPr>
            <w:tcW w:w="70" w:type="dxa"/>
            <w:tcBorders/>
            <w:shd w:fill="CCEEFF" w:val="clear"/>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748" w:type="dxa"/>
            <w:tcBorders/>
          </w:tcPr>
          <w:p>
            <w:pPr>
              <w:pStyle w:val="TableContents"/>
              <w:bidi w:val="0"/>
              <w:spacing w:before="0" w:after="0"/>
              <w:jc w:val="left"/>
              <w:rPr>
                <w:rFonts w:ascii="Times New Roman" w:hAnsi="Times New Roman"/>
                <w:sz w:val="20"/>
              </w:rPr>
            </w:pPr>
            <w:r>
              <w:rPr>
                <w:rFonts w:ascii="Times New Roman" w:hAnsi="Times New Roman"/>
                <w:sz w:val="20"/>
              </w:rPr>
              <w:t>Classified as:</w:t>
            </w:r>
          </w:p>
        </w:tc>
        <w:tc>
          <w:tcPr>
            <w:tcW w:w="3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37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16,100</w:t>
            </w:r>
          </w:p>
        </w:tc>
        <w:tc>
          <w:tcPr>
            <w:tcW w:w="70" w:type="dxa"/>
            <w:tcBorders/>
            <w:shd w:fill="CCEEFF" w:val="clear"/>
            <w:vAlign w:val="bottom"/>
          </w:tcPr>
          <w:p>
            <w:pPr>
              <w:pStyle w:val="TableContents"/>
              <w:bidi w:val="0"/>
              <w:spacing w:before="0" w:after="283"/>
              <w:jc w:val="left"/>
              <w:rPr/>
            </w:pPr>
            <w:r>
              <w:rPr/>
              <w:t> </w:t>
            </w:r>
          </w:p>
        </w:tc>
      </w:tr>
      <w:tr>
        <w:trPr/>
        <w:tc>
          <w:tcPr>
            <w:tcW w:w="274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89,713</w:t>
            </w:r>
          </w:p>
        </w:tc>
        <w:tc>
          <w:tcPr>
            <w:tcW w:w="70" w:type="dxa"/>
            <w:tcBorders/>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105,813</w:t>
            </w:r>
          </w:p>
        </w:tc>
        <w:tc>
          <w:tcPr>
            <w:tcW w:w="70" w:type="dxa"/>
            <w:tcBorders/>
            <w:shd w:fill="CCEEFF" w:val="clear"/>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4"/>
        <w:gridCol w:w="354"/>
        <w:gridCol w:w="175"/>
        <w:gridCol w:w="1026"/>
        <w:gridCol w:w="60"/>
        <w:gridCol w:w="354"/>
        <w:gridCol w:w="304"/>
        <w:gridCol w:w="837"/>
        <w:gridCol w:w="60"/>
        <w:gridCol w:w="354"/>
        <w:gridCol w:w="304"/>
        <w:gridCol w:w="837"/>
        <w:gridCol w:w="155"/>
        <w:gridCol w:w="318"/>
        <w:gridCol w:w="237"/>
        <w:gridCol w:w="1333"/>
        <w:gridCol w:w="66"/>
      </w:tblGrid>
      <w:tr>
        <w:trPr/>
        <w:tc>
          <w:tcPr>
            <w:tcW w:w="261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1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635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6" w:type="dxa"/>
            <w:tcBorders/>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Acquisition</w:t>
              <w:br/>
              <w:t>Cost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Fair</w:t>
              <w:br/>
              <w:t>Value</w:t>
            </w:r>
          </w:p>
        </w:tc>
        <w:tc>
          <w:tcPr>
            <w:tcW w:w="66"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5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24,889</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24,889</w:t>
            </w:r>
          </w:p>
        </w:tc>
        <w:tc>
          <w:tcPr>
            <w:tcW w:w="66"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 government obligations</w:t>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118,170</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118,289</w:t>
            </w:r>
          </w:p>
        </w:tc>
        <w:tc>
          <w:tcPr>
            <w:tcW w:w="66"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Corporate debt securities</w:t>
            </w:r>
          </w:p>
        </w:tc>
        <w:tc>
          <w:tcPr>
            <w:tcW w:w="35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7,236</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7,238</w:t>
            </w:r>
          </w:p>
        </w:tc>
        <w:tc>
          <w:tcPr>
            <w:tcW w:w="66"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150,295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150,416</w:t>
            </w:r>
          </w:p>
        </w:tc>
        <w:tc>
          <w:tcPr>
            <w:tcW w:w="66" w:type="dxa"/>
            <w:tcBorders/>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Classified as:</w:t>
            </w:r>
          </w:p>
        </w:tc>
        <w:tc>
          <w:tcPr>
            <w:tcW w:w="35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8"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1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24,889</w:t>
            </w:r>
          </w:p>
        </w:tc>
        <w:tc>
          <w:tcPr>
            <w:tcW w:w="66" w:type="dxa"/>
            <w:tcBorders/>
            <w:vAlign w:val="bottom"/>
          </w:tcPr>
          <w:p>
            <w:pPr>
              <w:pStyle w:val="TableContents"/>
              <w:bidi w:val="0"/>
              <w:spacing w:before="0" w:after="283"/>
              <w:jc w:val="left"/>
              <w:rPr/>
            </w:pPr>
            <w:r>
              <w:rPr/>
              <w:t> </w:t>
            </w:r>
          </w:p>
        </w:tc>
      </w:tr>
      <w:tr>
        <w:trPr/>
        <w:tc>
          <w:tcPr>
            <w:tcW w:w="2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5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8"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125,527</w:t>
            </w:r>
          </w:p>
        </w:tc>
        <w:tc>
          <w:tcPr>
            <w:tcW w:w="66"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614"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150,416</w:t>
            </w:r>
          </w:p>
        </w:tc>
        <w:tc>
          <w:tcPr>
            <w:tcW w:w="66" w:type="dxa"/>
            <w:tcBorders/>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December 31, 2025 and 2024, the remaining contractual maturities of all the Company’s available-for-sale investments were less than twelve months. As of December 31, 2025 and 2024, the Company has not established an allowance for credit losses for any of its available-for-sale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there were no available-for-sale securities in a gross unrealized loss position. As of December 31, 2024, there was one available-for-sale security, with an estimated fair value of $8.0 million, in a gross unrealized loss position. Based on its review of these investments as of December 31, 2025 and 2024, the Company believed that the unrealized loss as of December 31, 2024 was not other-than-temporary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3"/>
        <w:gridCol w:w="375"/>
        <w:gridCol w:w="142"/>
        <w:gridCol w:w="632"/>
        <w:gridCol w:w="60"/>
        <w:gridCol w:w="375"/>
        <w:gridCol w:w="142"/>
        <w:gridCol w:w="632"/>
        <w:gridCol w:w="64"/>
      </w:tblGrid>
      <w:tr>
        <w:trPr/>
        <w:tc>
          <w:tcPr>
            <w:tcW w:w="5333"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9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4,373</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4,338</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Computers and software</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895</w:t>
            </w:r>
          </w:p>
        </w:tc>
        <w:tc>
          <w:tcPr>
            <w:tcW w:w="6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1,054</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981</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1,853</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1,816</w:t>
            </w:r>
          </w:p>
        </w:tc>
        <w:tc>
          <w:tcPr>
            <w:tcW w:w="6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8,176</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8,030</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4,960</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3,709</w:t>
            </w:r>
          </w:p>
        </w:tc>
        <w:tc>
          <w:tcPr>
            <w:tcW w:w="6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3,216</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4,321</w:t>
            </w:r>
          </w:p>
        </w:tc>
        <w:tc>
          <w:tcPr>
            <w:tcW w:w="6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related to property and equipment was $1.3 million and $1.1 million for the years ended December 31, 2025 and 2024,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Payable and Accrued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42"/>
        <w:gridCol w:w="378"/>
        <w:gridCol w:w="140"/>
        <w:gridCol w:w="626"/>
        <w:gridCol w:w="60"/>
        <w:gridCol w:w="378"/>
        <w:gridCol w:w="140"/>
        <w:gridCol w:w="626"/>
        <w:gridCol w:w="65"/>
      </w:tblGrid>
      <w:tr>
        <w:trPr/>
        <w:tc>
          <w:tcPr>
            <w:tcW w:w="5342"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42"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3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1,491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1,274</w:t>
            </w:r>
          </w:p>
        </w:tc>
        <w:tc>
          <w:tcPr>
            <w:tcW w:w="65" w:type="dxa"/>
            <w:tcBorders/>
            <w:shd w:fill="CCEEFF" w:val="clear"/>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4,719</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2,584</w:t>
            </w:r>
          </w:p>
        </w:tc>
        <w:tc>
          <w:tcPr>
            <w:tcW w:w="65" w:type="dxa"/>
            <w:tcBorders/>
            <w:vAlign w:val="bottom"/>
          </w:tcPr>
          <w:p>
            <w:pPr>
              <w:pStyle w:val="TableContents"/>
              <w:bidi w:val="0"/>
              <w:spacing w:before="0" w:after="283"/>
              <w:jc w:val="left"/>
              <w:rPr/>
            </w:pPr>
            <w:r>
              <w:rPr/>
              <w:t> </w:t>
            </w:r>
          </w:p>
        </w:tc>
      </w:tr>
      <w:tr>
        <w:trPr/>
        <w:tc>
          <w:tcPr>
            <w:tcW w:w="53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517</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1,496</w:t>
            </w:r>
          </w:p>
        </w:tc>
        <w:tc>
          <w:tcPr>
            <w:tcW w:w="65" w:type="dxa"/>
            <w:tcBorders/>
            <w:shd w:fill="CCEEFF" w:val="clear"/>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liabilities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6,727</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5,354</w:t>
            </w:r>
          </w:p>
        </w:tc>
        <w:tc>
          <w:tcPr>
            <w:tcW w:w="65" w:type="dxa"/>
            <w:tcBorders/>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2024 Lease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party to a non-cancellable facility lease for approximately 80,168 square feet of lab and office space in San Diego, California (the 2024 Lease). The 2024 Lease has an initial lease term of 120 months, which commenced in November 2024; the lease also provides the Company with the right to extend the lease term for an additional 60 months at expiry, which has not been included in the lease term used for measurement. The 2024 Lease includes obligations to make base rent payments and additional variable lease payments for the Company’s allocated share of variable costs associated with the operation and management of the property, which include utilities, property taxes, common area maintenance, and amenities costs. The lease provided for a rent abatement period through July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maintain a security deposit under the 2024 Lease in the form of a standby letter-of-credit. This letter of credit is collateralized by a restricted cash deposit at the Company’s bank of approximately $0.6 million, which is included in long-term other assets in the balance sheet. The 2024 Lease does not contain any material residual value guarantees or material restrictive financial covenants. See the table below for information about the Company’s future undiscounted operating lease payment obligations under the 2024 Lease as of December 31, 2025, exclusive of future variable lease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recorded an operating lease liability for this obligation based on the present value of the lease payments using an estimated incremental borrowing rate of approximately 8.3%, as the 2024 Lease does not have a stated rate and the implicit rate was not readily determinable, and a right-of-use (ROU) asset based on the corresponding operating lease liability. Management exercised judgment in estimating the incremental borrowing rate and in determining the lease term. The renewal option was evaluated at lease commencement and excluded from the lease term, as the Company is not reasonably certain to exercise the option. The net ROU asset and associated lease liability are reflected in the Company’s balance sheet as of December 31, 2025 and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2024 Lease, which expires in October 2034, was the Company’s only lease. The Company previously was a party to a non-cancellable operating lease for the rental of other lab and office space in San Diego, California, which served as its prior corporate headquarters and for which the lease term ended in November 2024. Lease expense related to the 2024 Lease and the lease agreement for the Company’s prior corporate headquarters totaled approximately $9.6 million and $4.0 million for the years ended December 31, 2025 and 2024, respectively, and included operating lease costs of $7.3 million and $3.6 million, and variable lease costs of $2.3 million and $0.4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$2.6 million in cash for amounts included in operating lease liabilities, which was included in the operating activities section of the statements of cash flows, for each of the years ended December 31, 2025 and 2024. The remaining lease term and discount rate for the 2024 Lease were 8.8 years and 8.3%, respectively, as of December 31, 2025, and 9.8 years and 8.3%, respectively, as of December 31, 2024 (the calculations of remaining lease term excludes the renewal option). Future undiscounted operating lease payments under the 2024 Lease as of December 31, 2025, exclusive of future variable lease payments,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7"/>
        <w:gridCol w:w="443"/>
        <w:gridCol w:w="145"/>
        <w:gridCol w:w="1085"/>
        <w:gridCol w:w="159"/>
      </w:tblGrid>
      <w:tr>
        <w:trPr/>
        <w:tc>
          <w:tcPr>
            <w:tcW w:w="5107"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07" w:type="dxa"/>
            <w:tcBorders/>
            <w:vAlign w:val="bottom"/>
          </w:tcPr>
          <w:p>
            <w:pPr>
              <w:pStyle w:val="TableContents"/>
              <w:bidi w:val="0"/>
              <w:spacing w:before="0" w:after="283"/>
              <w:jc w:val="left"/>
              <w:rPr>
                <w:b/>
              </w:rPr>
            </w:pPr>
            <w:r>
              <w:rPr>
                <w:b/>
              </w:rPr>
              <w:t>Year ending December 31,</w:t>
            </w:r>
          </w:p>
        </w:tc>
        <w:tc>
          <w:tcPr>
            <w:tcW w:w="443"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1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7,052</w:t>
            </w:r>
          </w:p>
        </w:tc>
        <w:tc>
          <w:tcPr>
            <w:tcW w:w="159" w:type="dxa"/>
            <w:tcBorders/>
            <w:shd w:fill="CCEEFF" w:val="clear"/>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7,255</w:t>
            </w:r>
          </w:p>
        </w:tc>
        <w:tc>
          <w:tcPr>
            <w:tcW w:w="159" w:type="dxa"/>
            <w:tcBorders/>
            <w:vAlign w:val="bottom"/>
          </w:tcPr>
          <w:p>
            <w:pPr>
              <w:pStyle w:val="TableContents"/>
              <w:bidi w:val="0"/>
              <w:spacing w:before="0" w:after="283"/>
              <w:jc w:val="left"/>
              <w:rPr/>
            </w:pPr>
            <w:r>
              <w:rPr/>
              <w:t> </w:t>
            </w:r>
          </w:p>
        </w:tc>
      </w:tr>
      <w:tr>
        <w:trPr/>
        <w:tc>
          <w:tcPr>
            <w:tcW w:w="51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7,465</w:t>
            </w:r>
          </w:p>
        </w:tc>
        <w:tc>
          <w:tcPr>
            <w:tcW w:w="159" w:type="dxa"/>
            <w:tcBorders/>
            <w:shd w:fill="CCEEFF" w:val="clear"/>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7,680</w:t>
            </w:r>
          </w:p>
        </w:tc>
        <w:tc>
          <w:tcPr>
            <w:tcW w:w="159" w:type="dxa"/>
            <w:tcBorders/>
            <w:vAlign w:val="bottom"/>
          </w:tcPr>
          <w:p>
            <w:pPr>
              <w:pStyle w:val="TableContents"/>
              <w:bidi w:val="0"/>
              <w:spacing w:before="0" w:after="283"/>
              <w:jc w:val="left"/>
              <w:rPr/>
            </w:pPr>
            <w:r>
              <w:rPr/>
              <w:t> </w:t>
            </w:r>
          </w:p>
        </w:tc>
      </w:tr>
      <w:tr>
        <w:trPr/>
        <w:tc>
          <w:tcPr>
            <w:tcW w:w="51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7,902</w:t>
            </w:r>
          </w:p>
        </w:tc>
        <w:tc>
          <w:tcPr>
            <w:tcW w:w="159"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32,465</w:t>
            </w:r>
          </w:p>
        </w:tc>
        <w:tc>
          <w:tcPr>
            <w:tcW w:w="159"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undiscounted operating lease payments</w:t>
            </w:r>
          </w:p>
        </w:tc>
        <w:tc>
          <w:tcPr>
            <w:tcW w:w="4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69,819</w:t>
            </w:r>
          </w:p>
        </w:tc>
        <w:tc>
          <w:tcPr>
            <w:tcW w:w="159"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interest</w:t>
            </w:r>
          </w:p>
        </w:tc>
        <w:tc>
          <w:tcPr>
            <w:tcW w:w="4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(20,784</w:t>
            </w:r>
          </w:p>
        </w:tc>
        <w:tc>
          <w:tcPr>
            <w:tcW w:w="159"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 </w:t>
            </w:r>
            <w:r>
              <w:rPr/>
              <w:t>49,035</w:t>
            </w:r>
          </w:p>
        </w:tc>
        <w:tc>
          <w:tcPr>
            <w:tcW w:w="159" w:type="dxa"/>
            <w:tcBorders/>
            <w:shd w:fill="CCEEFF" w:val="clear"/>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other than payment for any products or services provided by the counterparty through the notice date or effective time of termination and any non-cancellable and non-refundable obligations incurred by the counterparty prior to the notice date or effective time of the termination, and do not contain any minimum purchase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because of their status or service as officers or directors. The maximum potential future payments the Company could be required to make under these indemnification arrangements is, in many cases, unlimited. To date, the Company has not incurred any material costs because of these indemnifications. The Company has not accrued any liabilities related to such indemnification arrangements in its financial statements as of December 31, 2025 or 2024 because it determined the likelihood of incurring a payment obligation pursuant to such arrangements was not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years ended December 31, 2025 and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outstanding share of common stock is entitled to one vote on all matters submitted to a vote of the holders of common stock. Subject to the rights of the holders of any class of the Company’s capital stock having any preference or priority over common stock, the holders of common stock are entitled to receive dividends that are declared by the Company’s board of directors out of legally available funds. In the event of a liquidation, dissolution or winding-up, the holders of common stock are entitled to share ratably in the net assets remaining after payment of liabilities and the liquidation value of any class of the Company’s capital stock having any preference or priority over the common stock then outstanding, if any. The common stock has no preemptive rights, conversion rights, redemption rights, preference rights, or exchange rights, or sinking fund provisions, and there are no dividends in arrears or default. All shares of common stock have equal distribution, liquidation and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Reserved for Future Issuance </w:t>
      </w:r>
    </w:p>
    <w:p>
      <w:pPr>
        <w:pStyle w:val="TextBody"/>
        <w:bidi w:val="0"/>
        <w:spacing w:before="120" w:after="0"/>
        <w:jc w:val="left"/>
        <w:rPr>
          <w:rFonts w:ascii="Times New Roman" w:hAnsi="Times New Roman"/>
          <w:sz w:val="20"/>
        </w:rPr>
      </w:pPr>
      <w:r>
        <w:rPr>
          <w:rFonts w:ascii="Times New Roman" w:hAnsi="Times New Roman"/>
          <w:sz w:val="20"/>
        </w:rPr>
        <w:t xml:space="preserve">Common stock reserved for future issuance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57"/>
        <w:gridCol w:w="312"/>
        <w:gridCol w:w="81"/>
        <w:gridCol w:w="769"/>
        <w:gridCol w:w="81"/>
        <w:gridCol w:w="338"/>
        <w:gridCol w:w="81"/>
        <w:gridCol w:w="772"/>
        <w:gridCol w:w="64"/>
      </w:tblGrid>
      <w:tr>
        <w:trPr/>
        <w:tc>
          <w:tcPr>
            <w:tcW w:w="525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57"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1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1"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 of stock options issued and outstanding</w:t>
            </w:r>
          </w:p>
        </w:tc>
        <w:tc>
          <w:tcPr>
            <w:tcW w:w="31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4,234</w:t>
            </w:r>
          </w:p>
        </w:tc>
        <w:tc>
          <w:tcPr>
            <w:tcW w:w="81"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3,818</w:t>
            </w:r>
          </w:p>
        </w:tc>
        <w:tc>
          <w:tcPr>
            <w:tcW w:w="64" w:type="dxa"/>
            <w:tcBorders/>
            <w:shd w:fill="CCEEFF" w:val="clear"/>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equity incentive plan</w:t>
            </w:r>
          </w:p>
        </w:tc>
        <w:tc>
          <w:tcPr>
            <w:tcW w:w="31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3,348</w:t>
            </w:r>
          </w:p>
        </w:tc>
        <w:tc>
          <w:tcPr>
            <w:tcW w:w="81"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2,648</w:t>
            </w:r>
          </w:p>
        </w:tc>
        <w:tc>
          <w:tcPr>
            <w:tcW w:w="64" w:type="dxa"/>
            <w:tcBorders/>
            <w:vAlign w:val="bottom"/>
          </w:tcPr>
          <w:p>
            <w:pPr>
              <w:pStyle w:val="TableContents"/>
              <w:bidi w:val="0"/>
              <w:spacing w:before="0" w:after="283"/>
              <w:jc w:val="left"/>
              <w:rPr/>
            </w:pPr>
            <w:r>
              <w:rPr/>
              <w:t> </w:t>
            </w:r>
          </w:p>
        </w:tc>
      </w:tr>
      <w:tr>
        <w:trPr/>
        <w:tc>
          <w:tcPr>
            <w:tcW w:w="5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ESPP</w:t>
            </w:r>
          </w:p>
        </w:tc>
        <w:tc>
          <w:tcPr>
            <w:tcW w:w="31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303</w:t>
            </w:r>
          </w:p>
        </w:tc>
        <w:tc>
          <w:tcPr>
            <w:tcW w:w="81"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187</w:t>
            </w:r>
          </w:p>
        </w:tc>
        <w:tc>
          <w:tcPr>
            <w:tcW w:w="64" w:type="dxa"/>
            <w:tcBorders/>
            <w:shd w:fill="CCEEFF" w:val="clear"/>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7,885</w:t>
            </w:r>
          </w:p>
        </w:tc>
        <w:tc>
          <w:tcPr>
            <w:tcW w:w="81"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6,653</w:t>
            </w:r>
          </w:p>
        </w:tc>
        <w:tc>
          <w:tcPr>
            <w:tcW w:w="64" w:type="dxa"/>
            <w:tcBorders/>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7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Company’s board of directors adopted, and the Company’s stockholders approved, the 2024 Incentive Award Plan (the Plan), which became effective in connection with the IPO and has a term of ten years. The Plan provides for the grant of incentive stock options, nonqualified stock options, restricted stock, dividend equivalents, restricted stock units, stock appreciation rights, and other stock or cash-based awards to the Company’s employees, consultants, and directors. Options granted under the Plan are exercisable at various dates as determined upon grant and will expire no more than 10 years from their date of grant. Stock options generally vest over terms of either 36 or 48 months. The exercise price of awards granted under the Plan shall not be less than 100% of the fair market value of the Company’s common stock on the date of grant. In addition, the Plan includes an “evergreen” provision whereby the number of shares of common stock available for issuance under the Plan will be increased annually on the first day of each calendar year during the term of the Plan, beginning in 2025, by an amount equal to the lesser of (i) 5% of the shares of common stock outstanding on the final day of the immediately preceding calendar year or (ii) such number of shares as determined by the Company’s board of directors or an authorized committee of the board of directors. As of December 31, 2025, a total of 3,947,716 shares of common stock were authorized for issuance under the Plan. On December 31, 2025, 3,347,667 of these shares were available for grant under the Plan. On January 1, 2026, pursuant to the evergreen provision of the Plan, the aggregate number of shares that may be issued under the Plan was automatically increased by 1,120,362 shares to 5,068,078.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adoption of the Plan, the Company had awarded common stock options under the 2018 Equity Incentive Plan (as amended, the Predecessor Plan). Under the provisions of the Plan, the shares subject to awards issued under the Predecessor Plan that were outstanding as of March 27, 2024, the effective date of the Plan, and that are subsequently cancelled or forfeited, will become available for issuance under, and will increase the number of shares that may be issued under, the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Repricing of Outstanding Options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compensation committee of the Company’s board of directors, as administrator of the Plan and the Predecessor Plan, approved an option repricing (2024 Repricing), which was effective on August 19, 2024 (the Repricing Effective Date). The repricing applied to options to purchase up to an aggregate of 3,484,346 shares of the Company’s common stock with an exercise price per share in excess of the closing price per share of the Company’s common stock on the Repricing Effective Date, held by eligible employees of the Company that were granted under the Plan or the Predecessor Plan and were outstanding as of the Repricing Effective Date (the Repriced Options). As of the Repricing Effective Date, the exercise price of each of the Repriced Options was reduced to $3.56 per share, which was the closing price of the Company’s common stock on the Repricing Effective Date; provided, however, that if prior to the Premium End Date (as defined below), a Repriced Option is exercised or an employee’s employment or service with the Company terminates for any reason other than due to a Qualifying Termination (as defined below), the exercise price per share that applied to the Repriced Option immediately prior to the Repricing Effective Date will apply in lieu of the reduced exercise price. The “Premium End Date” means the earliest of: (1) August 19, 2026, (2) the date immediately prior to the closing of a Change in Control (as defined in the Plan), or (3) the date of the employee’s Qualifying Termination. A “Qualifying Termination” means (a) the involuntary termination of the employee’s employment by the Company due to a reduction in force (and other than for Cause (as defined in the Plan)), subject to the employee’s execution of an effective general release of claims in favor of the Company, (b) the employee’s death, or (c) termination of the employee’s employment by the Company following the employee’s Disability (as defined in the Plan). Except for the reduction in the exercise prices of the Repriced Options as described above, the Repriced Options retain their existing terms, including their respective original vesting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repricing resulted in a total incremental non-cash stock-based compensation expense of $0.9 million, which was calculated using the Black-Scholes option-pricing model, of which $0.2 million is associated with vested Repriced Options and will be recognized on a straight-line basis through the Premium End Date. The remaining $0.7 million of the incremental non-cash stock-based compensation expense is associated with unvested Repriced Options and will be recognized as follows: (i) if the Premium End Date occurs later than the end of the remaining vesting period of the Repriced Option, the incremental cost will be amortized on a straight-line basis through the Premium End Date, or (ii) if the Premium End Date occurs earlier than the end of the remaining vesting period of the Repriced Option, the incremental cost will be amortized on a straight-line basis over the remaining vesting period. The Company recognized incremental stock-based compensation expense totaling $0.2 million and $0.1 million associated with the 2024 Repricing for the years ended December 31, 2025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 activity under the Plan and the Predecessor Plan and certain other related information is as follows (in thousands except weighted-average exercise price and remaining term):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31"/>
        <w:gridCol w:w="384"/>
        <w:gridCol w:w="75"/>
        <w:gridCol w:w="807"/>
        <w:gridCol w:w="155"/>
        <w:gridCol w:w="384"/>
        <w:gridCol w:w="258"/>
        <w:gridCol w:w="818"/>
        <w:gridCol w:w="60"/>
        <w:gridCol w:w="384"/>
        <w:gridCol w:w="178"/>
        <w:gridCol w:w="984"/>
        <w:gridCol w:w="60"/>
        <w:gridCol w:w="383"/>
        <w:gridCol w:w="319"/>
        <w:gridCol w:w="840"/>
        <w:gridCol w:w="68"/>
      </w:tblGrid>
      <w:tr>
        <w:trPr/>
        <w:tc>
          <w:tcPr>
            <w:tcW w:w="3231"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231"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5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Term</w:t>
              <w:br/>
              <w:t>(years)</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8" w:type="dxa"/>
            <w:tcBorders/>
            <w:vAlign w:val="bottom"/>
          </w:tcPr>
          <w:p>
            <w:pPr>
              <w:pStyle w:val="TableContents"/>
              <w:bidi w:val="0"/>
              <w:spacing w:before="0" w:after="283"/>
              <w:jc w:val="left"/>
              <w:rPr/>
            </w:pPr>
            <w:r>
              <w:rPr/>
              <w:t> </w:t>
            </w:r>
          </w:p>
        </w:tc>
      </w:tr>
      <w:tr>
        <w:trPr/>
        <w:tc>
          <w:tcPr>
            <w:tcW w:w="3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38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3,818</w:t>
            </w:r>
          </w:p>
        </w:tc>
        <w:tc>
          <w:tcPr>
            <w:tcW w:w="155"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6.37</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7.2</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23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8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1,513</w:t>
            </w:r>
          </w:p>
        </w:tc>
        <w:tc>
          <w:tcPr>
            <w:tcW w:w="15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2.28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38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(1,097</w:t>
            </w:r>
          </w:p>
        </w:tc>
        <w:tc>
          <w:tcPr>
            <w:tcW w:w="155"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4.74</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23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231"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38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4,234</w:t>
            </w:r>
          </w:p>
        </w:tc>
        <w:tc>
          <w:tcPr>
            <w:tcW w:w="15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5.22</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28</w:t>
            </w:r>
          </w:p>
        </w:tc>
        <w:tc>
          <w:tcPr>
            <w:tcW w:w="68" w:type="dxa"/>
            <w:tcBorders/>
            <w:vAlign w:val="bottom"/>
          </w:tcPr>
          <w:p>
            <w:pPr>
              <w:pStyle w:val="TableContents"/>
              <w:bidi w:val="0"/>
              <w:spacing w:before="0" w:after="283"/>
              <w:jc w:val="left"/>
              <w:rPr/>
            </w:pPr>
            <w:r>
              <w:rPr/>
              <w:t> </w:t>
            </w:r>
          </w:p>
        </w:tc>
      </w:tr>
      <w:tr>
        <w:trPr/>
        <w:tc>
          <w:tcPr>
            <w:tcW w:w="323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expected to vest at December 31, 2025</w:t>
            </w:r>
          </w:p>
        </w:tc>
        <w:tc>
          <w:tcPr>
            <w:tcW w:w="38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4,234</w:t>
            </w:r>
          </w:p>
        </w:tc>
        <w:tc>
          <w:tcPr>
            <w:tcW w:w="155"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5.22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28</w:t>
            </w:r>
          </w:p>
        </w:tc>
        <w:tc>
          <w:tcPr>
            <w:tcW w:w="68" w:type="dxa"/>
            <w:tcBorders/>
            <w:shd w:fill="CCEEFF" w:val="clear"/>
            <w:vAlign w:val="bottom"/>
          </w:tcPr>
          <w:p>
            <w:pPr>
              <w:pStyle w:val="TableContents"/>
              <w:bidi w:val="0"/>
              <w:spacing w:before="0" w:after="283"/>
              <w:jc w:val="left"/>
              <w:rPr/>
            </w:pPr>
            <w:r>
              <w:rPr/>
              <w:t> </w:t>
            </w:r>
          </w:p>
        </w:tc>
      </w:tr>
      <w:tr>
        <w:trPr/>
        <w:tc>
          <w:tcPr>
            <w:tcW w:w="323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231"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2025</w:t>
            </w:r>
          </w:p>
        </w:tc>
        <w:tc>
          <w:tcPr>
            <w:tcW w:w="38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2,315</w:t>
            </w:r>
          </w:p>
        </w:tc>
        <w:tc>
          <w:tcPr>
            <w:tcW w:w="15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5.38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9</w:t>
            </w:r>
          </w:p>
        </w:tc>
        <w:tc>
          <w:tcPr>
            <w:tcW w:w="68" w:type="dxa"/>
            <w:tcBorders/>
            <w:vAlign w:val="bottom"/>
          </w:tcPr>
          <w:p>
            <w:pPr>
              <w:pStyle w:val="TableContents"/>
              <w:bidi w:val="0"/>
              <w:spacing w:before="0" w:after="283"/>
              <w:jc w:val="left"/>
              <w:rPr/>
            </w:pPr>
            <w:r>
              <w:rPr/>
              <w:t> </w:t>
            </w:r>
          </w:p>
        </w:tc>
      </w:tr>
      <w:tr>
        <w:trPr/>
        <w:tc>
          <w:tcPr>
            <w:tcW w:w="323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intrinsic value in the above table is the difference between the estimated fair value of the Company’s common stock as of either December 31, 2025 or 2024, and the exercise price of stock options that had exercise prices below that value. </w:t>
      </w:r>
    </w:p>
    <w:p>
      <w:pPr>
        <w:pStyle w:val="TextBody"/>
        <w:bidi w:val="0"/>
        <w:spacing w:before="240" w:after="0"/>
        <w:jc w:val="left"/>
        <w:rPr>
          <w:rFonts w:ascii="Times New Roman" w:hAnsi="Times New Roman"/>
          <w:sz w:val="20"/>
        </w:rPr>
      </w:pPr>
      <w:r>
        <w:rPr>
          <w:rFonts w:ascii="Times New Roman" w:hAnsi="Times New Roman"/>
          <w:sz w:val="20"/>
        </w:rPr>
        <w:t xml:space="preserve">For the Repriced Options, the calculation of the weighted-average prices and intrinsic value information in the table above is based on the exercise price per share that applied immediately prior to the Repricing Effective Date pending satisfaction of the requisite service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There were no options exercised during the year ended December 31, 2025; the options exercised during the year ended December 31, 2024 had an insignificant intrinsic value at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Company’s board of directors adopted, and the Company’s stockholders approved, the Company’s 2024 Employee Stock Purchase Plan, which became effective in connection with the IPO. The ESPP permits participants to contribute up to a specified percentage of their eligible compensation during a series of offering periods of 24 months, each comprised of four six-month purchase periods, to purchase shares of the Company’s common stock. The purchase price of the shares will be 85% of the fair market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Company’s common stock on the first day of trading of the applicable offering period or on the applicable purchase date, whichever is lower. In addition, the ESPP includes an “evergreen” provision whereby the number of shares of common stock available for issuance under the ESPP will be increased annually on the first day of each calendar year during the term of the ESPP by an amount equal to the lesser of (i) 1% of the shares of common stock outstanding on the final day of the immediately preceding calendar year or (ii) such number of shares as determined by the Company’s board of directors or an authorized committee of the board of directors. On January 1, 2026, pursuant to the evergreen provision of the ESPP, the aggregate number of shares authorized for issuance under the ESPP automatically increased by 224,072 shares to 678,991.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stock-based compensation expense related to the ESPP of $0.4 million and $0.5 million for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issued and sold 107,208 and 44,532 shares under the ESPP during the years ended December 31, 2025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including the expense related to the ESPP, as recorded in the accompanying statements of operations and comprehensive loss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92"/>
        <w:gridCol w:w="420"/>
        <w:gridCol w:w="205"/>
        <w:gridCol w:w="824"/>
        <w:gridCol w:w="87"/>
        <w:gridCol w:w="463"/>
        <w:gridCol w:w="205"/>
        <w:gridCol w:w="1194"/>
        <w:gridCol w:w="65"/>
      </w:tblGrid>
      <w:tr>
        <w:trPr/>
        <w:tc>
          <w:tcPr>
            <w:tcW w:w="4292"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92"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4292"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2024 </w:t>
            </w:r>
          </w:p>
        </w:tc>
        <w:tc>
          <w:tcPr>
            <w:tcW w:w="65" w:type="dxa"/>
            <w:tcBorders/>
            <w:vAlign w:val="bottom"/>
          </w:tcPr>
          <w:p>
            <w:pPr>
              <w:pStyle w:val="TableContents"/>
              <w:bidi w:val="0"/>
              <w:spacing w:before="0" w:after="283"/>
              <w:jc w:val="left"/>
              <w:rPr/>
            </w:pPr>
            <w:r>
              <w:rPr/>
              <w:t> </w:t>
            </w:r>
          </w:p>
        </w:tc>
      </w:tr>
      <w:tr>
        <w:trPr/>
        <w:tc>
          <w:tcPr>
            <w:tcW w:w="42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2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2,136</w:t>
            </w:r>
          </w:p>
        </w:tc>
        <w:tc>
          <w:tcPr>
            <w:tcW w:w="8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3,050</w:t>
            </w:r>
          </w:p>
        </w:tc>
        <w:tc>
          <w:tcPr>
            <w:tcW w:w="65" w:type="dxa"/>
            <w:tcBorders/>
            <w:shd w:fill="CCEEFF" w:val="clear"/>
            <w:vAlign w:val="bottom"/>
          </w:tcPr>
          <w:p>
            <w:pPr>
              <w:pStyle w:val="TableContents"/>
              <w:bidi w:val="0"/>
              <w:spacing w:before="0" w:after="283"/>
              <w:jc w:val="left"/>
              <w:rPr/>
            </w:pPr>
            <w:r>
              <w:rPr/>
              <w:t> </w:t>
            </w:r>
          </w:p>
        </w:tc>
      </w:tr>
      <w:tr>
        <w:trPr/>
        <w:tc>
          <w:tcPr>
            <w:tcW w:w="4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2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3,989</w:t>
            </w:r>
          </w:p>
        </w:tc>
        <w:tc>
          <w:tcPr>
            <w:tcW w:w="8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r>
              <w:rPr/>
              <w:t>4,466</w:t>
            </w:r>
          </w:p>
        </w:tc>
        <w:tc>
          <w:tcPr>
            <w:tcW w:w="65" w:type="dxa"/>
            <w:tcBorders/>
            <w:vAlign w:val="bottom"/>
          </w:tcPr>
          <w:p>
            <w:pPr>
              <w:pStyle w:val="TableContents"/>
              <w:bidi w:val="0"/>
              <w:spacing w:before="0" w:after="283"/>
              <w:jc w:val="left"/>
              <w:rPr/>
            </w:pPr>
            <w:r>
              <w:rPr/>
              <w:t> </w:t>
            </w:r>
          </w:p>
        </w:tc>
      </w:tr>
      <w:tr>
        <w:trPr/>
        <w:tc>
          <w:tcPr>
            <w:tcW w:w="429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42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6,125</w:t>
            </w:r>
          </w:p>
        </w:tc>
        <w:tc>
          <w:tcPr>
            <w:tcW w:w="8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7,516</w:t>
            </w:r>
          </w:p>
        </w:tc>
        <w:tc>
          <w:tcPr>
            <w:tcW w:w="65" w:type="dxa"/>
            <w:tcBorders/>
            <w:shd w:fill="CCEEFF" w:val="clear"/>
            <w:vAlign w:val="bottom"/>
          </w:tcPr>
          <w:p>
            <w:pPr>
              <w:pStyle w:val="TableContents"/>
              <w:bidi w:val="0"/>
              <w:spacing w:before="0" w:after="283"/>
              <w:jc w:val="left"/>
              <w:rPr/>
            </w:pPr>
            <w:r>
              <w:rPr/>
              <w:t> </w:t>
            </w:r>
          </w:p>
        </w:tc>
      </w:tr>
      <w:tr>
        <w:trPr/>
        <w:tc>
          <w:tcPr>
            <w:tcW w:w="429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unrecognized compensation cost related to outstanding stock options (all of which have time-based vesting) was $9.2 million, which is expected to be recognized over a weighted-average period of 2.2 years.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unrecognized compensation cost related to the ESPP was $0.6 million, which is expected to be recognized as expense over approximately 1.3 years. </w:t>
      </w:r>
    </w:p>
    <w:p>
      <w:pPr>
        <w:pStyle w:val="TextBody"/>
        <w:bidi w:val="0"/>
        <w:spacing w:before="240" w:after="0"/>
        <w:jc w:val="left"/>
        <w:rPr>
          <w:rFonts w:ascii="Times New Roman" w:hAnsi="Times New Roman"/>
          <w:sz w:val="20"/>
        </w:rPr>
      </w:pPr>
      <w:r>
        <w:rPr>
          <w:rFonts w:ascii="Times New Roman" w:hAnsi="Times New Roman"/>
          <w:sz w:val="20"/>
        </w:rPr>
        <w:t xml:space="preserve">Excluding any effect of the Repriced Options, except for Repriced Options held by employees who experienced a Qualifying Termination, the weighted-average assumptions used in the Black-Scholes option pricing model to determine the fair value of the stock options granted during the periods indicated in the table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0"/>
        <w:gridCol w:w="502"/>
        <w:gridCol w:w="109"/>
        <w:gridCol w:w="1072"/>
        <w:gridCol w:w="505"/>
        <w:gridCol w:w="448"/>
        <w:gridCol w:w="109"/>
        <w:gridCol w:w="830"/>
        <w:gridCol w:w="280"/>
      </w:tblGrid>
      <w:tr>
        <w:trPr/>
        <w:tc>
          <w:tcPr>
            <w:tcW w:w="3900"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30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0"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50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2024  </w:t>
            </w:r>
          </w:p>
        </w:tc>
        <w:tc>
          <w:tcPr>
            <w:tcW w:w="280" w:type="dxa"/>
            <w:tcBorders/>
            <w:vAlign w:val="bottom"/>
          </w:tcPr>
          <w:p>
            <w:pPr>
              <w:pStyle w:val="TableContents"/>
              <w:bidi w:val="0"/>
              <w:spacing w:before="0" w:after="283"/>
              <w:jc w:val="left"/>
              <w:rPr/>
            </w:pPr>
            <w:r>
              <w:rPr/>
              <w:t> </w:t>
            </w:r>
          </w:p>
        </w:tc>
      </w:tr>
      <w:tr>
        <w:trPr/>
        <w:tc>
          <w:tcPr>
            <w:tcW w:w="39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option life (in years)</w:t>
            </w:r>
          </w:p>
        </w:tc>
        <w:tc>
          <w:tcPr>
            <w:tcW w:w="50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5.9</w:t>
            </w:r>
          </w:p>
        </w:tc>
        <w:tc>
          <w:tcPr>
            <w:tcW w:w="50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6.0</w:t>
            </w:r>
          </w:p>
        </w:tc>
        <w:tc>
          <w:tcPr>
            <w:tcW w:w="28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Assumed volatility</w:t>
            </w:r>
          </w:p>
        </w:tc>
        <w:tc>
          <w:tcPr>
            <w:tcW w:w="50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105.2</w:t>
            </w:r>
          </w:p>
        </w:tc>
        <w:tc>
          <w:tcPr>
            <w:tcW w:w="50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90.8</w:t>
            </w:r>
          </w:p>
        </w:tc>
        <w:tc>
          <w:tcPr>
            <w:tcW w:w="280" w:type="dxa"/>
            <w:tcBorders/>
            <w:vAlign w:val="bottom"/>
          </w:tcPr>
          <w:p>
            <w:pPr>
              <w:pStyle w:val="TableContents"/>
              <w:bidi w:val="0"/>
              <w:spacing w:before="0" w:after="283"/>
              <w:jc w:val="left"/>
              <w:rPr/>
            </w:pPr>
            <w:r>
              <w:rPr/>
              <w:t>% </w:t>
            </w:r>
          </w:p>
        </w:tc>
      </w:tr>
      <w:tr>
        <w:trPr/>
        <w:tc>
          <w:tcPr>
            <w:tcW w:w="39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Assumed risk-free interest rate</w:t>
            </w:r>
          </w:p>
        </w:tc>
        <w:tc>
          <w:tcPr>
            <w:tcW w:w="50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4.4</w:t>
            </w:r>
          </w:p>
        </w:tc>
        <w:tc>
          <w:tcPr>
            <w:tcW w:w="50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3.9</w:t>
            </w:r>
          </w:p>
        </w:tc>
        <w:tc>
          <w:tcPr>
            <w:tcW w:w="280"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50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50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Excluding any effect due to the Repriced Options, except for Repriced Options held by employees who experienced a Qualifying Termination, the weighted-average grant date per share fair value of options granted during the years ended December 31, 2025 and 2024 were $1.88 and $7.19,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2025 and 2024, the Company’s pre-tax loss was entirely domestic. The Company adopted ASU 2023-09, </w:t>
      </w:r>
      <w:r>
        <w:rPr>
          <w:rFonts w:ascii="Times New Roman" w:hAnsi="Times New Roman"/>
          <w:i/>
          <w:sz w:val="20"/>
        </w:rPr>
        <w:t>Income Taxes (Topic 740): Improvements to Income Tax Disclosures</w:t>
      </w:r>
      <w:r>
        <w:rPr>
          <w:rFonts w:ascii="Times New Roman" w:hAnsi="Times New Roman"/>
          <w:sz w:val="20"/>
        </w:rPr>
        <w:t xml:space="preserve">, effective January 1, 2025. See Note 1 for additional information regarding the adoption of this standard.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of income taxes computed at the federal statutory rate to the Company’s effective income tax rate for the year ended December 31, 2025, prepared in accordance with ASC 740 as amended by ASU 2023-09, is as follows (in thousands, except percentages):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48"/>
        <w:gridCol w:w="454"/>
        <w:gridCol w:w="261"/>
        <w:gridCol w:w="1414"/>
        <w:gridCol w:w="289"/>
        <w:gridCol w:w="510"/>
        <w:gridCol w:w="112"/>
        <w:gridCol w:w="987"/>
        <w:gridCol w:w="280"/>
      </w:tblGrid>
      <w:tr>
        <w:trPr/>
        <w:tc>
          <w:tcPr>
            <w:tcW w:w="3448"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448"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35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2025</w:t>
            </w:r>
          </w:p>
        </w:tc>
        <w:tc>
          <w:tcPr>
            <w:tcW w:w="280" w:type="dxa"/>
            <w:tcBorders/>
            <w:vAlign w:val="bottom"/>
          </w:tcPr>
          <w:p>
            <w:pPr>
              <w:pStyle w:val="TableContents"/>
              <w:bidi w:val="0"/>
              <w:spacing w:before="0" w:after="283"/>
              <w:jc w:val="left"/>
              <w:rPr/>
            </w:pPr>
            <w:r>
              <w:rPr/>
              <w:t> </w:t>
            </w:r>
          </w:p>
        </w:tc>
      </w:tr>
      <w:tr>
        <w:trPr/>
        <w:tc>
          <w:tcPr>
            <w:tcW w:w="3448"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89"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280" w:type="dxa"/>
            <w:tcBorders/>
            <w:vAlign w:val="bottom"/>
          </w:tcPr>
          <w:p>
            <w:pPr>
              <w:pStyle w:val="TableContents"/>
              <w:bidi w:val="0"/>
              <w:spacing w:before="0" w:after="283"/>
              <w:jc w:val="left"/>
              <w:rPr/>
            </w:pPr>
            <w:r>
              <w:rPr/>
              <w:t> </w:t>
            </w:r>
          </w:p>
        </w:tc>
      </w:tr>
      <w:tr>
        <w:trPr/>
        <w:tc>
          <w:tcPr>
            <w:tcW w:w="34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computed at the federal statutory tax rate</w:t>
            </w:r>
          </w:p>
        </w:tc>
        <w:tc>
          <w:tcPr>
            <w:tcW w:w="45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14" w:type="dxa"/>
            <w:tcBorders/>
            <w:shd w:fill="CCEEFF" w:val="clear"/>
            <w:vAlign w:val="bottom"/>
          </w:tcPr>
          <w:p>
            <w:pPr>
              <w:pStyle w:val="TableContents"/>
              <w:bidi w:val="0"/>
              <w:spacing w:before="0" w:after="283"/>
              <w:jc w:val="right"/>
              <w:rPr/>
            </w:pPr>
            <w:r>
              <w:rPr/>
              <w:t>(12,221</w:t>
            </w:r>
          </w:p>
        </w:tc>
        <w:tc>
          <w:tcPr>
            <w:tcW w:w="289"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21.0</w:t>
            </w:r>
          </w:p>
        </w:tc>
        <w:tc>
          <w:tcPr>
            <w:tcW w:w="280" w:type="dxa"/>
            <w:tcBorders/>
            <w:shd w:fill="CCEEFF" w:val="clear"/>
            <w:vAlign w:val="bottom"/>
          </w:tcPr>
          <w:p>
            <w:pPr>
              <w:pStyle w:val="TableContents"/>
              <w:bidi w:val="0"/>
              <w:spacing w:before="0" w:after="283"/>
              <w:jc w:val="left"/>
              <w:rPr/>
            </w:pPr>
            <w:r>
              <w:rPr/>
              <w:t>% </w:t>
            </w:r>
          </w:p>
        </w:tc>
      </w:tr>
      <w:tr>
        <w:trPr/>
        <w:tc>
          <w:tcPr>
            <w:tcW w:w="3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45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(1,220</w:t>
            </w:r>
          </w:p>
        </w:tc>
        <w:tc>
          <w:tcPr>
            <w:tcW w:w="289"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2.1</w:t>
            </w:r>
          </w:p>
        </w:tc>
        <w:tc>
          <w:tcPr>
            <w:tcW w:w="280" w:type="dxa"/>
            <w:tcBorders/>
            <w:vAlign w:val="bottom"/>
          </w:tcPr>
          <w:p>
            <w:pPr>
              <w:pStyle w:val="TableContents"/>
              <w:bidi w:val="0"/>
              <w:spacing w:before="0" w:after="283"/>
              <w:jc w:val="left"/>
              <w:rPr/>
            </w:pPr>
            <w:r>
              <w:rPr/>
              <w:t> </w:t>
            </w:r>
          </w:p>
        </w:tc>
      </w:tr>
      <w:tr>
        <w:trPr/>
        <w:tc>
          <w:tcPr>
            <w:tcW w:w="34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5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11,966</w:t>
            </w:r>
          </w:p>
        </w:tc>
        <w:tc>
          <w:tcPr>
            <w:tcW w:w="289"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(20.6</w:t>
            </w:r>
          </w:p>
        </w:tc>
        <w:tc>
          <w:tcPr>
            <w:tcW w:w="280" w:type="dxa"/>
            <w:tcBorders/>
            <w:shd w:fill="CCEEFF" w:val="clear"/>
            <w:vAlign w:val="bottom"/>
          </w:tcPr>
          <w:p>
            <w:pPr>
              <w:pStyle w:val="TableContents"/>
              <w:bidi w:val="0"/>
              <w:spacing w:before="0" w:after="283"/>
              <w:jc w:val="left"/>
              <w:rPr/>
            </w:pPr>
            <w:r>
              <w:rPr/>
              <w:t>) </w:t>
            </w:r>
          </w:p>
        </w:tc>
      </w:tr>
      <w:tr>
        <w:trPr/>
        <w:tc>
          <w:tcPr>
            <w:tcW w:w="3448" w:type="dxa"/>
            <w:tcBorders/>
          </w:tcPr>
          <w:p>
            <w:pPr>
              <w:pStyle w:val="TableContents"/>
              <w:bidi w:val="0"/>
              <w:spacing w:before="0" w:after="0"/>
              <w:jc w:val="left"/>
              <w:rPr>
                <w:rFonts w:ascii="Times New Roman" w:hAnsi="Times New Roman"/>
                <w:i/>
                <w:sz w:val="20"/>
              </w:rPr>
            </w:pPr>
            <w:r>
              <w:rPr>
                <w:rFonts w:ascii="Times New Roman" w:hAnsi="Times New Roman"/>
                <w:i/>
                <w:sz w:val="20"/>
              </w:rPr>
              <w:t>Nontaxable or nondeductible items</w:t>
            </w:r>
          </w:p>
        </w:tc>
        <w:tc>
          <w:tcPr>
            <w:tcW w:w="45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4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non-deductible permanent items</w:t>
            </w:r>
          </w:p>
        </w:tc>
        <w:tc>
          <w:tcPr>
            <w:tcW w:w="45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(93</w:t>
            </w:r>
          </w:p>
        </w:tc>
        <w:tc>
          <w:tcPr>
            <w:tcW w:w="289"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0.2</w:t>
            </w:r>
          </w:p>
        </w:tc>
        <w:tc>
          <w:tcPr>
            <w:tcW w:w="280" w:type="dxa"/>
            <w:tcBorders/>
            <w:shd w:fill="CCEEFF" w:val="clear"/>
            <w:vAlign w:val="bottom"/>
          </w:tcPr>
          <w:p>
            <w:pPr>
              <w:pStyle w:val="TableContents"/>
              <w:bidi w:val="0"/>
              <w:spacing w:before="0" w:after="283"/>
              <w:jc w:val="left"/>
              <w:rPr/>
            </w:pPr>
            <w:r>
              <w:rPr/>
              <w:t> </w:t>
            </w:r>
          </w:p>
        </w:tc>
      </w:tr>
      <w:tr>
        <w:trPr/>
        <w:tc>
          <w:tcPr>
            <w:tcW w:w="3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Limitation on officer compensation</w:t>
            </w:r>
          </w:p>
        </w:tc>
        <w:tc>
          <w:tcPr>
            <w:tcW w:w="45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425</w:t>
            </w:r>
          </w:p>
        </w:tc>
        <w:tc>
          <w:tcPr>
            <w:tcW w:w="289"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(0.7</w:t>
            </w:r>
          </w:p>
        </w:tc>
        <w:tc>
          <w:tcPr>
            <w:tcW w:w="280" w:type="dxa"/>
            <w:tcBorders/>
            <w:vAlign w:val="bottom"/>
          </w:tcPr>
          <w:p>
            <w:pPr>
              <w:pStyle w:val="TableContents"/>
              <w:bidi w:val="0"/>
              <w:spacing w:before="0" w:after="283"/>
              <w:jc w:val="left"/>
              <w:rPr/>
            </w:pPr>
            <w:r>
              <w:rPr/>
              <w:t>) </w:t>
            </w:r>
          </w:p>
        </w:tc>
      </w:tr>
      <w:tr>
        <w:trPr/>
        <w:tc>
          <w:tcPr>
            <w:tcW w:w="3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45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1,142</w:t>
            </w:r>
          </w:p>
        </w:tc>
        <w:tc>
          <w:tcPr>
            <w:tcW w:w="289"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(2.0</w:t>
            </w:r>
          </w:p>
        </w:tc>
        <w:tc>
          <w:tcPr>
            <w:tcW w:w="280" w:type="dxa"/>
            <w:tcBorders/>
            <w:shd w:fill="CCEEFF" w:val="clear"/>
            <w:vAlign w:val="bottom"/>
          </w:tcPr>
          <w:p>
            <w:pPr>
              <w:pStyle w:val="TableContents"/>
              <w:bidi w:val="0"/>
              <w:spacing w:before="0" w:after="283"/>
              <w:jc w:val="left"/>
              <w:rPr/>
            </w:pPr>
            <w:r>
              <w:rPr/>
              <w:t>) </w:t>
            </w:r>
          </w:p>
        </w:tc>
      </w:tr>
      <w:tr>
        <w:trPr/>
        <w:tc>
          <w:tcPr>
            <w:tcW w:w="3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w:t>
            </w:r>
          </w:p>
        </w:tc>
        <w:tc>
          <w:tcPr>
            <w:tcW w:w="289"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448"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45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14"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448"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of income taxes computed at the federal statutory rate to the Company’s effective income tax rate for the year ended December 31, 2024 (prior to adoption of ASU 2023-09) was as follows (in thousands, except percentages):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14"/>
        <w:gridCol w:w="462"/>
        <w:gridCol w:w="245"/>
        <w:gridCol w:w="1597"/>
        <w:gridCol w:w="268"/>
        <w:gridCol w:w="501"/>
        <w:gridCol w:w="102"/>
        <w:gridCol w:w="884"/>
        <w:gridCol w:w="282"/>
      </w:tblGrid>
      <w:tr>
        <w:trPr/>
        <w:tc>
          <w:tcPr>
            <w:tcW w:w="3414"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414"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5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282" w:type="dxa"/>
            <w:tcBorders/>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8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w:t>
            </w:r>
          </w:p>
        </w:tc>
        <w:tc>
          <w:tcPr>
            <w:tcW w:w="26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w:t>
            </w:r>
          </w:p>
        </w:tc>
        <w:tc>
          <w:tcPr>
            <w:tcW w:w="282"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computed at the federal statutory tax rate</w:t>
            </w:r>
          </w:p>
        </w:tc>
        <w:tc>
          <w:tcPr>
            <w:tcW w:w="46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597" w:type="dxa"/>
            <w:tcBorders/>
            <w:shd w:fill="CCEEFF" w:val="clear"/>
            <w:vAlign w:val="bottom"/>
          </w:tcPr>
          <w:p>
            <w:pPr>
              <w:pStyle w:val="TableContents"/>
              <w:bidi w:val="0"/>
              <w:spacing w:before="0" w:after="283"/>
              <w:jc w:val="right"/>
              <w:rPr/>
            </w:pPr>
            <w:r>
              <w:rPr/>
              <w:t>(13,726</w:t>
            </w:r>
          </w:p>
        </w:tc>
        <w:tc>
          <w:tcPr>
            <w:tcW w:w="268"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21.0</w:t>
            </w:r>
          </w:p>
        </w:tc>
        <w:tc>
          <w:tcPr>
            <w:tcW w:w="282"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State and local income taxes, net of federal benefit</w:t>
            </w:r>
          </w:p>
        </w:tc>
        <w:tc>
          <w:tcPr>
            <w:tcW w:w="46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97" w:type="dxa"/>
            <w:tcBorders/>
            <w:vAlign w:val="bottom"/>
          </w:tcPr>
          <w:p>
            <w:pPr>
              <w:pStyle w:val="TableContents"/>
              <w:bidi w:val="0"/>
              <w:spacing w:before="0" w:after="283"/>
              <w:jc w:val="right"/>
              <w:rPr/>
            </w:pPr>
            <w:r>
              <w:rPr/>
              <w:t>(4,126</w:t>
            </w:r>
          </w:p>
        </w:tc>
        <w:tc>
          <w:tcPr>
            <w:tcW w:w="26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6.3</w:t>
            </w:r>
          </w:p>
        </w:tc>
        <w:tc>
          <w:tcPr>
            <w:tcW w:w="282"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46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597" w:type="dxa"/>
            <w:tcBorders/>
            <w:shd w:fill="CCEEFF" w:val="clear"/>
            <w:vAlign w:val="bottom"/>
          </w:tcPr>
          <w:p>
            <w:pPr>
              <w:pStyle w:val="TableContents"/>
              <w:bidi w:val="0"/>
              <w:spacing w:before="0" w:after="283"/>
              <w:jc w:val="right"/>
              <w:rPr/>
            </w:pPr>
            <w:r>
              <w:rPr/>
              <w:t>(4,347</w:t>
            </w:r>
          </w:p>
        </w:tc>
        <w:tc>
          <w:tcPr>
            <w:tcW w:w="268"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6.7</w:t>
            </w:r>
          </w:p>
        </w:tc>
        <w:tc>
          <w:tcPr>
            <w:tcW w:w="282"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6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97" w:type="dxa"/>
            <w:tcBorders/>
            <w:vAlign w:val="bottom"/>
          </w:tcPr>
          <w:p>
            <w:pPr>
              <w:pStyle w:val="TableContents"/>
              <w:bidi w:val="0"/>
              <w:spacing w:before="0" w:after="283"/>
              <w:jc w:val="right"/>
              <w:rPr/>
            </w:pPr>
            <w:r>
              <w:rPr/>
              <w:t> </w:t>
            </w:r>
            <w:r>
              <w:rPr/>
              <w:t>20,544</w:t>
            </w:r>
          </w:p>
        </w:tc>
        <w:tc>
          <w:tcPr>
            <w:tcW w:w="26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(31.5</w:t>
            </w:r>
          </w:p>
        </w:tc>
        <w:tc>
          <w:tcPr>
            <w:tcW w:w="282"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46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597" w:type="dxa"/>
            <w:tcBorders/>
            <w:shd w:fill="CCEEFF" w:val="clear"/>
            <w:vAlign w:val="bottom"/>
          </w:tcPr>
          <w:p>
            <w:pPr>
              <w:pStyle w:val="TableContents"/>
              <w:bidi w:val="0"/>
              <w:spacing w:before="0" w:after="283"/>
              <w:jc w:val="right"/>
              <w:rPr/>
            </w:pPr>
            <w:r>
              <w:rPr/>
              <w:t>(31</w:t>
            </w:r>
          </w:p>
        </w:tc>
        <w:tc>
          <w:tcPr>
            <w:tcW w:w="268"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46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97" w:type="dxa"/>
            <w:tcBorders/>
            <w:vAlign w:val="bottom"/>
          </w:tcPr>
          <w:p>
            <w:pPr>
              <w:pStyle w:val="TableContents"/>
              <w:bidi w:val="0"/>
              <w:spacing w:before="0" w:after="283"/>
              <w:jc w:val="right"/>
              <w:rPr/>
            </w:pPr>
            <w:r>
              <w:rPr/>
              <w:t>607</w:t>
            </w:r>
          </w:p>
        </w:tc>
        <w:tc>
          <w:tcPr>
            <w:tcW w:w="26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(0.9</w:t>
            </w:r>
          </w:p>
        </w:tc>
        <w:tc>
          <w:tcPr>
            <w:tcW w:w="282"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Uncertain tax position</w:t>
            </w:r>
          </w:p>
        </w:tc>
        <w:tc>
          <w:tcPr>
            <w:tcW w:w="46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597" w:type="dxa"/>
            <w:tcBorders/>
            <w:shd w:fill="CCEEFF" w:val="clear"/>
            <w:vAlign w:val="bottom"/>
          </w:tcPr>
          <w:p>
            <w:pPr>
              <w:pStyle w:val="TableContents"/>
              <w:bidi w:val="0"/>
              <w:spacing w:before="0" w:after="283"/>
              <w:jc w:val="right"/>
              <w:rPr/>
            </w:pPr>
            <w:r>
              <w:rPr/>
              <w:t>1,065</w:t>
            </w:r>
          </w:p>
        </w:tc>
        <w:tc>
          <w:tcPr>
            <w:tcW w:w="268"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(1.6</w:t>
            </w:r>
          </w:p>
        </w:tc>
        <w:tc>
          <w:tcPr>
            <w:tcW w:w="282"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6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97" w:type="dxa"/>
            <w:tcBorders/>
            <w:vAlign w:val="bottom"/>
          </w:tcPr>
          <w:p>
            <w:pPr>
              <w:pStyle w:val="TableContents"/>
              <w:bidi w:val="0"/>
              <w:spacing w:before="0" w:after="283"/>
              <w:jc w:val="right"/>
              <w:rPr/>
            </w:pPr>
            <w:r>
              <w:rPr/>
              <w:t>14</w:t>
            </w:r>
          </w:p>
        </w:tc>
        <w:tc>
          <w:tcPr>
            <w:tcW w:w="26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597" w:type="dxa"/>
            <w:tcBorders/>
            <w:vAlign w:val="bottom"/>
          </w:tcPr>
          <w:p>
            <w:pPr>
              <w:pStyle w:val="TableContents"/>
              <w:pBdr>
                <w:top w:val="single" w:sz="2" w:space="1" w:color="000000"/>
              </w:pBdr>
              <w:bidi w:val="0"/>
              <w:spacing w:before="0" w:after="0"/>
              <w:jc w:val="left"/>
              <w:rPr/>
            </w:pPr>
            <w:r>
              <w:rPr/>
              <w:t> </w:t>
            </w:r>
          </w:p>
        </w:tc>
        <w:tc>
          <w:tcPr>
            <w:tcW w:w="26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46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597" w:type="dxa"/>
            <w:tcBorders/>
            <w:shd w:fill="CCEEFF" w:val="clear"/>
            <w:vAlign w:val="bottom"/>
          </w:tcPr>
          <w:p>
            <w:pPr>
              <w:pStyle w:val="TableContents"/>
              <w:bidi w:val="0"/>
              <w:spacing w:before="0" w:after="283"/>
              <w:jc w:val="right"/>
              <w:rPr/>
            </w:pPr>
            <w:r>
              <w:rPr/>
              <w:t>— </w:t>
            </w:r>
          </w:p>
        </w:tc>
        <w:tc>
          <w:tcPr>
            <w:tcW w:w="268"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597" w:type="dxa"/>
            <w:tcBorders/>
            <w:vAlign w:val="bottom"/>
          </w:tcPr>
          <w:p>
            <w:pPr>
              <w:pStyle w:val="TableContents"/>
              <w:pBdr>
                <w:top w:val="double" w:sz="6" w:space="1" w:color="000000"/>
              </w:pBdr>
              <w:bidi w:val="0"/>
              <w:spacing w:before="0" w:after="0"/>
              <w:jc w:val="left"/>
              <w:rPr/>
            </w:pPr>
            <w:r>
              <w:rPr/>
              <w:t> </w:t>
            </w:r>
          </w:p>
        </w:tc>
        <w:tc>
          <w:tcPr>
            <w:tcW w:w="26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majority of the Company’s domestic operations are located in the state of California. The Company paid no federal, state, or foreign income taxes, net of refunds received, during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not recorded any current or deferred federal, state, or foreign income tax expense or benefit due to its full valuation allowance against deferred tax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Deferred Tax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Significant components of deferred tax assets and liabilities as of December 31, 2025 and 2024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6"/>
        <w:gridCol w:w="416"/>
        <w:gridCol w:w="146"/>
        <w:gridCol w:w="765"/>
        <w:gridCol w:w="155"/>
        <w:gridCol w:w="416"/>
        <w:gridCol w:w="146"/>
        <w:gridCol w:w="765"/>
        <w:gridCol w:w="160"/>
      </w:tblGrid>
      <w:tr>
        <w:trPr/>
        <w:tc>
          <w:tcPr>
            <w:tcW w:w="478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3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0"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45,574</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27,618</w:t>
            </w:r>
          </w:p>
        </w:tc>
        <w:tc>
          <w:tcPr>
            <w:tcW w:w="160"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tax credits</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10,124</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8,313</w:t>
            </w:r>
          </w:p>
        </w:tc>
        <w:tc>
          <w:tcPr>
            <w:tcW w:w="160" w:type="dxa"/>
            <w:tcBorders/>
            <w:shd w:fill="CCEEFF" w:val="clear"/>
            <w:vAlign w:val="bottom"/>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13,769</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13,335</w:t>
            </w:r>
          </w:p>
        </w:tc>
        <w:tc>
          <w:tcPr>
            <w:tcW w:w="160"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R&amp;D</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15,726</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20,155</w:t>
            </w:r>
          </w:p>
        </w:tc>
        <w:tc>
          <w:tcPr>
            <w:tcW w:w="160" w:type="dxa"/>
            <w:tcBorders/>
            <w:shd w:fill="CCEEFF" w:val="clear"/>
            <w:vAlign w:val="bottom"/>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44</w:t>
            </w:r>
          </w:p>
        </w:tc>
        <w:tc>
          <w:tcPr>
            <w:tcW w:w="160"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2,268</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2,637</w:t>
            </w:r>
          </w:p>
        </w:tc>
        <w:tc>
          <w:tcPr>
            <w:tcW w:w="160"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87,500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72,102</w:t>
            </w:r>
          </w:p>
        </w:tc>
        <w:tc>
          <w:tcPr>
            <w:tcW w:w="160"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(75,150</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(58,844</w:t>
            </w:r>
          </w:p>
        </w:tc>
        <w:tc>
          <w:tcPr>
            <w:tcW w:w="160"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12,350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13,258</w:t>
            </w:r>
          </w:p>
        </w:tc>
        <w:tc>
          <w:tcPr>
            <w:tcW w:w="160"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ROU asset</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(12,259</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(13,169</w:t>
            </w:r>
          </w:p>
        </w:tc>
        <w:tc>
          <w:tcPr>
            <w:tcW w:w="160"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(91</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(89</w:t>
            </w:r>
          </w:p>
        </w:tc>
        <w:tc>
          <w:tcPr>
            <w:tcW w:w="160"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(12,350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(13,258</w:t>
            </w:r>
          </w:p>
        </w:tc>
        <w:tc>
          <w:tcPr>
            <w:tcW w:w="160"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Valuation Allowance </w:t>
      </w:r>
    </w:p>
    <w:p>
      <w:pPr>
        <w:pStyle w:val="TextBody"/>
        <w:bidi w:val="0"/>
        <w:spacing w:before="120" w:after="0"/>
        <w:jc w:val="left"/>
        <w:rPr>
          <w:rFonts w:ascii="Times New Roman" w:hAnsi="Times New Roman"/>
          <w:sz w:val="20"/>
        </w:rPr>
      </w:pPr>
      <w:r>
        <w:rPr>
          <w:rFonts w:ascii="Times New Roman" w:hAnsi="Times New Roman"/>
          <w:sz w:val="20"/>
        </w:rPr>
        <w:t xml:space="preserve">Activity in the valuation allowance for the years ended December 31, 2025 and 2024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31"/>
        <w:gridCol w:w="372"/>
        <w:gridCol w:w="96"/>
        <w:gridCol w:w="1089"/>
        <w:gridCol w:w="96"/>
        <w:gridCol w:w="425"/>
        <w:gridCol w:w="96"/>
        <w:gridCol w:w="1091"/>
        <w:gridCol w:w="159"/>
      </w:tblGrid>
      <w:tr>
        <w:trPr/>
        <w:tc>
          <w:tcPr>
            <w:tcW w:w="4331"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31"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28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4331"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beginning of period</w:t>
            </w:r>
          </w:p>
        </w:tc>
        <w:tc>
          <w:tcPr>
            <w:tcW w:w="3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58,844</w:t>
            </w:r>
          </w:p>
        </w:tc>
        <w:tc>
          <w:tcPr>
            <w:tcW w:w="96"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38,323</w:t>
            </w:r>
          </w:p>
        </w:tc>
        <w:tc>
          <w:tcPr>
            <w:tcW w:w="159" w:type="dxa"/>
            <w:tcBorders/>
            <w:shd w:fill="CCEEFF" w:val="clear"/>
            <w:vAlign w:val="bottom"/>
          </w:tcPr>
          <w:p>
            <w:pPr>
              <w:pStyle w:val="TableContents"/>
              <w:bidi w:val="0"/>
              <w:spacing w:before="0" w:after="283"/>
              <w:jc w:val="left"/>
              <w:rPr/>
            </w:pPr>
            <w:r>
              <w:rPr/>
              <w:t> </w:t>
            </w:r>
          </w:p>
        </w:tc>
      </w:tr>
      <w:tr>
        <w:trPr/>
        <w:tc>
          <w:tcPr>
            <w:tcW w:w="4331" w:type="dxa"/>
            <w:tcBorders/>
          </w:tcPr>
          <w:p>
            <w:pPr>
              <w:pStyle w:val="TableContents"/>
              <w:bidi w:val="0"/>
              <w:spacing w:before="0" w:after="0"/>
              <w:jc w:val="left"/>
              <w:rPr>
                <w:rFonts w:ascii="Times New Roman" w:hAnsi="Times New Roman"/>
                <w:sz w:val="20"/>
              </w:rPr>
            </w:pPr>
            <w:r>
              <w:rPr>
                <w:rFonts w:ascii="Times New Roman" w:hAnsi="Times New Roman"/>
                <w:sz w:val="20"/>
              </w:rPr>
              <w:t>Charged to federal income tax expense</w:t>
            </w:r>
          </w:p>
        </w:tc>
        <w:tc>
          <w:tcPr>
            <w:tcW w:w="3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11,966</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14,047</w:t>
            </w:r>
          </w:p>
        </w:tc>
        <w:tc>
          <w:tcPr>
            <w:tcW w:w="159" w:type="dxa"/>
            <w:tcBorders/>
            <w:vAlign w:val="bottom"/>
          </w:tcPr>
          <w:p>
            <w:pPr>
              <w:pStyle w:val="TableContents"/>
              <w:bidi w:val="0"/>
              <w:spacing w:before="0" w:after="283"/>
              <w:jc w:val="left"/>
              <w:rPr/>
            </w:pPr>
            <w:r>
              <w:rPr/>
              <w:t> </w:t>
            </w:r>
          </w:p>
        </w:tc>
      </w:tr>
      <w:tr>
        <w:trPr/>
        <w:tc>
          <w:tcPr>
            <w:tcW w:w="4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Charged to state income tax expense</w:t>
            </w:r>
          </w:p>
        </w:tc>
        <w:tc>
          <w:tcPr>
            <w:tcW w:w="3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4,324</w:t>
            </w:r>
          </w:p>
        </w:tc>
        <w:tc>
          <w:tcPr>
            <w:tcW w:w="96"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6,497</w:t>
            </w:r>
          </w:p>
        </w:tc>
        <w:tc>
          <w:tcPr>
            <w:tcW w:w="159" w:type="dxa"/>
            <w:tcBorders/>
            <w:shd w:fill="CCEEFF" w:val="clear"/>
            <w:vAlign w:val="bottom"/>
          </w:tcPr>
          <w:p>
            <w:pPr>
              <w:pStyle w:val="TableContents"/>
              <w:bidi w:val="0"/>
              <w:spacing w:before="0" w:after="283"/>
              <w:jc w:val="left"/>
              <w:rPr/>
            </w:pPr>
            <w:r>
              <w:rPr/>
              <w:t> </w:t>
            </w:r>
          </w:p>
        </w:tc>
      </w:tr>
      <w:tr>
        <w:trPr/>
        <w:tc>
          <w:tcPr>
            <w:tcW w:w="4331" w:type="dxa"/>
            <w:tcBorders/>
          </w:tcPr>
          <w:p>
            <w:pPr>
              <w:pStyle w:val="TableContents"/>
              <w:bidi w:val="0"/>
              <w:spacing w:before="0" w:after="0"/>
              <w:jc w:val="left"/>
              <w:rPr>
                <w:rFonts w:ascii="Times New Roman" w:hAnsi="Times New Roman"/>
                <w:sz w:val="20"/>
              </w:rPr>
            </w:pPr>
            <w:r>
              <w:rPr>
                <w:rFonts w:ascii="Times New Roman" w:hAnsi="Times New Roman"/>
                <w:sz w:val="20"/>
              </w:rPr>
              <w:t>Charged (credited) to other comprehensive loss</w:t>
            </w:r>
          </w:p>
        </w:tc>
        <w:tc>
          <w:tcPr>
            <w:tcW w:w="3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16</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4331"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end of period</w:t>
            </w:r>
          </w:p>
        </w:tc>
        <w:tc>
          <w:tcPr>
            <w:tcW w:w="3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75,150</w:t>
            </w:r>
          </w:p>
        </w:tc>
        <w:tc>
          <w:tcPr>
            <w:tcW w:w="96"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58,844</w:t>
            </w:r>
          </w:p>
        </w:tc>
        <w:tc>
          <w:tcPr>
            <w:tcW w:w="159" w:type="dxa"/>
            <w:tcBorders/>
            <w:shd w:fill="CCEEFF" w:val="clear"/>
            <w:vAlign w:val="bottom"/>
          </w:tcPr>
          <w:p>
            <w:pPr>
              <w:pStyle w:val="TableContents"/>
              <w:bidi w:val="0"/>
              <w:spacing w:before="0" w:after="283"/>
              <w:jc w:val="left"/>
              <w:rPr/>
            </w:pPr>
            <w:r>
              <w:rPr/>
              <w:t> </w:t>
            </w:r>
          </w:p>
        </w:tc>
      </w:tr>
      <w:tr>
        <w:trPr/>
        <w:tc>
          <w:tcPr>
            <w:tcW w:w="4331"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Operating Loss and Credit Carryforwards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established a full valuation allowance against its net deferred tax assets due to uncertainty regarding realization. In assessing the need for a valuation allowance, management considered the Company’s history of cumulative pre-tax losses, the lack of sufficient taxable income in prior carryback periods, the limited existence of taxable temporary differences, and the uncertainty surrounding future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During 2025 and 2024, total deferred tax assets, net of deferred tax liabilities, increased by approximately $16.3 million and $20.5 million, respectively. Due to the full valuation allowance position, the Company’s valuation allowance increased by a corresponding amount in each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and 2024, federal net operating loss (“NOL”) carryforwards, state NOL carryforwards, and research and development tax credit carryforwards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49"/>
        <w:gridCol w:w="362"/>
        <w:gridCol w:w="141"/>
        <w:gridCol w:w="887"/>
        <w:gridCol w:w="60"/>
        <w:gridCol w:w="362"/>
        <w:gridCol w:w="141"/>
        <w:gridCol w:w="887"/>
        <w:gridCol w:w="66"/>
      </w:tblGrid>
      <w:tr>
        <w:trPr/>
        <w:tc>
          <w:tcPr>
            <w:tcW w:w="4849"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4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4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6" w:type="dxa"/>
            <w:tcBorders/>
            <w:vAlign w:val="bottom"/>
          </w:tcPr>
          <w:p>
            <w:pPr>
              <w:pStyle w:val="TableContents"/>
              <w:bidi w:val="0"/>
              <w:spacing w:before="0" w:after="283"/>
              <w:jc w:val="left"/>
              <w:rPr/>
            </w:pPr>
            <w:r>
              <w:rPr/>
              <w:t> </w:t>
            </w:r>
          </w:p>
        </w:tc>
      </w:tr>
      <w:tr>
        <w:trPr/>
        <w:tc>
          <w:tcPr>
            <w:tcW w:w="484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6"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NOL carryforwards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161,402</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91,864</w:t>
            </w:r>
          </w:p>
        </w:tc>
        <w:tc>
          <w:tcPr>
            <w:tcW w:w="66"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State NOL carryforwards</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231,270</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183,313</w:t>
            </w:r>
          </w:p>
        </w:tc>
        <w:tc>
          <w:tcPr>
            <w:tcW w:w="66"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research and development tax credit carryforwards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9,294</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7,667</w:t>
            </w:r>
          </w:p>
        </w:tc>
        <w:tc>
          <w:tcPr>
            <w:tcW w:w="66"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State research tax credit carryforwards</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5,850</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4,853</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Federal net operating loss carryforwards are subject to potential limitations under Section 382 of the Internal Revenue Code of 1986, as amended (“IRC”). Certain state NOL carryforwards begin to expire in 2038. Federal research tax credits begin to expire in 2040, while unused state credits carry forward indefinitely.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382 Limitations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IRC Sections 382 and 383, the Company’s ability to use its NOL and research tax credit carryforwards to offset future taxable income may be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NOL and research tax carryforwards available to offset future taxable income and income tax liabilities in future years may be significantly reduced, restricted, or eliminated. The Company has also not performed a formal research and development credit study with respect to these credits. As such, the amount of such credits may be reduced in the future should the Company complete such a study. Moreover, deferred tax assets associated with such NOLs and research tax credits could be significantly reduced upon realization of an ownership change within the meaning of IRC Section 382.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Tax Legislation </w:t>
      </w:r>
    </w:p>
    <w:p>
      <w:pPr>
        <w:pStyle w:val="TextBody"/>
        <w:bidi w:val="0"/>
        <w:spacing w:before="120" w:after="0"/>
        <w:jc w:val="left"/>
        <w:rPr>
          <w:rFonts w:ascii="Times New Roman" w:hAnsi="Times New Roman"/>
          <w:sz w:val="20"/>
        </w:rPr>
      </w:pPr>
      <w:r>
        <w:rPr>
          <w:rFonts w:ascii="Times New Roman" w:hAnsi="Times New Roman"/>
          <w:sz w:val="20"/>
        </w:rPr>
        <w:t xml:space="preserve">On July 4, 2025, the reconciliation bill commonly referred to as the One Big Beautiful Bill Act (“OBBBA”) was signed into law in the United States. The OBBBA includes a broad range of tax reform provisions affecting U.S. corporate income taxation. Certain provisions became effective beginning in 2025, including an elective deduction for domestic research and development expenditures, reinstatement of 100% first-year bonus depreciation, and repeal of the fiscal year-end requirement for certain non-U.S. corporations. Other provisions of the OBBBA will become effective in 2026 and subsequent years, including a more favorable tax rate applicable to Foreign-Derived Deduction Eligible Income and income from non-U.S. subsidiaries (Net CFC Tested Income). </w:t>
      </w:r>
    </w:p>
    <w:p>
      <w:pPr>
        <w:pStyle w:val="TextBody"/>
        <w:bidi w:val="0"/>
        <w:spacing w:before="240" w:after="0"/>
        <w:jc w:val="left"/>
        <w:rPr>
          <w:rFonts w:ascii="Times New Roman" w:hAnsi="Times New Roman"/>
          <w:sz w:val="20"/>
        </w:rPr>
      </w:pPr>
      <w:r>
        <w:rPr>
          <w:rFonts w:ascii="Times New Roman" w:hAnsi="Times New Roman"/>
          <w:sz w:val="20"/>
        </w:rPr>
        <w:t xml:space="preserve">Due to the Company’s full valuation allowance on deferred tax assets, the enactment of the OBBBA did not have a material impact on the Company’s financial statements for the year ended December 31, 2025, other than the reclassification of certain deferred tax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There are no accruals for interest or tax penalties in the accompanying balance sheets, and the Company has not recognized any such interest or tax penalties in the accompanying statements of operations and comprehensive loss. Although it is not currently under a tax examination, all of the Company’s tax years remain open to audit in all of the tax jurisdictions in which it operates due to the Company’s net operating losses carryforwards.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Uncertain Tax Benefits </w:t>
      </w:r>
    </w:p>
    <w:p>
      <w:pPr>
        <w:pStyle w:val="TextBody"/>
        <w:bidi w:val="0"/>
        <w:spacing w:before="120" w:after="0"/>
        <w:jc w:val="left"/>
        <w:rPr>
          <w:rFonts w:ascii="Times New Roman" w:hAnsi="Times New Roman"/>
          <w:sz w:val="20"/>
        </w:rPr>
      </w:pPr>
      <w:r>
        <w:rPr>
          <w:rFonts w:ascii="Times New Roman" w:hAnsi="Times New Roman"/>
          <w:sz w:val="20"/>
        </w:rPr>
        <w:t xml:space="preserve">Activity related to the Company’s gross unrecognized tax benefits for the years ended December 31, 2025 and 2024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68"/>
        <w:gridCol w:w="482"/>
        <w:gridCol w:w="221"/>
        <w:gridCol w:w="886"/>
        <w:gridCol w:w="93"/>
        <w:gridCol w:w="535"/>
        <w:gridCol w:w="221"/>
        <w:gridCol w:w="1084"/>
        <w:gridCol w:w="65"/>
      </w:tblGrid>
      <w:tr>
        <w:trPr/>
        <w:tc>
          <w:tcPr>
            <w:tcW w:w="4168"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68"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30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4168"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9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period</w:t>
            </w:r>
          </w:p>
        </w:tc>
        <w:tc>
          <w:tcPr>
            <w:tcW w:w="48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9,212</w:t>
            </w:r>
          </w:p>
        </w:tc>
        <w:tc>
          <w:tcPr>
            <w:tcW w:w="9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8,048</w:t>
            </w:r>
          </w:p>
        </w:tc>
        <w:tc>
          <w:tcPr>
            <w:tcW w:w="65" w:type="dxa"/>
            <w:tcBorders/>
            <w:shd w:fill="CCEEFF" w:val="clear"/>
            <w:vAlign w:val="bottom"/>
          </w:tcPr>
          <w:p>
            <w:pPr>
              <w:pStyle w:val="TableContents"/>
              <w:bidi w:val="0"/>
              <w:spacing w:before="0" w:after="283"/>
              <w:jc w:val="left"/>
              <w:rPr/>
            </w:pPr>
            <w:r>
              <w:rPr/>
              <w:t> </w:t>
            </w:r>
          </w:p>
        </w:tc>
      </w:tr>
      <w:tr>
        <w:trPr/>
        <w:tc>
          <w:tcPr>
            <w:tcW w:w="4168" w:type="dxa"/>
            <w:tcBorders/>
          </w:tcPr>
          <w:p>
            <w:pPr>
              <w:pStyle w:val="TableContents"/>
              <w:bidi w:val="0"/>
              <w:spacing w:before="0" w:after="0"/>
              <w:jc w:val="left"/>
              <w:rPr>
                <w:rFonts w:ascii="Times New Roman" w:hAnsi="Times New Roman"/>
                <w:sz w:val="20"/>
              </w:rPr>
            </w:pPr>
            <w:r>
              <w:rPr>
                <w:rFonts w:ascii="Times New Roman" w:hAnsi="Times New Roman"/>
                <w:sz w:val="20"/>
              </w:rPr>
              <w:t>Increase related to current year positions</w:t>
            </w:r>
          </w:p>
        </w:tc>
        <w:tc>
          <w:tcPr>
            <w:tcW w:w="48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656</w:t>
            </w:r>
          </w:p>
        </w:tc>
        <w:tc>
          <w:tcPr>
            <w:tcW w:w="9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r>
              <w:rPr/>
              <w:t>1,164</w:t>
            </w:r>
          </w:p>
        </w:tc>
        <w:tc>
          <w:tcPr>
            <w:tcW w:w="65" w:type="dxa"/>
            <w:tcBorders/>
            <w:vAlign w:val="bottom"/>
          </w:tcPr>
          <w:p>
            <w:pPr>
              <w:pStyle w:val="TableContents"/>
              <w:bidi w:val="0"/>
              <w:spacing w:before="0" w:after="283"/>
              <w:jc w:val="left"/>
              <w:rPr/>
            </w:pPr>
            <w:r>
              <w:rPr/>
              <w:t> </w:t>
            </w:r>
          </w:p>
        </w:tc>
      </w:tr>
      <w:tr>
        <w:trPr/>
        <w:tc>
          <w:tcPr>
            <w:tcW w:w="4168"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the end of the year</w:t>
            </w:r>
          </w:p>
        </w:tc>
        <w:tc>
          <w:tcPr>
            <w:tcW w:w="48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9,868</w:t>
            </w:r>
          </w:p>
        </w:tc>
        <w:tc>
          <w:tcPr>
            <w:tcW w:w="9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9,212</w:t>
            </w:r>
          </w:p>
        </w:tc>
        <w:tc>
          <w:tcPr>
            <w:tcW w:w="65" w:type="dxa"/>
            <w:tcBorders/>
            <w:shd w:fill="CCEEFF" w:val="clear"/>
            <w:vAlign w:val="bottom"/>
          </w:tcPr>
          <w:p>
            <w:pPr>
              <w:pStyle w:val="TableContents"/>
              <w:bidi w:val="0"/>
              <w:spacing w:before="0" w:after="283"/>
              <w:jc w:val="left"/>
              <w:rPr/>
            </w:pPr>
            <w:r>
              <w:rPr/>
              <w:t> </w:t>
            </w:r>
          </w:p>
        </w:tc>
      </w:tr>
      <w:tr>
        <w:trPr/>
        <w:tc>
          <w:tcPr>
            <w:tcW w:w="4168"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uncertain tax positions as a component of income tax expense. As of December 31, 2025 and 2024, the Company had no accrued interest or penalties.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currently under examination by any taxing authority. Due to the existence of net operating loss carryforwards, all tax years remain open to examination in the jurisdictions in which the Company operates.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Common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calculation of basic and diluted net loss per common share attributable to common stockholders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0"/>
        <w:gridCol w:w="312"/>
        <w:gridCol w:w="184"/>
        <w:gridCol w:w="1023"/>
        <w:gridCol w:w="199"/>
        <w:gridCol w:w="338"/>
        <w:gridCol w:w="184"/>
        <w:gridCol w:w="1025"/>
        <w:gridCol w:w="170"/>
      </w:tblGrid>
      <w:tr>
        <w:trPr/>
        <w:tc>
          <w:tcPr>
            <w:tcW w:w="432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70" w:type="dxa"/>
            <w:tcBorders/>
            <w:vAlign w:val="bottom"/>
          </w:tcPr>
          <w:p>
            <w:pPr>
              <w:pStyle w:val="TableContents"/>
              <w:bidi w:val="0"/>
              <w:spacing w:before="0" w:after="283"/>
              <w:jc w:val="left"/>
              <w:rPr/>
            </w:pPr>
            <w:r>
              <w:rPr/>
              <w:t> </w:t>
            </w:r>
          </w:p>
        </w:tc>
      </w:tr>
      <w:tr>
        <w:trPr/>
        <w:tc>
          <w:tcPr>
            <w:tcW w:w="43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9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4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(58,197</w:t>
            </w:r>
          </w:p>
        </w:tc>
        <w:tc>
          <w:tcPr>
            <w:tcW w:w="19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(65,363</w:t>
            </w:r>
          </w:p>
        </w:tc>
        <w:tc>
          <w:tcPr>
            <w:tcW w:w="170" w:type="dxa"/>
            <w:tcBorders/>
            <w:shd w:fill="CCEEFF" w:val="clear"/>
            <w:vAlign w:val="bottom"/>
          </w:tcPr>
          <w:p>
            <w:pPr>
              <w:pStyle w:val="TableContents"/>
              <w:bidi w:val="0"/>
              <w:spacing w:before="0" w:after="283"/>
              <w:jc w:val="left"/>
              <w:rPr/>
            </w:pPr>
            <w:r>
              <w:rPr/>
              <w:t>) </w:t>
            </w:r>
          </w:p>
        </w:tc>
      </w:tr>
      <w:tr>
        <w:trPr/>
        <w:tc>
          <w:tcPr>
            <w:tcW w:w="432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used in computing net loss per share, basic and diluted</w:t>
            </w:r>
          </w:p>
        </w:tc>
        <w:tc>
          <w:tcPr>
            <w:tcW w:w="31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22,360</w:t>
            </w:r>
          </w:p>
        </w:tc>
        <w:tc>
          <w:tcPr>
            <w:tcW w:w="19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16,984</w:t>
            </w:r>
          </w:p>
        </w:tc>
        <w:tc>
          <w:tcPr>
            <w:tcW w:w="170" w:type="dxa"/>
            <w:tcBorders/>
            <w:vAlign w:val="bottom"/>
          </w:tcPr>
          <w:p>
            <w:pPr>
              <w:pStyle w:val="TableContents"/>
              <w:bidi w:val="0"/>
              <w:spacing w:before="0" w:after="283"/>
              <w:jc w:val="left"/>
              <w:rPr/>
            </w:pPr>
            <w:r>
              <w:rPr/>
              <w:t> </w:t>
            </w:r>
          </w:p>
        </w:tc>
      </w:tr>
      <w:tr>
        <w:trPr/>
        <w:tc>
          <w:tcPr>
            <w:tcW w:w="432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1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(2.60</w:t>
            </w:r>
          </w:p>
        </w:tc>
        <w:tc>
          <w:tcPr>
            <w:tcW w:w="19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(3.85</w:t>
            </w:r>
          </w:p>
        </w:tc>
        <w:tc>
          <w:tcPr>
            <w:tcW w:w="170" w:type="dxa"/>
            <w:tcBorders/>
            <w:shd w:fill="CCEEFF" w:val="clear"/>
            <w:vAlign w:val="bottom"/>
          </w:tcPr>
          <w:p>
            <w:pPr>
              <w:pStyle w:val="TableContents"/>
              <w:bidi w:val="0"/>
              <w:spacing w:before="0" w:after="283"/>
              <w:jc w:val="left"/>
              <w:rPr/>
            </w:pPr>
            <w:r>
              <w:rPr/>
              <w:t>) </w:t>
            </w:r>
          </w:p>
        </w:tc>
      </w:tr>
      <w:tr>
        <w:trPr/>
        <w:tc>
          <w:tcPr>
            <w:tcW w:w="432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excluded approximately 4,234,000 and 3,818,000 shares of common stock underlying outstanding stock options from the calculation of diluted net loss per share for the years ended December 31, 2025 and 2024, respectively, because their inclusion would have been anti-dilutive.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CODM reviews the budget versus actual expense by nature of expense. The following table sets forth the Company’s segment loss disclosure for the years ended December 31, 2025 and 2024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6"/>
        <w:gridCol w:w="297"/>
        <w:gridCol w:w="185"/>
        <w:gridCol w:w="1024"/>
        <w:gridCol w:w="200"/>
        <w:gridCol w:w="324"/>
        <w:gridCol w:w="185"/>
        <w:gridCol w:w="1026"/>
        <w:gridCol w:w="158"/>
      </w:tblGrid>
      <w:tr>
        <w:trPr/>
        <w:tc>
          <w:tcPr>
            <w:tcW w:w="4356"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9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w:t>
            </w:r>
          </w:p>
        </w:tc>
        <w:tc>
          <w:tcPr>
            <w:tcW w:w="158"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 Compensation and benefits (excludes stock-based compensation)</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10,601</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13,758</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R&amp;D – Clinical trial costs</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9,850</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11,507</w:t>
            </w:r>
          </w:p>
        </w:tc>
        <w:tc>
          <w:tcPr>
            <w:tcW w:w="158"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 Outsourced services &amp; Consulting</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11,826</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19,022</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R&amp;D – Lab and pharmacology supplies</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754</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2,295</w:t>
            </w:r>
          </w:p>
        </w:tc>
        <w:tc>
          <w:tcPr>
            <w:tcW w:w="158"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 Other costs (1)</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1,879</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1,818</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G&amp;A – Compensation and benefits (excludes stock-based compensation)</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5,744</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6,438</w:t>
            </w:r>
          </w:p>
        </w:tc>
        <w:tc>
          <w:tcPr>
            <w:tcW w:w="158"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G&amp;A – Professional service fees</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2,669</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2,866</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G&amp;A – Insurance</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821</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678</w:t>
            </w:r>
          </w:p>
        </w:tc>
        <w:tc>
          <w:tcPr>
            <w:tcW w:w="158"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G&amp;A – Other costs (2)</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2,413</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2,333</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Facilities related</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9,619</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3,951</w:t>
            </w:r>
          </w:p>
        </w:tc>
        <w:tc>
          <w:tcPr>
            <w:tcW w:w="158"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and depreciation</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7,376</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8,601</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63,552</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73,267</w:t>
            </w:r>
          </w:p>
        </w:tc>
        <w:tc>
          <w:tcPr>
            <w:tcW w:w="158"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(63,552</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(73,267</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5,355</w:t>
            </w:r>
          </w:p>
        </w:tc>
        <w:tc>
          <w:tcPr>
            <w:tcW w:w="20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7,904</w:t>
            </w:r>
          </w:p>
        </w:tc>
        <w:tc>
          <w:tcPr>
            <w:tcW w:w="158"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(58,197</w:t>
            </w:r>
          </w:p>
        </w:tc>
        <w:tc>
          <w:tcPr>
            <w:tcW w:w="20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(65,363</w:t>
            </w:r>
          </w:p>
        </w:tc>
        <w:tc>
          <w:tcPr>
            <w:tcW w:w="158" w:type="dxa"/>
            <w:tcBorders/>
            <w:shd w:fill="CCEEFF" w:val="clear"/>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expenses such as software licenses, database subscriptions, lab service contracts, travel, and other costs.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expenses such as travel, investor relations services, software licenses, employee training and development, and other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7" w:name="fin108148_7"/>
      <w:bookmarkEnd w:id="87"/>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par value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9"/>
        <w:gridCol w:w="375"/>
        <w:gridCol w:w="155"/>
        <w:gridCol w:w="984"/>
        <w:gridCol w:w="155"/>
        <w:gridCol w:w="332"/>
        <w:gridCol w:w="195"/>
        <w:gridCol w:w="1231"/>
        <w:gridCol w:w="159"/>
      </w:tblGrid>
      <w:tr>
        <w:trPr/>
        <w:tc>
          <w:tcPr>
            <w:tcW w:w="6619"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1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66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20,213</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17,868</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52,413</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89,713</w:t>
            </w:r>
          </w:p>
        </w:tc>
        <w:tc>
          <w:tcPr>
            <w:tcW w:w="159" w:type="dxa"/>
            <w:tcBorders/>
            <w:vAlign w:val="bottom"/>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1,021</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2,030</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73,647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109,611</w:t>
            </w:r>
          </w:p>
        </w:tc>
        <w:tc>
          <w:tcPr>
            <w:tcW w:w="159" w:type="dxa"/>
            <w:tcBorders/>
            <w:vAlign w:val="bottom"/>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97</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3,216</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 net</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43,659</w:t>
            </w:r>
          </w:p>
        </w:tc>
        <w:tc>
          <w:tcPr>
            <w:tcW w:w="159" w:type="dxa"/>
            <w:tcBorders/>
            <w:vAlign w:val="bottom"/>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560</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73,744</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157,059</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4,995</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6,727</w:t>
            </w:r>
          </w:p>
        </w:tc>
        <w:tc>
          <w:tcPr>
            <w:tcW w:w="159" w:type="dxa"/>
            <w:tcBorders/>
            <w:vAlign w:val="bottom"/>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2,773</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2,643</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current portion</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3,167</w:t>
            </w:r>
          </w:p>
        </w:tc>
        <w:tc>
          <w:tcPr>
            <w:tcW w:w="159" w:type="dxa"/>
            <w:tcBorders/>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7,768</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12,537</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non-current</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45,868</w:t>
            </w:r>
          </w:p>
        </w:tc>
        <w:tc>
          <w:tcPr>
            <w:tcW w:w="159" w:type="dxa"/>
            <w:tcBorders/>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7,768</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58,405</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70,000 shares authorized and no shares issued and outstanding as of June 30, 2026 and December 31, 2025</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700,000 shares authorized, 22,475 shares issued and outstanding as of June 30, 2026; 700,000 shares authorized, 22,407 shares issued and outstanding as of December 31, 2025</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362,923</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358,257</w:t>
            </w:r>
          </w:p>
        </w:tc>
        <w:tc>
          <w:tcPr>
            <w:tcW w:w="159" w:type="dxa"/>
            <w:tcBorders/>
            <w:vAlign w:val="bottom"/>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64</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(296,917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(259,669</w:t>
            </w:r>
          </w:p>
        </w:tc>
        <w:tc>
          <w:tcPr>
            <w:tcW w:w="159" w:type="dxa"/>
            <w:tcBorders/>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65,976</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98,654</w:t>
            </w:r>
          </w:p>
        </w:tc>
        <w:tc>
          <w:tcPr>
            <w:tcW w:w="159" w:type="dxa"/>
            <w:tcBorders/>
            <w:shd w:fill="CCEEFF" w:val="clear"/>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73,744</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157,059</w:t>
            </w:r>
          </w:p>
        </w:tc>
        <w:tc>
          <w:tcPr>
            <w:tcW w:w="159" w:type="dxa"/>
            <w:tcBorders/>
            <w:vAlign w:val="bottom"/>
          </w:tcPr>
          <w:p>
            <w:pPr>
              <w:pStyle w:val="TableContents"/>
              <w:bidi w:val="0"/>
              <w:spacing w:before="0" w:after="283"/>
              <w:jc w:val="left"/>
              <w:rPr/>
            </w:pPr>
            <w:r>
              <w:rPr/>
              <w:t> </w:t>
            </w:r>
          </w:p>
        </w:tc>
      </w:tr>
      <w:tr>
        <w:trPr/>
        <w:tc>
          <w:tcPr>
            <w:tcW w:w="661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8" w:name="fin108148_8"/>
      <w:bookmarkEnd w:id="88"/>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Operations and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6"/>
        <w:gridCol w:w="211"/>
        <w:gridCol w:w="140"/>
        <w:gridCol w:w="827"/>
        <w:gridCol w:w="168"/>
        <w:gridCol w:w="172"/>
        <w:gridCol w:w="140"/>
        <w:gridCol w:w="827"/>
        <w:gridCol w:w="155"/>
        <w:gridCol w:w="172"/>
        <w:gridCol w:w="140"/>
        <w:gridCol w:w="760"/>
        <w:gridCol w:w="155"/>
        <w:gridCol w:w="172"/>
        <w:gridCol w:w="140"/>
        <w:gridCol w:w="759"/>
        <w:gridCol w:w="161"/>
      </w:tblGrid>
      <w:tr>
        <w:trPr/>
        <w:tc>
          <w:tcPr>
            <w:tcW w:w="5106"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2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1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13,973</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12,218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23,707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24,355</w:t>
            </w:r>
          </w:p>
        </w:tc>
        <w:tc>
          <w:tcPr>
            <w:tcW w:w="161"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10,411</w:t>
            </w:r>
          </w:p>
        </w:tc>
        <w:tc>
          <w:tcPr>
            <w:tcW w:w="16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4,843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15,152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10,047</w:t>
            </w:r>
          </w:p>
        </w:tc>
        <w:tc>
          <w:tcPr>
            <w:tcW w:w="161" w:type="dxa"/>
            <w:tcBorders/>
            <w:shd w:fill="CCEEFF" w:val="clear"/>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24,384</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17,061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38,859</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34,402</w:t>
            </w:r>
          </w:p>
        </w:tc>
        <w:tc>
          <w:tcPr>
            <w:tcW w:w="161"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(24,384</w:t>
            </w:r>
          </w:p>
        </w:tc>
        <w:tc>
          <w:tcPr>
            <w:tcW w:w="16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(17,061</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(38,859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(34,402</w:t>
            </w:r>
          </w:p>
        </w:tc>
        <w:tc>
          <w:tcPr>
            <w:tcW w:w="161"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690</w:t>
            </w:r>
          </w:p>
        </w:tc>
        <w:tc>
          <w:tcPr>
            <w:tcW w:w="16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1,386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1,610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2,971</w:t>
            </w:r>
          </w:p>
        </w:tc>
        <w:tc>
          <w:tcPr>
            <w:tcW w:w="161"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691</w:t>
            </w:r>
          </w:p>
        </w:tc>
        <w:tc>
          <w:tcPr>
            <w:tcW w:w="16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1,386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1,611</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2,969</w:t>
            </w:r>
          </w:p>
        </w:tc>
        <w:tc>
          <w:tcPr>
            <w:tcW w:w="161" w:type="dxa"/>
            <w:tcBorders/>
            <w:shd w:fill="CCEEFF" w:val="clear"/>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(23,693</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(15,675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(37,248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(31,433</w:t>
            </w:r>
          </w:p>
        </w:tc>
        <w:tc>
          <w:tcPr>
            <w:tcW w:w="161"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(23,693</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(15,675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(37,248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(31,433</w:t>
            </w:r>
          </w:p>
        </w:tc>
        <w:tc>
          <w:tcPr>
            <w:tcW w:w="161"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short-term investments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(9</w:t>
            </w:r>
          </w:p>
        </w:tc>
        <w:tc>
          <w:tcPr>
            <w:tcW w:w="16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(125</w:t>
            </w:r>
          </w:p>
        </w:tc>
        <w:tc>
          <w:tcPr>
            <w:tcW w:w="161" w:type="dxa"/>
            <w:tcBorders/>
            <w:shd w:fill="CCEEFF" w:val="clear"/>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(23,702</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(15,711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(37,344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(31,558</w:t>
            </w:r>
          </w:p>
        </w:tc>
        <w:tc>
          <w:tcPr>
            <w:tcW w:w="161"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(1.06</w:t>
            </w:r>
          </w:p>
        </w:tc>
        <w:tc>
          <w:tcPr>
            <w:tcW w:w="16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(0.70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(1.41</w:t>
            </w:r>
          </w:p>
        </w:tc>
        <w:tc>
          <w:tcPr>
            <w:tcW w:w="161" w:type="dxa"/>
            <w:tcBorders/>
            <w:shd w:fill="CCEEFF" w:val="clear"/>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Shares used in calculation</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22,450</w:t>
            </w:r>
          </w:p>
        </w:tc>
        <w:tc>
          <w:tcPr>
            <w:tcW w:w="16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22,356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22,429</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22,328</w:t>
            </w:r>
          </w:p>
        </w:tc>
        <w:tc>
          <w:tcPr>
            <w:tcW w:w="161"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9" w:name="fin108148_9"/>
      <w:bookmarkEnd w:id="89"/>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Stockholders’ Equity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0"/>
        <w:gridCol w:w="92"/>
        <w:gridCol w:w="60"/>
        <w:gridCol w:w="683"/>
        <w:gridCol w:w="60"/>
        <w:gridCol w:w="92"/>
        <w:gridCol w:w="231"/>
        <w:gridCol w:w="636"/>
        <w:gridCol w:w="60"/>
        <w:gridCol w:w="92"/>
        <w:gridCol w:w="163"/>
        <w:gridCol w:w="938"/>
        <w:gridCol w:w="60"/>
        <w:gridCol w:w="91"/>
        <w:gridCol w:w="418"/>
        <w:gridCol w:w="1128"/>
        <w:gridCol w:w="155"/>
        <w:gridCol w:w="92"/>
        <w:gridCol w:w="188"/>
        <w:gridCol w:w="1183"/>
        <w:gridCol w:w="155"/>
        <w:gridCol w:w="92"/>
        <w:gridCol w:w="206"/>
        <w:gridCol w:w="1168"/>
        <w:gridCol w:w="162"/>
      </w:tblGrid>
      <w:tr>
        <w:trPr/>
        <w:tc>
          <w:tcPr>
            <w:tcW w:w="200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92" w:type="dxa"/>
            <w:vMerge w:val="restart"/>
            <w:tcBorders/>
            <w:vAlign w:val="bottom"/>
          </w:tcPr>
          <w:p>
            <w:pPr>
              <w:pStyle w:val="TableContents"/>
              <w:bidi w:val="0"/>
              <w:spacing w:before="0" w:after="283"/>
              <w:jc w:val="left"/>
              <w:rPr/>
            </w:pPr>
            <w:r>
              <w:rPr/>
              <w:t> </w:t>
            </w:r>
          </w:p>
        </w:tc>
        <w:tc>
          <w:tcPr>
            <w:tcW w:w="110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91" w:type="dxa"/>
            <w:vMerge w:val="restart"/>
            <w:tcBorders/>
            <w:vAlign w:val="bottom"/>
          </w:tcPr>
          <w:p>
            <w:pPr>
              <w:pStyle w:val="TableContents"/>
              <w:bidi w:val="0"/>
              <w:spacing w:before="0" w:after="283"/>
              <w:jc w:val="left"/>
              <w:rPr/>
            </w:pPr>
            <w:r>
              <w:rPr/>
              <w:t> </w:t>
            </w:r>
          </w:p>
        </w:tc>
        <w:tc>
          <w:tcPr>
            <w:tcW w:w="15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income/(loss)</w:t>
            </w:r>
          </w:p>
        </w:tc>
        <w:tc>
          <w:tcPr>
            <w:tcW w:w="155" w:type="dxa"/>
            <w:vMerge w:val="restart"/>
            <w:tcBorders/>
            <w:vAlign w:val="bottom"/>
          </w:tcPr>
          <w:p>
            <w:pPr>
              <w:pStyle w:val="TableContents"/>
              <w:bidi w:val="0"/>
              <w:spacing w:before="0" w:after="283"/>
              <w:jc w:val="left"/>
              <w:rPr/>
            </w:pPr>
            <w:r>
              <w:rPr/>
              <w:t> </w:t>
            </w:r>
          </w:p>
        </w:tc>
        <w:tc>
          <w:tcPr>
            <w:tcW w:w="92" w:type="dxa"/>
            <w:vMerge w:val="restart"/>
            <w:tcBorders/>
            <w:vAlign w:val="bottom"/>
          </w:tcPr>
          <w:p>
            <w:pPr>
              <w:pStyle w:val="TableContents"/>
              <w:bidi w:val="0"/>
              <w:spacing w:before="0" w:after="283"/>
              <w:jc w:val="left"/>
              <w:rPr/>
            </w:pPr>
            <w:r>
              <w:rPr/>
              <w:t> </w:t>
            </w:r>
          </w:p>
        </w:tc>
        <w:tc>
          <w:tcPr>
            <w:tcW w:w="137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92" w:type="dxa"/>
            <w:vMerge w:val="restart"/>
            <w:tcBorders/>
            <w:vAlign w:val="bottom"/>
          </w:tcPr>
          <w:p>
            <w:pPr>
              <w:pStyle w:val="TableContents"/>
              <w:bidi w:val="0"/>
              <w:spacing w:before="0" w:after="283"/>
              <w:jc w:val="left"/>
              <w:rPr/>
            </w:pPr>
            <w:r>
              <w:rPr/>
              <w:t> </w:t>
            </w:r>
          </w:p>
        </w:tc>
        <w:tc>
          <w:tcPr>
            <w:tcW w:w="137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2" w:type="dxa"/>
            <w:vMerge w:val="restart"/>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92" w:type="dxa"/>
            <w:vMerge w:val="continue"/>
            <w:tcBorders/>
            <w:vAlign w:val="bottom"/>
          </w:tcPr>
          <w:p>
            <w:pPr>
              <w:pStyle w:val="Normal"/>
              <w:bidi w:val="0"/>
              <w:jc w:val="left"/>
              <w:rPr/>
            </w:pPr>
            <w:r>
              <w:rPr/>
            </w:r>
          </w:p>
        </w:tc>
        <w:tc>
          <w:tcPr>
            <w:tcW w:w="110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1" w:type="dxa"/>
            <w:vMerge w:val="continue"/>
            <w:tcBorders>
              <w:bottom w:val="single" w:sz="8" w:space="0" w:color="000000"/>
            </w:tcBorders>
            <w:tcMar>
              <w:bottom w:w="28" w:type="dxa"/>
            </w:tcMar>
            <w:vAlign w:val="bottom"/>
          </w:tcPr>
          <w:p>
            <w:pPr>
              <w:pStyle w:val="Normal"/>
              <w:bidi w:val="0"/>
              <w:jc w:val="left"/>
              <w:rPr/>
            </w:pPr>
            <w:r>
              <w:rPr/>
            </w:r>
          </w:p>
        </w:tc>
        <w:tc>
          <w:tcPr>
            <w:tcW w:w="1546"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92" w:type="dxa"/>
            <w:vMerge w:val="continue"/>
            <w:tcBorders/>
            <w:vAlign w:val="bottom"/>
          </w:tcPr>
          <w:p>
            <w:pPr>
              <w:pStyle w:val="Normal"/>
              <w:bidi w:val="0"/>
              <w:jc w:val="left"/>
              <w:rPr/>
            </w:pPr>
            <w:r>
              <w:rPr/>
            </w:r>
          </w:p>
        </w:tc>
        <w:tc>
          <w:tcPr>
            <w:tcW w:w="1371"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92" w:type="dxa"/>
            <w:vMerge w:val="continue"/>
            <w:tcBorders/>
            <w:vAlign w:val="bottom"/>
          </w:tcPr>
          <w:p>
            <w:pPr>
              <w:pStyle w:val="Normal"/>
              <w:bidi w:val="0"/>
              <w:jc w:val="left"/>
              <w:rPr/>
            </w:pPr>
            <w:r>
              <w:rPr/>
            </w:r>
          </w:p>
        </w:tc>
        <w:tc>
          <w:tcPr>
            <w:tcW w:w="1374"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20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2025</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22,407</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358,257</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(259,669</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98,654</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1,371</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1,371</w:t>
            </w:r>
          </w:p>
        </w:tc>
        <w:tc>
          <w:tcPr>
            <w:tcW w:w="162" w:type="dxa"/>
            <w:tcBorders/>
            <w:vAlign w:val="bottom"/>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short-term investments</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(87</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(13,555</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(13,555</w:t>
            </w:r>
          </w:p>
        </w:tc>
        <w:tc>
          <w:tcPr>
            <w:tcW w:w="162" w:type="dxa"/>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22,407</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359,628</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(273,224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86,383</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3,222</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3,222</w:t>
            </w:r>
          </w:p>
        </w:tc>
        <w:tc>
          <w:tcPr>
            <w:tcW w:w="162" w:type="dxa"/>
            <w:tcBorders/>
            <w:vAlign w:val="bottom"/>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the Employee Stock Purchase Plan</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37</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36</w:t>
            </w:r>
          </w:p>
        </w:tc>
        <w:tc>
          <w:tcPr>
            <w:tcW w:w="162" w:type="dxa"/>
            <w:tcBorders/>
            <w:vAlign w:val="bottom"/>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short-term investments</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(9</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(23,693</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(23,693</w:t>
            </w:r>
          </w:p>
        </w:tc>
        <w:tc>
          <w:tcPr>
            <w:tcW w:w="162" w:type="dxa"/>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30, 2026</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22,475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362,923</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(296,917</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65,976</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22,300</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351,991</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121</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(201,472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150,642</w:t>
            </w:r>
          </w:p>
        </w:tc>
        <w:tc>
          <w:tcPr>
            <w:tcW w:w="162" w:type="dxa"/>
            <w:tcBorders/>
            <w:vAlign w:val="bottom"/>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1,797</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1,797</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short-term investments</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(89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(89</w:t>
            </w:r>
          </w:p>
        </w:tc>
        <w:tc>
          <w:tcPr>
            <w:tcW w:w="162" w:type="dxa"/>
            <w:tcBorders/>
            <w:vAlign w:val="bottom"/>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(15,758</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(15,758</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March 31, 2025</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22,300</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353,788</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(217,230</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136,592</w:t>
            </w:r>
          </w:p>
        </w:tc>
        <w:tc>
          <w:tcPr>
            <w:tcW w:w="162" w:type="dxa"/>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1,693</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1,693</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the Employee Stock Purchase Plan</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117</w:t>
            </w:r>
          </w:p>
        </w:tc>
        <w:tc>
          <w:tcPr>
            <w:tcW w:w="162" w:type="dxa"/>
            <w:tcBorders/>
            <w:vAlign w:val="bottom"/>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short-term investments</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(36</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(15,675</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(15,675</w:t>
            </w:r>
          </w:p>
        </w:tc>
        <w:tc>
          <w:tcPr>
            <w:tcW w:w="162" w:type="dxa"/>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22,386</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355,598</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(232,905</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122,691</w:t>
            </w:r>
          </w:p>
        </w:tc>
        <w:tc>
          <w:tcPr>
            <w:tcW w:w="162" w:type="dxa"/>
            <w:tcBorders/>
            <w:shd w:fill="CCEEFF" w:val="clear"/>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0" w:name="fin108148_10"/>
      <w:bookmarkEnd w:id="90"/>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95"/>
        <w:gridCol w:w="234"/>
        <w:gridCol w:w="140"/>
        <w:gridCol w:w="770"/>
        <w:gridCol w:w="172"/>
        <w:gridCol w:w="200"/>
        <w:gridCol w:w="140"/>
        <w:gridCol w:w="878"/>
        <w:gridCol w:w="176"/>
      </w:tblGrid>
      <w:tr>
        <w:trPr/>
        <w:tc>
          <w:tcPr>
            <w:tcW w:w="749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49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76" w:type="dxa"/>
            <w:tcBorders/>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(37,248</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(31,433</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4,593</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3,490</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1,625</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1,541</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634</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investments, net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(500</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(1,508</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7,062</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1,674</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1,022</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(210</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(1,602</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(884</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(12,438</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1,878</w:t>
            </w:r>
          </w:p>
        </w:tc>
        <w:tc>
          <w:tcPr>
            <w:tcW w:w="176" w:type="dxa"/>
            <w:tcBorders/>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(35,945</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(26,359</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investments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(37,800</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(96,285</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Maturities of investments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75,503</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110,744</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(46</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(107</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37,657</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14,352</w:t>
            </w:r>
          </w:p>
        </w:tc>
        <w:tc>
          <w:tcPr>
            <w:tcW w:w="176" w:type="dxa"/>
            <w:tcBorders/>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exercise of stock options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36</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the Employee Stock Purchase Plan</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37</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117</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73</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117</w:t>
            </w:r>
          </w:p>
        </w:tc>
        <w:tc>
          <w:tcPr>
            <w:tcW w:w="176" w:type="dxa"/>
            <w:tcBorders/>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1,785</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(11,890</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18,428</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27,147</w:t>
            </w:r>
          </w:p>
        </w:tc>
        <w:tc>
          <w:tcPr>
            <w:tcW w:w="176" w:type="dxa"/>
            <w:tcBorders/>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20,213</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15,257</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20,213</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14,697</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560</w:t>
            </w:r>
          </w:p>
        </w:tc>
        <w:tc>
          <w:tcPr>
            <w:tcW w:w="176" w:type="dxa"/>
            <w:tcBorders/>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20,213</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15,257</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74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r>
      <w:tr>
        <w:trPr/>
        <w:tc>
          <w:tcPr>
            <w:tcW w:w="7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right-of-use assets due to remeasurement of lease liabilities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36,597</w:t>
            </w:r>
          </w:p>
        </w:tc>
        <w:tc>
          <w:tcPr>
            <w:tcW w:w="17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r>
      <w:tr>
        <w:trPr/>
        <w:tc>
          <w:tcPr>
            <w:tcW w:w="749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1" w:name="fin108148_11"/>
      <w:bookmarkEnd w:id="91"/>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Inc. (Boundless Bio or the Company)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The Company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incorporated in the state of Delaware on April 10, 2018 and is headquartered in La Jolla, California.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with Serapha Bio, Inc.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an Agreement and Plan of Merger and Reorganization (the Merger Agreement) with Serapha Bio, Inc. (Serapha) and Boulder Merger Sub Corp., a wholly owned subsidiary of Boundless Bio (Merger Sub). Upon the terms and subject to the satisfaction of the conditions described in the Merger Agreement, Merger Sub will be merged with and into Serapha, with Serapha surviving as a wholly owned subsidiary of Boundless Bio (the Merger). The transaction is intended to qualify for federal income tax purposes as (1) a “reorganization” within the meaning of Section 368(a) of the Internal Revenue Code of 1986, as amended (the Code), and/or (2) an exchange of shares of Serapha capital stock for Boundless Bio common stock under Section 351(a) of the Code. </w:t>
      </w:r>
    </w:p>
    <w:p>
      <w:pPr>
        <w:pStyle w:val="TextBody"/>
        <w:bidi w:val="0"/>
        <w:spacing w:before="240" w:after="0"/>
        <w:jc w:val="left"/>
        <w:rPr>
          <w:rFonts w:ascii="Times New Roman" w:hAnsi="Times New Roman"/>
          <w:sz w:val="20"/>
        </w:rPr>
      </w:pPr>
      <w:r>
        <w:rPr>
          <w:rFonts w:ascii="Times New Roman" w:hAnsi="Times New Roman"/>
          <w:sz w:val="20"/>
        </w:rPr>
        <w:t xml:space="preserve">Upon closing, Serapha’s existing stockholders are expected to own approximately 96.3% of the combined company, and Boundless Bio’s existing stockholders are expected to own approximately 3.7%, in each case on a fully diluted basis (after taking into account the 2026 Stock Plan and 2026 ESPP). Prior to closing, Boundless Bio may declare a special cash dividend to its current stockholders to the extent its net cash is estimated, based on a reasonable, good faith approximation, to exceed zero at closing.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requires approval from stockholders of both companies, as well as continued Nasdaq listing of Boundless Bio’s common stock, effectiveness of a Form S-4 registration statement, and receipt of at least $200 million in gross proceeds from related financings by Serapha, among other closing conditions. In connection with the Merger, Boundless Bio stockholders will also be asked to approve a reverse stock split and an increase in authorized shares. Either party may terminate the agreement under certain circumstances, in which case a termination fee of $1.0 million may be payable by the terminating party.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June 23, 2026, the Company committed to a reduction in workforce of approximately 75% and communicated the plan to affected employees. The Company recognized a charge of approximately $2.8 million for the three and six months ended June 30, 2026, of which approximately $1.5 million was recorded in research and development expense and approximately $1.3 million was recorded in general and administrative expense. The Company had no associated liability as of December 31, 2025. During the six months ended June 30, 2026, the Company charged $2.8 million to expense and made no cash payments, resulting in a liability of $2.8 million recorded in accrued compensation as of June 30, 2026. The Company estimates aggregate one-time charges of approximately $3.0 million to $5.0 million, with the remainder to be recognized as the related services are rendered or the applicable conditions are met, in the second half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transaction is expected to close in the fourth quarter of 2026. Following completion of the Merger, the combined company plans to focus on advancing SERP-01, an investigational in vivo base editing therapy for Alpha-1 Antitrypsin Deficiency, and does not intend to continue development of any of Boundless Bio’s legacy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ATM Offering </w:t>
      </w:r>
    </w:p>
    <w:p>
      <w:pPr>
        <w:pStyle w:val="TextBody"/>
        <w:bidi w:val="0"/>
        <w:spacing w:before="120" w:after="0"/>
        <w:jc w:val="left"/>
        <w:rPr>
          <w:rFonts w:ascii="Times New Roman" w:hAnsi="Times New Roman"/>
          <w:sz w:val="20"/>
        </w:rPr>
      </w:pPr>
      <w:r>
        <w:rPr>
          <w:rFonts w:ascii="Times New Roman" w:hAnsi="Times New Roman"/>
          <w:sz w:val="20"/>
        </w:rPr>
        <w:t xml:space="preserve">On April 1, 2025, the Company entered into an Open Market Sale AgreementSM (the Sales Agreement) with Jefferies LLC (the Agent), under which the Company may, from time to time, sell shares of the Company’s common stock in “at the market” (ATM) offerings through or to the Agent, as sales agent or principal. The shares of common stock will be offered and issued pursuant to the Company’s shelf registration statement on Form S-3 (File No. 333-286302), including the Sales Agreement prospectus contained therein, filed with the Securities and Exchange Commission (SEC) on April 1, 2025 and declared effective by the SEC on April 10, 2025. Pursuant to the Sales Agreement prospectus, the Company may sell shares of its common stock having an aggregate offering price of up to $14.5 million.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The Company is not obligated to sell, and the Agent is not obligated to buy or sell, any shares of common stock under the Sales Agreement. No assurance can be given that the Company will sell any shares of common stock under the Sales Agreement, or, if it does, as to the price or amount of shares of common stock that it sells or the dates when such sales will take place. As of June 30, 2026, no shares had been sold under the Sales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the Company commenced operations in 2018, it has devoted substantially all of its efforts and resources to organizing and staffing the Company, business planning, raising capital, building its proprietary Spyglass platform, discovering its ecDTx, developing its ecDNA diagnostic,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The Company does not have any products for sale and has not generated any revenue to date. The Company has funded its operations primarily from the sale and issuance of shares of its convertible preferred stock and common stock, including the net proceeds from the initial public offering (IPO) of its common stock completed on April 2, 2024. </w:t>
      </w:r>
    </w:p>
    <w:p>
      <w:pPr>
        <w:pStyle w:val="TextBody"/>
        <w:bidi w:val="0"/>
        <w:spacing w:before="240" w:after="0"/>
        <w:jc w:val="left"/>
        <w:rPr>
          <w:rFonts w:ascii="Times New Roman" w:hAnsi="Times New Roman"/>
          <w:sz w:val="20"/>
        </w:rPr>
      </w:pPr>
      <w:r>
        <w:rPr>
          <w:rFonts w:ascii="Times New Roman" w:hAnsi="Times New Roman"/>
          <w:sz w:val="20"/>
        </w:rPr>
        <w:t>As of June 30, 2026, the Company had cash, cash equivalents, and short-term investments of $72.6 million. During the six months ended June 30, 2026, the Company terminated its long-term headquarters lease effective May 31, 2026, involving a cash payment of approximately $10.0 million to the landlord, with the landlord separately retaining the Company’s security deposit of approximately $0.5 million. See Note 7—</w:t>
      </w:r>
      <w:r>
        <w:rPr>
          <w:rFonts w:ascii="Times New Roman" w:hAnsi="Times New Roman"/>
          <w:i/>
          <w:sz w:val="20"/>
        </w:rPr>
        <w:t>Lease Agreements</w:t>
      </w:r>
      <w:r>
        <w:rPr>
          <w:rFonts w:ascii="Times New Roman" w:hAnsi="Times New Roman"/>
          <w:sz w:val="20"/>
        </w:rPr>
        <w:t xml:space="preserve"> for further information regarding the lease termination. Based on its current operating plan, and without giving effect to the anticipated pre-closing cash dividend or the proposed Merger, the Company believes that its existing cash, cash equivalents, and short-term investments will be sufficient to fund its operations for at least twelve months from the issuance date of these unaudited condensed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the Company has incurred significant operating losses and negative cash flows from its operations and expects that it will continue to do so into the foreseeable future as it assesses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development of, seeks regulatory approval for, and potentially commercializes its ecDTx, utilizes third parties to manufacture its ecDTx and related raw materials, potentially identifies additional development opportunities for its ecDTx, seeks to expand its therapeutic pipeline, and expands and protects its intellectual property. If the Company obtains regulatory approval for any of its ecDTx, it expects to incur significant commercialization expenses related to product sales, marketing, manufacturing, and distribution. The Company does not expect to generate any revenue from product sales until it successfully completes development of and obtains regulatory approval for one or more of its ecDTx, which the Company expects will take several years and may never occur.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As of June 30, 2026, the Company had an accumulated deficit of $296.9 million, and, during the six months ended June 30, 2026, the Company incurred a net loss of $37.2 million and had negative cash flows from operations of $35.9 million. If the Merger is not completed and the Company decides to develop any current or future ecDTx, it will need to acquire a substantial amount of additional funding until such time as it is able to generate significant revenues to fund its research and development activities and operations. Accordingly, the Company expects to finance its cash requirements through equity offerings, debt financings, or other capital sources, including potential collaborations, licenses, and other similar arrangements. There can be no assurance that the Company will be successful in acquiring additional funding or that any additional funding would be sufficient to continue operations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financial statements have been prepared in accordance with United States generally accepted accounting principles (U.S. GAAP) and the requirements of the SEC for interim reporting. As permitted under those rules, certain footnote disclosures or other financial information that are normally required by U.S. GAAP have been condensed or omitted. The condensed financial statements are presented in U.S. dollars.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condensed balance sheet as of June 30, 2026, the condensed statements of operations and comprehensive loss for the six months ended June 30, 2026 and 2025, the condensed statements of stockholders’ equity for the six months ended June 30, 2026 and 2025, and the condensed statements of cash flows for the six months ended June 30, 2026 and 2025 are unaudited. These unaudited condensed financial statements have been prepared on the same basis as the annual financial statements and, in the opinion of management, reflect all adjustments, consisting of normal recurring adjustments and the effects of the transactions described herein, necessary to present fairly the Company’s financial position, results of operations, and cash flows for the interim period presented. The financial data and the other financial information contained in these notes to the condensed financial statements are also unaudited. The results of operations for the six months ended June 30, 2026 are not necessarily indicative of the results to be expected for the year ending December 31, 2026 or for any other future annual or interim period. The condensed balance sheet as of December 31, 2025 included herein was derived from the audited financial statements as of that date. The unaudited condensed financial statements and these notes thereto should be read in conjunction with the Company’s audited financial statements and the notes thereto included in the Company’s Annual Report on Form 10-K for the year ended December 31, 2025 filed with the SEC on March 9, 2026 (the Company’s 2025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Note 2 to the audited financial statements included in the Company’s 2025 10-K. There were no material changes to the Company’s significant accounting policies during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qualifies as an “emerging growth company” (EGC) as defined in the Jumpstart Our Business Startups Act of 2012, as amended (JOBS Act). The JOBS Act permits EGCs such as the Company to take advantage of an extended transition period to comply with new or revised financial accounting standards applicable to public companies until those standards would otherwise apply to nonpublic companies. The Company has elected not to “opt out” of such extended transition period, which means that when an accounting standard is issued or revised and it has different application dates for public or nonpublic companies, the Company can adopt the new or revised standard at the time nonpublic companies adopt the new or revised standard and can do so until such time that it either (i) irrevocably elects to “opt out” of such extended transition period or (ii) no longer qualifies as an EGC.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identified as components of an enterprise about which discrete financial information is available for evaluation by the chief operating decision-maker (CODM) in making decisions regarding resource allocation and assessing performance. The Company operates and manages its business as one reporting and one operating segment, which is the business of designing and developing ecDTx, for which no revenue has been recorded. All of the Company’s long-lived assets are located in the United States. The Company’s CODM is its Chief Executive Officer. For purposes of assessing the Company’s financial performance and making resource allocation decisions, the CODM reviews total expenses, as well as expenses by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 (Subtopic 220-40): Disaggregation of Income Statement Expenses</w:t>
      </w:r>
      <w:r>
        <w:rPr>
          <w:rFonts w:ascii="Times New Roman" w:hAnsi="Times New Roman"/>
          <w:sz w:val="20"/>
        </w:rPr>
        <w:t xml:space="preserve">. The new guidance requires more detailed information about specified types of expenses (including purchases of inventory, employee compensation, depreciation, amortization, and depletion) in commonly presented expense captions on the face of the statement of operations on an annual and interim basis. This guidance is effective for the Company for annual periods beginning after December 15, 2026, and interim periods beginning after December 15, 2027. The new standard permits early adoption and can be applied prospectively or retrospectively. The Company is evaluating the effect that this guidance will have on its financial statements and related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measured at fair value on a recurring basis and their respective input levels based on the fair value hierarchy described in Note 2 to the audited financial statements included in the Company’s 2025 10-K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57"/>
        <w:gridCol w:w="305"/>
        <w:gridCol w:w="146"/>
        <w:gridCol w:w="740"/>
        <w:gridCol w:w="60"/>
        <w:gridCol w:w="305"/>
        <w:gridCol w:w="140"/>
        <w:gridCol w:w="764"/>
        <w:gridCol w:w="60"/>
        <w:gridCol w:w="305"/>
        <w:gridCol w:w="140"/>
        <w:gridCol w:w="764"/>
        <w:gridCol w:w="60"/>
        <w:gridCol w:w="305"/>
        <w:gridCol w:w="218"/>
        <w:gridCol w:w="554"/>
        <w:gridCol w:w="65"/>
      </w:tblGrid>
      <w:tr>
        <w:trPr/>
        <w:tc>
          <w:tcPr>
            <w:tcW w:w="445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57" w:type="dxa"/>
            <w:tcBorders/>
            <w:vAlign w:val="bottom"/>
          </w:tcPr>
          <w:p>
            <w:pPr>
              <w:pStyle w:val="TableContents"/>
              <w:bidi w:val="0"/>
              <w:spacing w:before="0" w:after="283"/>
              <w:jc w:val="left"/>
              <w:rPr/>
            </w:pPr>
            <w:r>
              <w:rPr/>
              <w:t> </w:t>
            </w:r>
          </w:p>
        </w:tc>
        <w:tc>
          <w:tcPr>
            <w:tcW w:w="305" w:type="dxa"/>
            <w:vMerge w:val="restart"/>
            <w:tcBorders/>
            <w:vAlign w:val="bottom"/>
          </w:tcPr>
          <w:p>
            <w:pPr>
              <w:pStyle w:val="TableContents"/>
              <w:bidi w:val="0"/>
              <w:spacing w:before="0" w:after="283"/>
              <w:jc w:val="left"/>
              <w:rPr/>
            </w:pPr>
            <w:r>
              <w:rPr/>
              <w:t>  </w:t>
            </w:r>
          </w:p>
        </w:tc>
        <w:tc>
          <w:tcPr>
            <w:tcW w:w="88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vMerge w:val="restart"/>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31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Measurements Using</w:t>
            </w:r>
          </w:p>
        </w:tc>
        <w:tc>
          <w:tcPr>
            <w:tcW w:w="65" w:type="dxa"/>
            <w:tcBorders/>
            <w:vAlign w:val="bottom"/>
          </w:tcPr>
          <w:p>
            <w:pPr>
              <w:pStyle w:val="TableContents"/>
              <w:bidi w:val="0"/>
              <w:spacing w:before="0" w:after="283"/>
              <w:jc w:val="left"/>
              <w:rPr/>
            </w:pPr>
            <w:r>
              <w:rPr/>
              <w:t> </w:t>
            </w:r>
          </w:p>
        </w:tc>
      </w:tr>
      <w:tr>
        <w:trPr/>
        <w:tc>
          <w:tcPr>
            <w:tcW w:w="44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June 30, 2026</w:t>
            </w:r>
          </w:p>
        </w:tc>
        <w:tc>
          <w:tcPr>
            <w:tcW w:w="305" w:type="dxa"/>
            <w:vMerge w:val="continue"/>
            <w:tcBorders/>
            <w:vAlign w:val="bottom"/>
          </w:tcPr>
          <w:p>
            <w:pPr>
              <w:pStyle w:val="Normal"/>
              <w:bidi w:val="0"/>
              <w:jc w:val="left"/>
              <w:rPr/>
            </w:pPr>
            <w:r>
              <w:rPr/>
            </w:r>
          </w:p>
        </w:tc>
        <w:tc>
          <w:tcPr>
            <w:tcW w:w="88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05"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5" w:type="dxa"/>
            <w:tcBorders/>
            <w:vAlign w:val="bottom"/>
          </w:tcPr>
          <w:p>
            <w:pPr>
              <w:pStyle w:val="TableContents"/>
              <w:bidi w:val="0"/>
              <w:spacing w:before="0" w:after="283"/>
              <w:jc w:val="left"/>
              <w:rPr/>
            </w:pPr>
            <w:r>
              <w:rPr/>
              <w:t> </w:t>
            </w:r>
          </w:p>
        </w:tc>
      </w:tr>
      <w:tr>
        <w:trPr/>
        <w:tc>
          <w:tcPr>
            <w:tcW w:w="44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5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7"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 (1)</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16,304</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16,304</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55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government obligations (2)</w:t>
            </w:r>
          </w:p>
        </w:tc>
        <w:tc>
          <w:tcPr>
            <w:tcW w:w="3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52,413</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52,413</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4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57" w:type="dxa"/>
            <w:tcBorders/>
          </w:tcPr>
          <w:p>
            <w:pPr>
              <w:pStyle w:val="TableContents"/>
              <w:bidi w:val="0"/>
              <w:spacing w:before="0" w:after="0"/>
              <w:jc w:val="left"/>
              <w:rPr>
                <w:rFonts w:ascii="Times New Roman" w:hAnsi="Times New Roman"/>
                <w:sz w:val="20"/>
              </w:rPr>
            </w:pPr>
            <w:r>
              <w:rPr>
                <w:rFonts w:ascii="Times New Roman" w:hAnsi="Times New Roman"/>
                <w:sz w:val="20"/>
              </w:rPr>
              <w:t>Total fair value of assets</w:t>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68,717</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16,304</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52,413</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55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5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cash and cash equivalents on the balance sheets.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short-term investments on the balance sheets.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12"/>
        <w:gridCol w:w="295"/>
        <w:gridCol w:w="140"/>
        <w:gridCol w:w="803"/>
        <w:gridCol w:w="60"/>
        <w:gridCol w:w="295"/>
        <w:gridCol w:w="155"/>
        <w:gridCol w:w="713"/>
        <w:gridCol w:w="60"/>
        <w:gridCol w:w="295"/>
        <w:gridCol w:w="155"/>
        <w:gridCol w:w="713"/>
        <w:gridCol w:w="60"/>
        <w:gridCol w:w="295"/>
        <w:gridCol w:w="202"/>
        <w:gridCol w:w="566"/>
        <w:gridCol w:w="69"/>
      </w:tblGrid>
      <w:tr>
        <w:trPr/>
        <w:tc>
          <w:tcPr>
            <w:tcW w:w="4512"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51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2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Measurements Using</w:t>
            </w:r>
          </w:p>
        </w:tc>
        <w:tc>
          <w:tcPr>
            <w:tcW w:w="69" w:type="dxa"/>
            <w:tcBorders/>
            <w:vAlign w:val="bottom"/>
          </w:tcPr>
          <w:p>
            <w:pPr>
              <w:pStyle w:val="TableContents"/>
              <w:bidi w:val="0"/>
              <w:spacing w:before="0" w:after="283"/>
              <w:jc w:val="left"/>
              <w:rPr/>
            </w:pPr>
            <w:r>
              <w:rPr/>
              <w:t> </w:t>
            </w:r>
          </w:p>
        </w:tc>
      </w:tr>
      <w:tr>
        <w:trPr/>
        <w:tc>
          <w:tcPr>
            <w:tcW w:w="45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2025</w:t>
            </w:r>
          </w:p>
        </w:tc>
        <w:tc>
          <w:tcPr>
            <w:tcW w:w="295"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9" w:type="dxa"/>
            <w:tcBorders/>
            <w:vAlign w:val="bottom"/>
          </w:tcPr>
          <w:p>
            <w:pPr>
              <w:pStyle w:val="TableContents"/>
              <w:bidi w:val="0"/>
              <w:spacing w:before="0" w:after="283"/>
              <w:jc w:val="left"/>
              <w:rPr/>
            </w:pPr>
            <w:r>
              <w:rPr/>
              <w:t> </w:t>
            </w:r>
          </w:p>
        </w:tc>
      </w:tr>
      <w:tr>
        <w:trPr/>
        <w:tc>
          <w:tcPr>
            <w:tcW w:w="45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4512"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 (1)</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16,100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16,100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government obligations (2)</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89,713</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89,713</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512" w:type="dxa"/>
            <w:tcBorders/>
          </w:tcPr>
          <w:p>
            <w:pPr>
              <w:pStyle w:val="TableContents"/>
              <w:bidi w:val="0"/>
              <w:spacing w:before="0" w:after="0"/>
              <w:jc w:val="left"/>
              <w:rPr>
                <w:rFonts w:ascii="Times New Roman" w:hAnsi="Times New Roman"/>
                <w:sz w:val="20"/>
              </w:rPr>
            </w:pPr>
            <w:r>
              <w:rPr>
                <w:rFonts w:ascii="Times New Roman" w:hAnsi="Times New Roman"/>
                <w:sz w:val="20"/>
              </w:rPr>
              <w:t>Total fair value of assets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105,813</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16,100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89,713</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cash and cash equivalents on the balance sheets.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short-term investments on the balance sheets.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money market funds are classified as Level 1 because they are valued using quoted market prices. The Company’s investments consist of available-for-sale securities and are classified as Level 2 because their value is based on valuations using significant inputs derived from or corroborated by observable market data. No Level 3 assets were held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of assets between fair value levels for any period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investments accounted for as available-for-sale securities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47"/>
        <w:gridCol w:w="339"/>
        <w:gridCol w:w="200"/>
        <w:gridCol w:w="997"/>
        <w:gridCol w:w="60"/>
        <w:gridCol w:w="339"/>
        <w:gridCol w:w="313"/>
        <w:gridCol w:w="827"/>
        <w:gridCol w:w="60"/>
        <w:gridCol w:w="339"/>
        <w:gridCol w:w="313"/>
        <w:gridCol w:w="826"/>
        <w:gridCol w:w="155"/>
        <w:gridCol w:w="339"/>
        <w:gridCol w:w="262"/>
        <w:gridCol w:w="1305"/>
        <w:gridCol w:w="67"/>
      </w:tblGrid>
      <w:tr>
        <w:trPr/>
        <w:tc>
          <w:tcPr>
            <w:tcW w:w="2647"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4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3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7" w:type="dxa"/>
            <w:tcBorders/>
            <w:vAlign w:val="bottom"/>
          </w:tcPr>
          <w:p>
            <w:pPr>
              <w:pStyle w:val="TableContents"/>
              <w:bidi w:val="0"/>
              <w:spacing w:before="0" w:after="283"/>
              <w:jc w:val="left"/>
              <w:rPr/>
            </w:pPr>
            <w:r>
              <w:rPr/>
              <w:t> </w:t>
            </w:r>
          </w:p>
        </w:tc>
      </w:tr>
      <w:tr>
        <w:trPr/>
        <w:tc>
          <w:tcPr>
            <w:tcW w:w="264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Acquisition</w:t>
              <w:br/>
              <w:t>Cost</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Fair</w:t>
              <w:br/>
              <w:t>Value</w:t>
            </w:r>
          </w:p>
        </w:tc>
        <w:tc>
          <w:tcPr>
            <w:tcW w:w="67" w:type="dxa"/>
            <w:tcBorders/>
            <w:vAlign w:val="bottom"/>
          </w:tcPr>
          <w:p>
            <w:pPr>
              <w:pStyle w:val="TableContents"/>
              <w:bidi w:val="0"/>
              <w:spacing w:before="0" w:after="283"/>
              <w:jc w:val="left"/>
              <w:rPr/>
            </w:pPr>
            <w:r>
              <w:rPr/>
              <w:t> </w:t>
            </w:r>
          </w:p>
        </w:tc>
      </w:tr>
      <w:tr>
        <w:trPr/>
        <w:tc>
          <w:tcPr>
            <w:tcW w:w="2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3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16,304</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16,304</w:t>
            </w:r>
          </w:p>
        </w:tc>
        <w:tc>
          <w:tcPr>
            <w:tcW w:w="67" w:type="dxa"/>
            <w:tcBorders/>
            <w:shd w:fill="CCEEFF" w:val="clear"/>
            <w:vAlign w:val="bottom"/>
          </w:tcPr>
          <w:p>
            <w:pPr>
              <w:pStyle w:val="TableContents"/>
              <w:bidi w:val="0"/>
              <w:spacing w:before="0" w:after="283"/>
              <w:jc w:val="left"/>
              <w:rPr/>
            </w:pPr>
            <w:r>
              <w:rPr/>
              <w:t> </w:t>
            </w:r>
          </w:p>
        </w:tc>
      </w:tr>
      <w:tr>
        <w:trPr/>
        <w:tc>
          <w:tcPr>
            <w:tcW w:w="2647"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obligations</w:t>
            </w:r>
          </w:p>
        </w:tc>
        <w:tc>
          <w:tcPr>
            <w:tcW w:w="33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52,445</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52,413</w:t>
            </w:r>
          </w:p>
        </w:tc>
        <w:tc>
          <w:tcPr>
            <w:tcW w:w="67" w:type="dxa"/>
            <w:tcBorders/>
            <w:vAlign w:val="bottom"/>
          </w:tcPr>
          <w:p>
            <w:pPr>
              <w:pStyle w:val="TableContents"/>
              <w:bidi w:val="0"/>
              <w:spacing w:before="0" w:after="283"/>
              <w:jc w:val="left"/>
              <w:rPr/>
            </w:pPr>
            <w:r>
              <w:rPr/>
              <w:t> </w:t>
            </w:r>
          </w:p>
        </w:tc>
      </w:tr>
      <w:tr>
        <w:trPr/>
        <w:tc>
          <w:tcPr>
            <w:tcW w:w="264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3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68,749</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68,717</w:t>
            </w:r>
          </w:p>
        </w:tc>
        <w:tc>
          <w:tcPr>
            <w:tcW w:w="67" w:type="dxa"/>
            <w:tcBorders/>
            <w:shd w:fill="CCEEFF" w:val="clear"/>
            <w:vAlign w:val="bottom"/>
          </w:tcPr>
          <w:p>
            <w:pPr>
              <w:pStyle w:val="TableContents"/>
              <w:bidi w:val="0"/>
              <w:spacing w:before="0" w:after="283"/>
              <w:jc w:val="left"/>
              <w:rPr/>
            </w:pPr>
            <w:r>
              <w:rPr/>
              <w:t> </w:t>
            </w:r>
          </w:p>
        </w:tc>
      </w:tr>
      <w:tr>
        <w:trPr/>
        <w:tc>
          <w:tcPr>
            <w:tcW w:w="264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647" w:type="dxa"/>
            <w:tcBorders/>
          </w:tcPr>
          <w:p>
            <w:pPr>
              <w:pStyle w:val="TableContents"/>
              <w:bidi w:val="0"/>
              <w:spacing w:before="0" w:after="0"/>
              <w:jc w:val="left"/>
              <w:rPr>
                <w:rFonts w:ascii="Times New Roman" w:hAnsi="Times New Roman"/>
                <w:sz w:val="20"/>
              </w:rPr>
            </w:pPr>
            <w:r>
              <w:rPr>
                <w:rFonts w:ascii="Times New Roman" w:hAnsi="Times New Roman"/>
                <w:sz w:val="20"/>
              </w:rPr>
              <w:t>Classified as:</w:t>
            </w:r>
          </w:p>
        </w:tc>
        <w:tc>
          <w:tcPr>
            <w:tcW w:w="33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30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3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16,304</w:t>
            </w:r>
          </w:p>
        </w:tc>
        <w:tc>
          <w:tcPr>
            <w:tcW w:w="67" w:type="dxa"/>
            <w:tcBorders/>
            <w:shd w:fill="CCEEFF" w:val="clear"/>
            <w:vAlign w:val="bottom"/>
          </w:tcPr>
          <w:p>
            <w:pPr>
              <w:pStyle w:val="TableContents"/>
              <w:bidi w:val="0"/>
              <w:spacing w:before="0" w:after="283"/>
              <w:jc w:val="left"/>
              <w:rPr/>
            </w:pPr>
            <w:r>
              <w:rPr/>
              <w:t> </w:t>
            </w:r>
          </w:p>
        </w:tc>
      </w:tr>
      <w:tr>
        <w:trPr/>
        <w:tc>
          <w:tcPr>
            <w:tcW w:w="2647"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3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52,413</w:t>
            </w:r>
          </w:p>
        </w:tc>
        <w:tc>
          <w:tcPr>
            <w:tcW w:w="67" w:type="dxa"/>
            <w:tcBorders/>
            <w:vAlign w:val="bottom"/>
          </w:tcPr>
          <w:p>
            <w:pPr>
              <w:pStyle w:val="TableContents"/>
              <w:bidi w:val="0"/>
              <w:spacing w:before="0" w:after="283"/>
              <w:jc w:val="left"/>
              <w:rPr/>
            </w:pPr>
            <w:r>
              <w:rPr/>
              <w:t> </w:t>
            </w:r>
          </w:p>
        </w:tc>
      </w:tr>
      <w:tr>
        <w:trPr/>
        <w:tc>
          <w:tcPr>
            <w:tcW w:w="264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3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68,717</w:t>
            </w:r>
          </w:p>
        </w:tc>
        <w:tc>
          <w:tcPr>
            <w:tcW w:w="67" w:type="dxa"/>
            <w:tcBorders/>
            <w:shd w:fill="CCEEFF" w:val="clear"/>
            <w:vAlign w:val="bottom"/>
          </w:tcPr>
          <w:p>
            <w:pPr>
              <w:pStyle w:val="TableContents"/>
              <w:bidi w:val="0"/>
              <w:spacing w:before="0" w:after="283"/>
              <w:jc w:val="left"/>
              <w:rPr/>
            </w:pPr>
            <w:r>
              <w:rPr/>
              <w:t> </w:t>
            </w:r>
          </w:p>
        </w:tc>
      </w:tr>
      <w:tr>
        <w:trPr/>
        <w:tc>
          <w:tcPr>
            <w:tcW w:w="264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60"/>
        <w:gridCol w:w="355"/>
        <w:gridCol w:w="175"/>
        <w:gridCol w:w="1030"/>
        <w:gridCol w:w="60"/>
        <w:gridCol w:w="355"/>
        <w:gridCol w:w="305"/>
        <w:gridCol w:w="840"/>
        <w:gridCol w:w="60"/>
        <w:gridCol w:w="355"/>
        <w:gridCol w:w="305"/>
        <w:gridCol w:w="839"/>
        <w:gridCol w:w="60"/>
        <w:gridCol w:w="355"/>
        <w:gridCol w:w="228"/>
        <w:gridCol w:w="1338"/>
        <w:gridCol w:w="68"/>
      </w:tblGrid>
      <w:tr>
        <w:trPr/>
        <w:tc>
          <w:tcPr>
            <w:tcW w:w="26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630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8"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Acquisition</w:t>
              <w:br/>
              <w:t>Cost</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Fair</w:t>
              <w:br/>
              <w:t>Value</w:t>
            </w:r>
          </w:p>
        </w:tc>
        <w:tc>
          <w:tcPr>
            <w:tcW w:w="68"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16,100</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16,100</w:t>
            </w:r>
          </w:p>
        </w:tc>
        <w:tc>
          <w:tcPr>
            <w:tcW w:w="68"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obligations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89,649</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89,713</w:t>
            </w:r>
          </w:p>
        </w:tc>
        <w:tc>
          <w:tcPr>
            <w:tcW w:w="68"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105,749</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105,813</w:t>
            </w:r>
          </w:p>
        </w:tc>
        <w:tc>
          <w:tcPr>
            <w:tcW w:w="68"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Classified as: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16,100</w:t>
            </w:r>
          </w:p>
        </w:tc>
        <w:tc>
          <w:tcPr>
            <w:tcW w:w="68"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89,713</w:t>
            </w:r>
          </w:p>
        </w:tc>
        <w:tc>
          <w:tcPr>
            <w:tcW w:w="68"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 and investments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105,813</w:t>
            </w:r>
          </w:p>
        </w:tc>
        <w:tc>
          <w:tcPr>
            <w:tcW w:w="68"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June 30, 2026 and December 31, 2025, the remaining contractual maturities of all the Company’s available-for-sale investments were less than 12 months. As of June 30, 2026 and December 31, 2025, the Company has not established an allowance for credit losses for any of its available-for-sale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there were eighteen available-for-sale securities with an estimated fair value of $49.4 million in gross unrealized loss positions. As of December 31, 2025, there were no available-for-sale securities in a gross unrealized loss position. Based on its review of these investments, the Company believes that the unrealized losses are attributable to changes in market interest rates and not to credit-related factors and therefore were not other-than-temporary in 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8"/>
        <w:gridCol w:w="470"/>
        <w:gridCol w:w="175"/>
        <w:gridCol w:w="728"/>
        <w:gridCol w:w="60"/>
        <w:gridCol w:w="470"/>
        <w:gridCol w:w="284"/>
        <w:gridCol w:w="1185"/>
        <w:gridCol w:w="65"/>
      </w:tblGrid>
      <w:tr>
        <w:trPr/>
        <w:tc>
          <w:tcPr>
            <w:tcW w:w="4318"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w:t>
              <w:br/>
              <w:t>2026</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br/>
              <w:t>2025</w:t>
            </w:r>
          </w:p>
        </w:tc>
        <w:tc>
          <w:tcPr>
            <w:tcW w:w="65"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4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2,641</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4,373</w:t>
            </w:r>
          </w:p>
        </w:tc>
        <w:tc>
          <w:tcPr>
            <w:tcW w:w="65"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Computers and software</w:t>
            </w:r>
          </w:p>
        </w:tc>
        <w:tc>
          <w:tcPr>
            <w:tcW w:w="4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903</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896</w:t>
            </w:r>
          </w:p>
        </w:tc>
        <w:tc>
          <w:tcPr>
            <w:tcW w:w="65"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51</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1,054</w:t>
            </w:r>
          </w:p>
        </w:tc>
        <w:tc>
          <w:tcPr>
            <w:tcW w:w="65"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1,853</w:t>
            </w:r>
          </w:p>
        </w:tc>
        <w:tc>
          <w:tcPr>
            <w:tcW w:w="65" w:type="dxa"/>
            <w:tcBorders/>
            <w:vAlign w:val="bottom"/>
          </w:tcPr>
          <w:p>
            <w:pPr>
              <w:pStyle w:val="TableContents"/>
              <w:bidi w:val="0"/>
              <w:spacing w:before="0" w:after="283"/>
              <w:jc w:val="left"/>
              <w:rPr/>
            </w:pPr>
            <w:r>
              <w:rPr/>
              <w:t> </w:t>
            </w:r>
          </w:p>
        </w:tc>
      </w:tr>
      <w:tr>
        <w:trPr/>
        <w:tc>
          <w:tcPr>
            <w:tcW w:w="4318"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3,595</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8,176</w:t>
            </w:r>
          </w:p>
        </w:tc>
        <w:tc>
          <w:tcPr>
            <w:tcW w:w="65"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3,498</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4,960</w:t>
            </w:r>
          </w:p>
        </w:tc>
        <w:tc>
          <w:tcPr>
            <w:tcW w:w="65" w:type="dxa"/>
            <w:tcBorders/>
            <w:vAlign w:val="bottom"/>
          </w:tcPr>
          <w:p>
            <w:pPr>
              <w:pStyle w:val="TableContents"/>
              <w:bidi w:val="0"/>
              <w:spacing w:before="0" w:after="283"/>
              <w:jc w:val="left"/>
              <w:rPr/>
            </w:pPr>
            <w:r>
              <w:rPr/>
              <w:t> </w:t>
            </w:r>
          </w:p>
        </w:tc>
      </w:tr>
      <w:tr>
        <w:trPr/>
        <w:tc>
          <w:tcPr>
            <w:tcW w:w="4318"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3,216</w:t>
            </w:r>
          </w:p>
        </w:tc>
        <w:tc>
          <w:tcPr>
            <w:tcW w:w="65" w:type="dxa"/>
            <w:tcBorders/>
            <w:shd w:fill="CCEEFF" w:val="clear"/>
            <w:vAlign w:val="bottom"/>
          </w:tcPr>
          <w:p>
            <w:pPr>
              <w:pStyle w:val="TableContents"/>
              <w:bidi w:val="0"/>
              <w:spacing w:before="0" w:after="283"/>
              <w:jc w:val="left"/>
              <w:rPr/>
            </w:pPr>
            <w:r>
              <w:rPr/>
              <w:t> </w:t>
            </w:r>
          </w:p>
        </w:tc>
      </w:tr>
      <w:tr>
        <w:trPr/>
        <w:tc>
          <w:tcPr>
            <w:tcW w:w="4318"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related to property and equipment was $1.3 million and $1.5 million for the three and six months ended June 30, 2026, respectively, and $0.3 million and $0.6 million for the three and six months ended June 30, 2025, respectively. </w:t>
      </w:r>
    </w:p>
    <w:p>
      <w:pPr>
        <w:pStyle w:val="TextBody"/>
        <w:bidi w:val="0"/>
        <w:spacing w:before="240" w:after="0"/>
        <w:jc w:val="left"/>
        <w:rPr>
          <w:rFonts w:ascii="Times New Roman" w:hAnsi="Times New Roman"/>
          <w:sz w:val="20"/>
        </w:rPr>
      </w:pPr>
      <w:r>
        <w:rPr>
          <w:rFonts w:ascii="Times New Roman" w:hAnsi="Times New Roman"/>
          <w:sz w:val="20"/>
        </w:rPr>
        <w:t>In connection with the termination of the Company’s headquarters lease effective May 31, 2026 (see Note 7—</w:t>
      </w:r>
      <w:r>
        <w:rPr>
          <w:rFonts w:ascii="Times New Roman" w:hAnsi="Times New Roman"/>
          <w:i/>
          <w:sz w:val="20"/>
        </w:rPr>
        <w:t>Lease Agreements</w:t>
      </w:r>
      <w:r>
        <w:rPr>
          <w:rFonts w:ascii="Times New Roman" w:hAnsi="Times New Roman"/>
          <w:sz w:val="20"/>
        </w:rPr>
        <w:t xml:space="preserve">), the Company shortened the estimated useful lives of the leasehold improvements at that facility to coincide with the termination date. This change in estimate resulted in additional depreciation expense of approximately $0.8 million during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Separately, in connection with the Merger and the Company’s decision to wind down its research and development activities, the Company reassessed the estimated useful lives of certain property and equipment that are no longer expected to be used over their previously estimated service periods. As a result of shortening these useful lives, the Company recognized additional accelerated depreciation of approximately $0.3 million during the three and six months ended June 30, 2026, which is included in operating expenses in the condensed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same facility exit, the Company determined that certain furniture and fixtures and laboratory equipment located at the facility would not be relocated and would be disposed of. The Company concluded these circumstances indicated that the carrying amounts of the affected assets may not be recoverable and, as the assets were not expected to generate future cash flows, wrote them down to their estimated fair value. The Company recognized impairment losses of $1.4 million on furniture and fixtures and $0.2 million on laboratory equipment, totaling $1.6 million, for the three and six months ended June 30, 2026, of which approximately $1.1 million was recorded in research and development expense and approximately $0.5 million was recorded in general and administrative expense in the condensed statements of operations and comprehensive loss. No impairment losses were recognized for the three and six months ended June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Payable and Accrued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0"/>
        <w:gridCol w:w="476"/>
        <w:gridCol w:w="193"/>
        <w:gridCol w:w="773"/>
        <w:gridCol w:w="60"/>
        <w:gridCol w:w="476"/>
        <w:gridCol w:w="283"/>
        <w:gridCol w:w="1228"/>
        <w:gridCol w:w="66"/>
      </w:tblGrid>
      <w:tr>
        <w:trPr/>
        <w:tc>
          <w:tcPr>
            <w:tcW w:w="4200"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w:t>
              <w:br/>
              <w:t>2026</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511"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br/>
              <w:t>2025</w:t>
            </w:r>
          </w:p>
        </w:tc>
        <w:tc>
          <w:tcPr>
            <w:tcW w:w="6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7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1,051</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1,491</w:t>
            </w:r>
          </w:p>
        </w:tc>
        <w:tc>
          <w:tcPr>
            <w:tcW w:w="6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47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1,878</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4,719</w:t>
            </w:r>
          </w:p>
        </w:tc>
        <w:tc>
          <w:tcPr>
            <w:tcW w:w="6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47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2,066</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517</w:t>
            </w:r>
          </w:p>
        </w:tc>
        <w:tc>
          <w:tcPr>
            <w:tcW w:w="66" w:type="dxa"/>
            <w:tcBorders/>
            <w:shd w:fill="CCEEFF" w:val="clear"/>
            <w:vAlign w:val="bottom"/>
          </w:tcPr>
          <w:p>
            <w:pPr>
              <w:pStyle w:val="TableContents"/>
              <w:bidi w:val="0"/>
              <w:spacing w:before="0" w:after="283"/>
              <w:jc w:val="left"/>
              <w:rPr/>
            </w:pPr>
            <w:r>
              <w:rPr/>
              <w:t> </w:t>
            </w:r>
          </w:p>
        </w:tc>
      </w:tr>
      <w:tr>
        <w:trPr/>
        <w:tc>
          <w:tcPr>
            <w:tcW w:w="4200"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liabilities</w:t>
            </w:r>
          </w:p>
        </w:tc>
        <w:tc>
          <w:tcPr>
            <w:tcW w:w="47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4,995</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6,727</w:t>
            </w:r>
          </w:p>
        </w:tc>
        <w:tc>
          <w:tcPr>
            <w:tcW w:w="66" w:type="dxa"/>
            <w:tcBorders/>
            <w:vAlign w:val="bottom"/>
          </w:tcPr>
          <w:p>
            <w:pPr>
              <w:pStyle w:val="TableContents"/>
              <w:bidi w:val="0"/>
              <w:spacing w:before="0" w:after="283"/>
              <w:jc w:val="left"/>
              <w:rPr/>
            </w:pPr>
            <w:r>
              <w:rPr/>
              <w:t> </w:t>
            </w:r>
          </w:p>
        </w:tc>
      </w:tr>
      <w:tr>
        <w:trPr/>
        <w:tc>
          <w:tcPr>
            <w:tcW w:w="4200"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2024 Lease </w:t>
      </w:r>
    </w:p>
    <w:p>
      <w:pPr>
        <w:pStyle w:val="TextBody"/>
        <w:bidi w:val="0"/>
        <w:spacing w:before="120" w:after="0"/>
        <w:jc w:val="left"/>
        <w:rPr>
          <w:rFonts w:ascii="Times New Roman" w:hAnsi="Times New Roman"/>
          <w:sz w:val="20"/>
        </w:rPr>
      </w:pPr>
      <w:r>
        <w:rPr>
          <w:rFonts w:ascii="Times New Roman" w:hAnsi="Times New Roman"/>
          <w:sz w:val="20"/>
        </w:rPr>
        <w:t xml:space="preserve">The Company was a party to a non-cancellable facility lease for approximately 80,168 square feet of laboratory and office space in San Diego, California (the 2024 Lease). The 2024 Lease had an initial lease term of 120 months, which commenced in November 2024, and provided the Company with the right to extend the term for an additional 60 months at expiry, which was not included in the lease term used for measurement. The 2024 Lease included obligations to make base rent payments and additional variable lease payments for the Company’s allocated share of variable costs associated with the operation and management of the property, which included utilities, property taxes, common area maintenance, and amenities costs. The 2024 Lease provided for a rent abatement period through July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an operating lease liability based on the present value of the lease payments using an estimated incremental borrowing rate of approximately 8.3%, as the 2024 Lease did not have a stated rate and the implicit rate was not readily determinable, and a corresponding right-of-use (ROU) asset. Management exercised judgment in estimating the incremental borrowing rate and in determining the lease term. The renewal option was evaluated at lease commencement and excluded from the lease term, as the Company was not reasonably certain to exercise the option.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required to maintain a security deposit under the 2024 Lease in the form of a standby letter of credit, which was collateralized by a restricted cash deposit of approximately $0.5 million. In April 2026, in connection with the termination described below, the Landlord drew on the letter of credit, and the related restricted cash was released. As of June 30, 2026, the Company had no restricted cash associated with the 2024 Lease.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 Termination and Facility Exit Costs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entered into an Agreement for Termination of Lease and Voluntary Surrender of Premises (the Termination Agreement) with ARE-10933 North Torrey Pines, LLC (the Landlord), pursuant to which the parties agreed to terminate the 2024 Lease for the Company’s headquarters facility, located at 10955 Alexandria Way, San Diego, California, effective May 31, 2026. The original lease term, which would have run through October 2034, was shortened by approximately 100 months. In connection with the early termination, the Company paid a non-refundable termination payment of $10.0 million to the Landlord on April 10, 2026, and the Landlord retained the Company’s security deposit (in the form of a letter of credit) of approximately $0.5 million. Total termination consideration was $10.5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early termination was accounted for as a lease modification that shortened the lease term under ASC 842. As of the modification date, the Company remeasured the lease liability to $11.7 million, representing the present value of the remaining lease payments, including the $10.5 million termination consideration, and reduced the ROU asset by an amount equal to the change in the lease liability. Because the ROU asset remained positive after the adjustment, no gain or loss was recognized at the modification date. The termination consideration is recognized as operating lease cost over the two-month wind-down period ended May 31, 2026 through amortization of the modified ROU asset, resulting in wind-down operating lease cost of $6.2 million included in operating expenses in the condensed statements of operations 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early termination, the Company shortened the estimated useful lives of leasehold improvements at the facility to coincide with the May 31, 2026 termination date, resulting in accelerated depreciation of approximately $0.8 million included in operating expenses in the condensed statements of operations. The Company also recognized impairment losses on furniture and fixtures of $1.4 million and laboratory equipment of $0.2 million, as these assets will not be relocated from the facility. These impairment losses, totaling $1.6 million, are included in operating expenses in the condensed statements of operations 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Cash outflows related to the early termination and wind-down totaled approximately $11.2 million during the six months ended June 30, 2026, consisting of the $10.0 million termination payment and $1.2 million of monthly rent for the April–May wind-down period, and are classified within operating activities in the condensed statements of cash flows. The Landlord’s $0.5 million draw on the letter of credit collateralizing the Company’s security deposit is reflected as a reduction in restricted cash within the reconciliation of cash, cash equivalents, and restricted cash. </w:t>
      </w:r>
    </w:p>
    <w:p>
      <w:pPr>
        <w:pStyle w:val="TextBody"/>
        <w:bidi w:val="0"/>
        <w:spacing w:before="240" w:after="0"/>
        <w:jc w:val="left"/>
        <w:rPr>
          <w:rFonts w:ascii="Times New Roman" w:hAnsi="Times New Roman"/>
          <w:sz w:val="20"/>
        </w:rPr>
      </w:pPr>
      <w:r>
        <w:rPr>
          <w:rFonts w:ascii="Times New Roman" w:hAnsi="Times New Roman"/>
          <w:sz w:val="20"/>
        </w:rPr>
        <w:t xml:space="preserve">By the May 31, 2026 termination date, the modified ROU asset had been fully amortized and the modified operating lease liability had been fully settled. Accordingly, the Company had no ROU asset or operating lease liability related to the 2024 Lease as of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Headquarters Lease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entered into a lease for approximately 10,822 square feet of office and laboratory space in La Jolla, California (the 2026 Lease), to serve as its successor headquarters facility. The 2026 Lease has a term of 12 months and provides for fixed rent of approximately $56,000 per month, with the Company’s allocated share of operating costs (including utilities, property taxes, common area maintenance, and similar charges) treated as variable lease payments. The Company paid a security deposit of approximately $77,000, which is recorded within prepaid expenses and other current assets in the condensed balance sheet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Because the 2026 Lease has a term of 12 months or less and does not include an option to purchase the underlying asset that the Company is reasonably certain to exercise, the Company elected the short-term lease exception under ASC 842-20-25-2. Accordingly, the Company did not record a ROU asset or lease liability for the 2026 Lease and recognizes lease payments as short-term lease cost on a straight-line basis over the lease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 Cost </w:t>
      </w:r>
    </w:p>
    <w:p>
      <w:pPr>
        <w:pStyle w:val="TextBody"/>
        <w:bidi w:val="0"/>
        <w:spacing w:before="120" w:after="0"/>
        <w:jc w:val="left"/>
        <w:rPr>
          <w:rFonts w:ascii="Times New Roman" w:hAnsi="Times New Roman"/>
          <w:sz w:val="20"/>
        </w:rPr>
      </w:pPr>
      <w:r>
        <w:rPr>
          <w:rFonts w:ascii="Times New Roman" w:hAnsi="Times New Roman"/>
          <w:sz w:val="20"/>
        </w:rPr>
        <w:t xml:space="preserve">Lease expense for the three months ended June 30, 2026 and 2025 totaled approximately $6.7 million and $2.4 million, respectively, consisting of operating lease cost of approximately $6.2 million and $1.8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short-term lease cost of approximately $46,000 and $0, and variable lease cost of approximately $0.4 million and $0.6 million, respectively. Lease expense for the six months ended June 30, 2026 and 2025 totaled approximately $9.2 million and $4.7 million, respectively, consisting of operating lease cost of approximately $8.1 million and $3.7 million, short-term lease cost of approximately $46,000 and $0, and variable lease cost of approximately $1.1 million and $1.0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approximately $13.4 million and $0.1 million for amounts included in the measurement of its operating lease liabilities for the six months ended June 30, 2026 and 2025, respectively (2026 consisting of the $10.5 million termination consideration and $2.9 million of monthly rent); all such amounts were included within operating activities in the condensed statements of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no operating lease ROU assets or operating lease liabilities recorded in its condensed balance sheet, as the 2024 Lease was terminated effective May 31, 2026 and the 2026 Lease qualifies for the short-term lease exception. Accordingly, the Company had no future undiscounted operating lease payment obligations, weighted-average remaining lease term, or weighted-average discount rate to disclose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2024 Lease was the Company’s only lease. The operating lease liability was $49.0 million, the weighted-average remaining lease term was 8.8 years, and the weighted-average discount rate was 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agreements or from intellectual property infringement claims made by third parties. In addition, the Company has entered into indemnification agreements with its officers and members of its board of directors that require the Company, among other things, to indemnify them against certain liabilities that may arise by reason of their status or service as officers or directors. The maximum potential future payments the Company could be required to make under these indemnification agreements is, in many cases, unlimited. To date, the Company has not incurred any material costs because of these indemnification agreements. The Company has not accrued any liabilities related to such indemnification agreements in its financial statements as of June 30, 2026 or December 31, 2025 because it determined the likelihood of incurring a payment obligation pursuant to such agreements was not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six months ended June 30, 2026 or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Reserved for Future Issuance </w:t>
      </w:r>
    </w:p>
    <w:p>
      <w:pPr>
        <w:pStyle w:val="TextBody"/>
        <w:bidi w:val="0"/>
        <w:spacing w:before="120" w:after="0"/>
        <w:jc w:val="left"/>
        <w:rPr>
          <w:rFonts w:ascii="Times New Roman" w:hAnsi="Times New Roman"/>
          <w:sz w:val="20"/>
        </w:rPr>
      </w:pPr>
      <w:r>
        <w:rPr>
          <w:rFonts w:ascii="Times New Roman" w:hAnsi="Times New Roman"/>
          <w:sz w:val="20"/>
        </w:rPr>
        <w:t xml:space="preserve">Common stock reserved for future issuance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19"/>
        <w:gridCol w:w="571"/>
        <w:gridCol w:w="141"/>
        <w:gridCol w:w="1321"/>
        <w:gridCol w:w="60"/>
        <w:gridCol w:w="571"/>
        <w:gridCol w:w="193"/>
        <w:gridCol w:w="1815"/>
        <w:gridCol w:w="64"/>
      </w:tblGrid>
      <w:tr>
        <w:trPr/>
        <w:tc>
          <w:tcPr>
            <w:tcW w:w="3019"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019"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2026</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2025</w:t>
            </w:r>
          </w:p>
        </w:tc>
        <w:tc>
          <w:tcPr>
            <w:tcW w:w="64" w:type="dxa"/>
            <w:tcBorders/>
            <w:vAlign w:val="bottom"/>
          </w:tcPr>
          <w:p>
            <w:pPr>
              <w:pStyle w:val="TableContents"/>
              <w:bidi w:val="0"/>
              <w:spacing w:before="0" w:after="283"/>
              <w:jc w:val="left"/>
              <w:rPr/>
            </w:pPr>
            <w:r>
              <w:rPr/>
              <w:t> </w:t>
            </w:r>
          </w:p>
        </w:tc>
      </w:tr>
      <w:tr>
        <w:trPr/>
        <w:tc>
          <w:tcPr>
            <w:tcW w:w="3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 of stock options issued and outstanding</w:t>
            </w:r>
          </w:p>
        </w:tc>
        <w:tc>
          <w:tcPr>
            <w:tcW w:w="57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5,945</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5" w:type="dxa"/>
            <w:tcBorders/>
            <w:shd w:fill="CCEEFF" w:val="clear"/>
            <w:vAlign w:val="bottom"/>
          </w:tcPr>
          <w:p>
            <w:pPr>
              <w:pStyle w:val="TableContents"/>
              <w:bidi w:val="0"/>
              <w:spacing w:before="0" w:after="283"/>
              <w:jc w:val="right"/>
              <w:rPr/>
            </w:pPr>
            <w:r>
              <w:rPr/>
              <w:t>4,234</w:t>
            </w:r>
          </w:p>
        </w:tc>
        <w:tc>
          <w:tcPr>
            <w:tcW w:w="64" w:type="dxa"/>
            <w:tcBorders/>
            <w:shd w:fill="CCEEFF" w:val="clear"/>
            <w:vAlign w:val="bottom"/>
          </w:tcPr>
          <w:p>
            <w:pPr>
              <w:pStyle w:val="TableContents"/>
              <w:bidi w:val="0"/>
              <w:spacing w:before="0" w:after="283"/>
              <w:jc w:val="left"/>
              <w:rPr/>
            </w:pPr>
            <w:r>
              <w:rPr/>
              <w:t> </w:t>
            </w:r>
          </w:p>
        </w:tc>
      </w:tr>
      <w:tr>
        <w:trPr/>
        <w:tc>
          <w:tcPr>
            <w:tcW w:w="301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equity incentive plan</w:t>
            </w:r>
          </w:p>
        </w:tc>
        <w:tc>
          <w:tcPr>
            <w:tcW w:w="57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2,724</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3,348</w:t>
            </w:r>
          </w:p>
        </w:tc>
        <w:tc>
          <w:tcPr>
            <w:tcW w:w="64" w:type="dxa"/>
            <w:tcBorders/>
            <w:vAlign w:val="bottom"/>
          </w:tcPr>
          <w:p>
            <w:pPr>
              <w:pStyle w:val="TableContents"/>
              <w:bidi w:val="0"/>
              <w:spacing w:before="0" w:after="283"/>
              <w:jc w:val="left"/>
              <w:rPr/>
            </w:pPr>
            <w:r>
              <w:rPr/>
              <w:t> </w:t>
            </w:r>
          </w:p>
        </w:tc>
      </w:tr>
      <w:tr>
        <w:trPr/>
        <w:tc>
          <w:tcPr>
            <w:tcW w:w="3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employee stock purchase plan</w:t>
            </w:r>
          </w:p>
        </w:tc>
        <w:tc>
          <w:tcPr>
            <w:tcW w:w="57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493</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5" w:type="dxa"/>
            <w:tcBorders/>
            <w:shd w:fill="CCEEFF" w:val="clear"/>
            <w:vAlign w:val="bottom"/>
          </w:tcPr>
          <w:p>
            <w:pPr>
              <w:pStyle w:val="TableContents"/>
              <w:bidi w:val="0"/>
              <w:spacing w:before="0" w:after="283"/>
              <w:jc w:val="right"/>
              <w:rPr/>
            </w:pPr>
            <w:r>
              <w:rPr/>
              <w:t>303</w:t>
            </w:r>
          </w:p>
        </w:tc>
        <w:tc>
          <w:tcPr>
            <w:tcW w:w="64" w:type="dxa"/>
            <w:tcBorders/>
            <w:shd w:fill="CCEEFF" w:val="clear"/>
            <w:vAlign w:val="bottom"/>
          </w:tcPr>
          <w:p>
            <w:pPr>
              <w:pStyle w:val="TableContents"/>
              <w:bidi w:val="0"/>
              <w:spacing w:before="0" w:after="283"/>
              <w:jc w:val="left"/>
              <w:rPr/>
            </w:pPr>
            <w:r>
              <w:rPr/>
              <w:t> </w:t>
            </w:r>
          </w:p>
        </w:tc>
      </w:tr>
      <w:tr>
        <w:trPr/>
        <w:tc>
          <w:tcPr>
            <w:tcW w:w="3019"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81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01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9,162</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7,885</w:t>
            </w:r>
          </w:p>
        </w:tc>
        <w:tc>
          <w:tcPr>
            <w:tcW w:w="64" w:type="dxa"/>
            <w:tcBorders/>
            <w:vAlign w:val="bottom"/>
          </w:tcPr>
          <w:p>
            <w:pPr>
              <w:pStyle w:val="TableContents"/>
              <w:bidi w:val="0"/>
              <w:spacing w:before="0" w:after="283"/>
              <w:jc w:val="left"/>
              <w:rPr/>
            </w:pPr>
            <w:r>
              <w:rPr/>
              <w:t> </w:t>
            </w:r>
          </w:p>
        </w:tc>
      </w:tr>
      <w:tr>
        <w:trPr/>
        <w:tc>
          <w:tcPr>
            <w:tcW w:w="3019"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81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Company’s board of directors adopted, and the Company’s stockholders approved, the 2024 Incentive Award Plan (the Plan), which became effective in connection with the IPO and has a term of ten years. As of June 30, 2026, a total of 5,068,078 shares of common stock were authorized for issuance under the Plan, which includes a January 1, 2026 increase of 1,120,362 shares, pursuant to the evergreen provision of the Plan. See Note 10 to the audited financial statements included in the Company’s 2025 10-K for a description of the evergreen provision of the Plan. On June 30, 2026, 2,724,148 of these shares were available for grant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adoption of the Plan, the Company had awarded common stock options under the 2018 Equity Incentive Plan (as amended, the Predecessor Plan). Under the provisions of the Plan, the shares subject to awards issued under the Predecessor Plan that were outstanding as of March 27, 2024, the effective date of the Plan, and that are subsequently cancelled or forfeited, will become available for issuance under, and will increase the number of shares that may be issued under, the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Repricing of Outstanding Options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compensation committee of the Company’s board of directors, as administrator of the Plan and the Predecessor Plan, approved an option repricing (2024 Repricing), which was effective on August 19, 2024 (the Repricing Effective Date). The repricing applied to options to purchase up to an aggregate of 3,484,346 shares of the Company’s common stock with an exercise price per share in excess of the closing price per share of the Company’s common stock on the Repricing Effective Date, held by eligible employees of the Company that were granted under the Plan or the Predecessor Plan and were outstanding as of the Repricing Effective Date (the Repriced Options). As of June 30, 2026, Repriced Options to purchase up to an aggregate of 2,208,476 shares of the Company’s common stock remained outstanding. See Note 10 to the audited financial statements included in the Company’s 2025 10-K for a description of the 2024 Repricing.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Modifications in Connection with the Merger </w:t>
      </w:r>
    </w:p>
    <w:p>
      <w:pPr>
        <w:pStyle w:val="TextBody"/>
        <w:bidi w:val="0"/>
        <w:spacing w:before="120" w:after="0"/>
        <w:jc w:val="left"/>
        <w:rPr>
          <w:rFonts w:ascii="Times New Roman" w:hAnsi="Times New Roman"/>
          <w:sz w:val="20"/>
        </w:rPr>
      </w:pPr>
      <w:r>
        <w:rPr>
          <w:rFonts w:ascii="Times New Roman" w:hAnsi="Times New Roman"/>
          <w:sz w:val="20"/>
        </w:rPr>
        <w:t>On June 22, 2026, in connection with the entry into the Merger Agreement (see Note 1—</w:t>
      </w:r>
      <w:r>
        <w:rPr>
          <w:rFonts w:ascii="Times New Roman" w:hAnsi="Times New Roman"/>
          <w:i/>
          <w:sz w:val="20"/>
        </w:rPr>
        <w:t>Organization and Basis of Presentation</w:t>
      </w:r>
      <w:r>
        <w:rPr>
          <w:rFonts w:ascii="Times New Roman" w:hAnsi="Times New Roman"/>
          <w:sz w:val="20"/>
        </w:rPr>
        <w:t xml:space="preserve">), the Company amended all outstanding stock options granted under the Plan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Predecessor Plan. The amendment (i) accelerated the vesting of all unvested options such that they became fully vested and exercisable as of June 22, 2026, (ii) extended the post-termination exercise period of the options until the later of (A) March 31, 2027 or, if the closing of the Merger occurs prior to that date, the date three months following the closing of the Merger, and (B) such later date provided in the applicable option agreement, and (iii) accelerated the premium end date applicable to the Repriced Options under the 2024 Repricing to June 22, 2026. The amendment affected options to purchase 5,945,008 shares of common stock held by 48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accounted for the amendment as a modification under ASC 718 and recognized $2.0 million of stock-based compensation expense in connection with the amendment during the three and six months ended June 30, 2026, of which $1.5 million was recorded in general and administrative expense and $0.5 million was recorded in research and development expense. Total incremental compensation cost resulting from the modification was $0.4 million. The remainder consists of previously unrecognized compensation cost accelerated by the amendment, net of compensation cost previously recognized for options that were not expected to vest under their original terms, and of compensation cost measured at the modification-date fair value of those options. Fair values were estimated using a Black-Scholes option-pricing model with the following weighted-average assumptions as of the modification date: expected term of 0.8 years, expected volatility of 98.8%, risk-free interest rate of 4.0%, and expected dividend yield of 0%.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 activity under the Plan and the Predecessor Plan and certain other related information is as follows (in thousands except weighted-average exercise price and remaining term):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69"/>
        <w:gridCol w:w="292"/>
        <w:gridCol w:w="84"/>
        <w:gridCol w:w="798"/>
        <w:gridCol w:w="155"/>
        <w:gridCol w:w="292"/>
        <w:gridCol w:w="464"/>
        <w:gridCol w:w="1480"/>
        <w:gridCol w:w="60"/>
        <w:gridCol w:w="292"/>
        <w:gridCol w:w="303"/>
        <w:gridCol w:w="1635"/>
        <w:gridCol w:w="60"/>
        <w:gridCol w:w="292"/>
        <w:gridCol w:w="228"/>
        <w:gridCol w:w="918"/>
        <w:gridCol w:w="66"/>
      </w:tblGrid>
      <w:tr>
        <w:trPr/>
        <w:tc>
          <w:tcPr>
            <w:tcW w:w="1969"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96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Term (years)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29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4,234</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80" w:type="dxa"/>
            <w:tcBorders/>
            <w:shd w:fill="CCEEFF" w:val="clear"/>
            <w:vAlign w:val="bottom"/>
          </w:tcPr>
          <w:p>
            <w:pPr>
              <w:pStyle w:val="TableContents"/>
              <w:bidi w:val="0"/>
              <w:spacing w:before="0" w:after="283"/>
              <w:jc w:val="right"/>
              <w:rPr/>
            </w:pPr>
            <w:r>
              <w:rPr/>
              <w:t>5.22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28</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1,980</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480"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80" w:type="dxa"/>
            <w:tcBorders/>
            <w:shd w:fill="CCEEFF" w:val="clear"/>
            <w:vAlign w:val="bottom"/>
          </w:tcPr>
          <w:p>
            <w:pPr>
              <w:pStyle w:val="TableContents"/>
              <w:bidi w:val="0"/>
              <w:spacing w:before="0" w:after="283"/>
              <w:jc w:val="right"/>
              <w:rPr/>
            </w:pPr>
            <w:r>
              <w:rPr/>
              <w:t>1.08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16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29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480" w:type="dxa"/>
            <w:tcBorders/>
            <w:vAlign w:val="bottom"/>
          </w:tcPr>
          <w:p>
            <w:pPr>
              <w:pStyle w:val="TableContents"/>
              <w:bidi w:val="0"/>
              <w:spacing w:before="0" w:after="283"/>
              <w:jc w:val="right"/>
              <w:rPr/>
            </w:pPr>
            <w:r>
              <w:rPr/>
              <w:t>5.04</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969"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June 30, 2026</w:t>
            </w:r>
          </w:p>
        </w:tc>
        <w:tc>
          <w:tcPr>
            <w:tcW w:w="29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5,945</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80" w:type="dxa"/>
            <w:tcBorders/>
            <w:shd w:fill="CCEEFF" w:val="clear"/>
            <w:vAlign w:val="bottom"/>
          </w:tcPr>
          <w:p>
            <w:pPr>
              <w:pStyle w:val="TableContents"/>
              <w:bidi w:val="0"/>
              <w:spacing w:before="0" w:after="283"/>
              <w:jc w:val="right"/>
              <w:rPr/>
            </w:pPr>
            <w:r>
              <w:rPr/>
              <w:t>2.81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2,740</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June 30, 2026</w:t>
            </w:r>
          </w:p>
        </w:tc>
        <w:tc>
          <w:tcPr>
            <w:tcW w:w="29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5,945</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480" w:type="dxa"/>
            <w:tcBorders/>
            <w:vAlign w:val="bottom"/>
          </w:tcPr>
          <w:p>
            <w:pPr>
              <w:pStyle w:val="TableContents"/>
              <w:bidi w:val="0"/>
              <w:spacing w:before="0" w:after="283"/>
              <w:jc w:val="right"/>
              <w:rPr/>
            </w:pPr>
            <w:r>
              <w:rPr/>
              <w:t>2.81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2,740</w:t>
            </w:r>
          </w:p>
        </w:tc>
        <w:tc>
          <w:tcPr>
            <w:tcW w:w="66" w:type="dxa"/>
            <w:tcBorders/>
            <w:vAlign w:val="bottom"/>
          </w:tcPr>
          <w:p>
            <w:pPr>
              <w:pStyle w:val="TableContents"/>
              <w:bidi w:val="0"/>
              <w:spacing w:before="0" w:after="283"/>
              <w:jc w:val="left"/>
              <w:rPr/>
            </w:pPr>
            <w:r>
              <w:rPr/>
              <w:t> </w:t>
            </w:r>
          </w:p>
        </w:tc>
      </w:tr>
      <w:tr>
        <w:trPr/>
        <w:tc>
          <w:tcPr>
            <w:tcW w:w="1969"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9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Exercisable as of June 30, 2026</w:t>
            </w:r>
          </w:p>
        </w:tc>
        <w:tc>
          <w:tcPr>
            <w:tcW w:w="29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5,945</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80" w:type="dxa"/>
            <w:tcBorders/>
            <w:shd w:fill="CCEEFF" w:val="clear"/>
            <w:vAlign w:val="bottom"/>
          </w:tcPr>
          <w:p>
            <w:pPr>
              <w:pStyle w:val="TableContents"/>
              <w:bidi w:val="0"/>
              <w:spacing w:before="0" w:after="283"/>
              <w:jc w:val="right"/>
              <w:rPr/>
            </w:pPr>
            <w:r>
              <w:rPr/>
              <w:t>2.81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2,740</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intrinsic value in the above table is the difference between the estimated fair value of the Company’s common stock as of either June 30, 2026 or December 31, 2025, and the exercise price of stock options that had exercise prices below that value. </w:t>
      </w:r>
    </w:p>
    <w:p>
      <w:pPr>
        <w:pStyle w:val="TextBody"/>
        <w:bidi w:val="0"/>
        <w:spacing w:before="240" w:after="0"/>
        <w:jc w:val="left"/>
        <w:rPr>
          <w:rFonts w:ascii="Times New Roman" w:hAnsi="Times New Roman"/>
          <w:sz w:val="20"/>
        </w:rPr>
      </w:pPr>
      <w:r>
        <w:rPr>
          <w:rFonts w:ascii="Times New Roman" w:hAnsi="Times New Roman"/>
          <w:sz w:val="20"/>
        </w:rPr>
        <w:t xml:space="preserve">For the Repriced Options, the weighted-average prices and intrinsic value information in the table above is calculated based on the exercise price per share that applied immediately prior to the Repricing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2026, the total intrinsic value of stock options exercised was approximately $14,000. No options were exercised during the six months ended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the 2024 Employee Stock Purchase Plan (the ESPP). As of June 30, 2026, 492,641 shares of common stock were available for issuance under the ESPP. The Company issued and sold 34,610 and 85,568 shares under the ESPP during the six months ended June 30, 2026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unrecognized compensation cost related to the ESPP was approximately $0.3 million. In connection with the Merger, the Company has suspended the ESPP and halted participant payroll deductions, and expects that a substantial portion of this cost will not be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including the expense related to the ESPP, as recorded in the accompanying condensed statements of operations and comprehensive loss was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39"/>
        <w:gridCol w:w="307"/>
        <w:gridCol w:w="195"/>
        <w:gridCol w:w="786"/>
        <w:gridCol w:w="83"/>
        <w:gridCol w:w="345"/>
        <w:gridCol w:w="195"/>
        <w:gridCol w:w="842"/>
        <w:gridCol w:w="60"/>
        <w:gridCol w:w="307"/>
        <w:gridCol w:w="140"/>
        <w:gridCol w:w="607"/>
        <w:gridCol w:w="60"/>
        <w:gridCol w:w="307"/>
        <w:gridCol w:w="140"/>
        <w:gridCol w:w="607"/>
        <w:gridCol w:w="68"/>
      </w:tblGrid>
      <w:tr>
        <w:trPr/>
        <w:tc>
          <w:tcPr>
            <w:tcW w:w="433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3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8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8"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926</w:t>
            </w:r>
          </w:p>
        </w:tc>
        <w:tc>
          <w:tcPr>
            <w:tcW w:w="8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642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1,317</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1,357</w:t>
            </w:r>
          </w:p>
        </w:tc>
        <w:tc>
          <w:tcPr>
            <w:tcW w:w="68" w:type="dxa"/>
            <w:tcBorders/>
            <w:shd w:fill="CCEEFF" w:val="clear"/>
            <w:vAlign w:val="bottom"/>
          </w:tcPr>
          <w:p>
            <w:pPr>
              <w:pStyle w:val="TableContents"/>
              <w:bidi w:val="0"/>
              <w:spacing w:before="0" w:after="283"/>
              <w:jc w:val="left"/>
              <w:rPr/>
            </w:pPr>
            <w:r>
              <w:rPr/>
              <w:t> </w:t>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2,296</w:t>
            </w:r>
          </w:p>
        </w:tc>
        <w:tc>
          <w:tcPr>
            <w:tcW w:w="8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1,051</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3,276</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2,133</w:t>
            </w:r>
          </w:p>
        </w:tc>
        <w:tc>
          <w:tcPr>
            <w:tcW w:w="68"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30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3,222</w:t>
            </w:r>
          </w:p>
        </w:tc>
        <w:tc>
          <w:tcPr>
            <w:tcW w:w="8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1,693</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4,593</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3,490</w:t>
            </w:r>
          </w:p>
        </w:tc>
        <w:tc>
          <w:tcPr>
            <w:tcW w:w="68" w:type="dxa"/>
            <w:tcBorders/>
            <w:shd w:fill="CCEEFF" w:val="clear"/>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8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there was no unrecognized compensation cost related to outstanding stock options, as the vesting of all outstanding options was accelerated in full on June 22, 2026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assumptions used in the Black-Scholes option-pricing model to determine the grant-date fair value of stock options granted during the periods indicated were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90"/>
        <w:gridCol w:w="426"/>
        <w:gridCol w:w="84"/>
        <w:gridCol w:w="787"/>
        <w:gridCol w:w="386"/>
        <w:gridCol w:w="348"/>
        <w:gridCol w:w="84"/>
        <w:gridCol w:w="789"/>
        <w:gridCol w:w="275"/>
        <w:gridCol w:w="326"/>
        <w:gridCol w:w="72"/>
        <w:gridCol w:w="693"/>
        <w:gridCol w:w="340"/>
        <w:gridCol w:w="337"/>
        <w:gridCol w:w="72"/>
        <w:gridCol w:w="695"/>
        <w:gridCol w:w="284"/>
      </w:tblGrid>
      <w:tr>
        <w:trPr/>
        <w:tc>
          <w:tcPr>
            <w:tcW w:w="339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3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4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7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2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84" w:type="dxa"/>
            <w:tcBorders/>
            <w:vAlign w:val="bottom"/>
          </w:tcPr>
          <w:p>
            <w:pPr>
              <w:pStyle w:val="TableContents"/>
              <w:bidi w:val="0"/>
              <w:spacing w:before="0" w:after="283"/>
              <w:jc w:val="left"/>
              <w:rPr/>
            </w:pPr>
            <w:r>
              <w:rPr/>
              <w:t> </w:t>
            </w:r>
          </w:p>
        </w:tc>
      </w:tr>
      <w:tr>
        <w:trPr/>
        <w:tc>
          <w:tcPr>
            <w:tcW w:w="33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386"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27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6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34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6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284" w:type="dxa"/>
            <w:tcBorders/>
            <w:vAlign w:val="bottom"/>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option life (in years)</w:t>
            </w:r>
          </w:p>
        </w:tc>
        <w:tc>
          <w:tcPr>
            <w:tcW w:w="42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5.3</w:t>
            </w:r>
          </w:p>
        </w:tc>
        <w:tc>
          <w:tcPr>
            <w:tcW w:w="38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5.9</w:t>
            </w:r>
          </w:p>
        </w:tc>
        <w:tc>
          <w:tcPr>
            <w:tcW w:w="34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5.9</w:t>
            </w:r>
          </w:p>
        </w:tc>
        <w:tc>
          <w:tcPr>
            <w:tcW w:w="284" w:type="dxa"/>
            <w:tcBorders/>
            <w:shd w:fill="CCEEFF" w:val="clear"/>
            <w:vAlign w:val="bottom"/>
          </w:tcPr>
          <w:p>
            <w:pPr>
              <w:pStyle w:val="TableContents"/>
              <w:bidi w:val="0"/>
              <w:spacing w:before="0" w:after="283"/>
              <w:jc w:val="left"/>
              <w:rPr/>
            </w:pPr>
            <w:r>
              <w:rPr/>
              <w:t> </w:t>
            </w:r>
          </w:p>
        </w:tc>
      </w:tr>
      <w:tr>
        <w:trPr/>
        <w:tc>
          <w:tcPr>
            <w:tcW w:w="3390" w:type="dxa"/>
            <w:tcBorders/>
          </w:tcPr>
          <w:p>
            <w:pPr>
              <w:pStyle w:val="TableContents"/>
              <w:bidi w:val="0"/>
              <w:spacing w:before="0" w:after="0"/>
              <w:jc w:val="left"/>
              <w:rPr>
                <w:rFonts w:ascii="Times New Roman" w:hAnsi="Times New Roman"/>
                <w:sz w:val="20"/>
              </w:rPr>
            </w:pPr>
            <w:r>
              <w:rPr>
                <w:rFonts w:ascii="Times New Roman" w:hAnsi="Times New Roman"/>
                <w:sz w:val="20"/>
              </w:rPr>
              <w:t>Assumed volatility</w:t>
            </w:r>
          </w:p>
        </w:tc>
        <w:tc>
          <w:tcPr>
            <w:tcW w:w="42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105.0</w:t>
            </w:r>
          </w:p>
        </w:tc>
        <w:tc>
          <w:tcPr>
            <w:tcW w:w="386"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105.0</w:t>
            </w:r>
          </w:p>
        </w:tc>
        <w:tc>
          <w:tcPr>
            <w:tcW w:w="27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107.0</w:t>
            </w:r>
          </w:p>
        </w:tc>
        <w:tc>
          <w:tcPr>
            <w:tcW w:w="34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105.0</w:t>
            </w:r>
          </w:p>
        </w:tc>
        <w:tc>
          <w:tcPr>
            <w:tcW w:w="284" w:type="dxa"/>
            <w:tcBorders/>
            <w:vAlign w:val="bottom"/>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risk-free interest rate</w:t>
            </w:r>
          </w:p>
        </w:tc>
        <w:tc>
          <w:tcPr>
            <w:tcW w:w="42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4.2</w:t>
            </w:r>
          </w:p>
        </w:tc>
        <w:tc>
          <w:tcPr>
            <w:tcW w:w="38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4.0</w:t>
            </w:r>
          </w:p>
        </w:tc>
        <w:tc>
          <w:tcPr>
            <w:tcW w:w="34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4.4</w:t>
            </w:r>
          </w:p>
        </w:tc>
        <w:tc>
          <w:tcPr>
            <w:tcW w:w="284" w:type="dxa"/>
            <w:tcBorders/>
            <w:shd w:fill="CCEEFF" w:val="clear"/>
            <w:vAlign w:val="bottom"/>
          </w:tcPr>
          <w:p>
            <w:pPr>
              <w:pStyle w:val="TableContents"/>
              <w:bidi w:val="0"/>
              <w:spacing w:before="0" w:after="283"/>
              <w:jc w:val="left"/>
              <w:rPr/>
            </w:pPr>
            <w:r>
              <w:rPr/>
              <w:t>% </w:t>
            </w:r>
          </w:p>
        </w:tc>
      </w:tr>
      <w:tr>
        <w:trPr/>
        <w:tc>
          <w:tcPr>
            <w:tcW w:w="3390"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42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386"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per share fair value of options granted during the three months ended June 30, 2026 and 2025 were $1.12 and $0.89, respectively, and the weighted-average grant date per share fair value of options granted during the six months ended June 30, 2026 and 2025 were $1.05 and $1.89,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Common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calculation of basic and diluted net loss per common share attributable to common stockholders (in thousands, except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84"/>
        <w:gridCol w:w="286"/>
        <w:gridCol w:w="140"/>
        <w:gridCol w:w="808"/>
        <w:gridCol w:w="164"/>
        <w:gridCol w:w="286"/>
        <w:gridCol w:w="140"/>
        <w:gridCol w:w="808"/>
        <w:gridCol w:w="164"/>
        <w:gridCol w:w="286"/>
        <w:gridCol w:w="140"/>
        <w:gridCol w:w="759"/>
        <w:gridCol w:w="164"/>
        <w:gridCol w:w="286"/>
        <w:gridCol w:w="140"/>
        <w:gridCol w:w="759"/>
        <w:gridCol w:w="174"/>
      </w:tblGrid>
      <w:tr>
        <w:trPr/>
        <w:tc>
          <w:tcPr>
            <w:tcW w:w="3884"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88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2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74" w:type="dxa"/>
            <w:tcBorders/>
            <w:vAlign w:val="bottom"/>
          </w:tcPr>
          <w:p>
            <w:pPr>
              <w:pStyle w:val="TableContents"/>
              <w:bidi w:val="0"/>
              <w:spacing w:before="0" w:after="283"/>
              <w:jc w:val="left"/>
              <w:rPr/>
            </w:pPr>
            <w:r>
              <w:rPr/>
              <w:t> </w:t>
            </w:r>
          </w:p>
        </w:tc>
      </w:tr>
      <w:tr>
        <w:trPr/>
        <w:tc>
          <w:tcPr>
            <w:tcW w:w="388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4" w:type="dxa"/>
            <w:tcBorders/>
            <w:vAlign w:val="bottom"/>
          </w:tcPr>
          <w:p>
            <w:pPr>
              <w:pStyle w:val="TableContents"/>
              <w:bidi w:val="0"/>
              <w:spacing w:before="0" w:after="283"/>
              <w:jc w:val="left"/>
              <w:rPr/>
            </w:pPr>
            <w:r>
              <w:rPr/>
              <w:t> </w:t>
            </w:r>
          </w:p>
        </w:tc>
      </w:tr>
      <w:tr>
        <w:trPr/>
        <w:tc>
          <w:tcPr>
            <w:tcW w:w="3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(23,693</w:t>
            </w:r>
          </w:p>
        </w:tc>
        <w:tc>
          <w:tcPr>
            <w:tcW w:w="16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(15,675</w:t>
            </w:r>
          </w:p>
        </w:tc>
        <w:tc>
          <w:tcPr>
            <w:tcW w:w="16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(37,248</w:t>
            </w:r>
          </w:p>
        </w:tc>
        <w:tc>
          <w:tcPr>
            <w:tcW w:w="16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(31,433</w:t>
            </w:r>
          </w:p>
        </w:tc>
        <w:tc>
          <w:tcPr>
            <w:tcW w:w="174" w:type="dxa"/>
            <w:tcBorders/>
            <w:shd w:fill="CCEEFF" w:val="clear"/>
            <w:vAlign w:val="bottom"/>
          </w:tcPr>
          <w:p>
            <w:pPr>
              <w:pStyle w:val="TableContents"/>
              <w:bidi w:val="0"/>
              <w:spacing w:before="0" w:after="283"/>
              <w:jc w:val="left"/>
              <w:rPr/>
            </w:pPr>
            <w:r>
              <w:rPr/>
              <w:t>) </w:t>
            </w:r>
          </w:p>
        </w:tc>
      </w:tr>
      <w:tr>
        <w:trPr/>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Weighted-average shares of common stock used in </w:t>
              <w:br/>
              <w:t>computing net loss per share, basic and diluted</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22,450</w:t>
            </w:r>
          </w:p>
        </w:tc>
        <w:tc>
          <w:tcPr>
            <w:tcW w:w="16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22,356</w:t>
            </w:r>
          </w:p>
        </w:tc>
        <w:tc>
          <w:tcPr>
            <w:tcW w:w="16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22,429</w:t>
            </w:r>
          </w:p>
        </w:tc>
        <w:tc>
          <w:tcPr>
            <w:tcW w:w="16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22,328</w:t>
            </w:r>
          </w:p>
        </w:tc>
        <w:tc>
          <w:tcPr>
            <w:tcW w:w="174" w:type="dxa"/>
            <w:tcBorders/>
            <w:vAlign w:val="bottom"/>
          </w:tcPr>
          <w:p>
            <w:pPr>
              <w:pStyle w:val="TableContents"/>
              <w:bidi w:val="0"/>
              <w:spacing w:before="0" w:after="283"/>
              <w:jc w:val="left"/>
              <w:rPr/>
            </w:pPr>
            <w:r>
              <w:rPr/>
              <w:t> </w:t>
            </w:r>
          </w:p>
        </w:tc>
      </w:tr>
      <w:tr>
        <w:trPr/>
        <w:tc>
          <w:tcPr>
            <w:tcW w:w="3884"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3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(1.06</w:t>
            </w:r>
          </w:p>
        </w:tc>
        <w:tc>
          <w:tcPr>
            <w:tcW w:w="16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(0.70</w:t>
            </w:r>
          </w:p>
        </w:tc>
        <w:tc>
          <w:tcPr>
            <w:tcW w:w="16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(1.66</w:t>
            </w:r>
          </w:p>
        </w:tc>
        <w:tc>
          <w:tcPr>
            <w:tcW w:w="16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(1.41</w:t>
            </w:r>
          </w:p>
        </w:tc>
        <w:tc>
          <w:tcPr>
            <w:tcW w:w="174" w:type="dxa"/>
            <w:tcBorders/>
            <w:shd w:fill="CCEEFF" w:val="clear"/>
            <w:vAlign w:val="bottom"/>
          </w:tcPr>
          <w:p>
            <w:pPr>
              <w:pStyle w:val="TableContents"/>
              <w:bidi w:val="0"/>
              <w:spacing w:before="0" w:after="283"/>
              <w:jc w:val="left"/>
              <w:rPr/>
            </w:pPr>
            <w:r>
              <w:rPr/>
              <w:t>) </w:t>
            </w:r>
          </w:p>
        </w:tc>
      </w:tr>
      <w:tr>
        <w:trPr/>
        <w:tc>
          <w:tcPr>
            <w:tcW w:w="3884"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excluded the following potential shares of its common stock, presented based on amounts outstanding at each period end, from the calculation of diluted net loss per share for the periods indicated because including them would have had an anti-dilutive effect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50"/>
        <w:gridCol w:w="256"/>
        <w:gridCol w:w="60"/>
        <w:gridCol w:w="574"/>
        <w:gridCol w:w="60"/>
        <w:gridCol w:w="256"/>
        <w:gridCol w:w="60"/>
        <w:gridCol w:w="574"/>
        <w:gridCol w:w="65"/>
      </w:tblGrid>
      <w:tr>
        <w:trPr/>
        <w:tc>
          <w:tcPr>
            <w:tcW w:w="585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5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5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5" w:type="dxa"/>
            <w:tcBorders/>
            <w:vAlign w:val="bottom"/>
          </w:tcPr>
          <w:p>
            <w:pPr>
              <w:pStyle w:val="TableContents"/>
              <w:bidi w:val="0"/>
              <w:spacing w:before="0" w:after="283"/>
              <w:jc w:val="left"/>
              <w:rPr/>
            </w:pPr>
            <w:r>
              <w:rPr/>
              <w:t> </w:t>
            </w:r>
          </w:p>
        </w:tc>
      </w:tr>
      <w:tr>
        <w:trPr/>
        <w:tc>
          <w:tcPr>
            <w:tcW w:w="585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5,945</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4,647</w:t>
            </w:r>
          </w:p>
        </w:tc>
        <w:tc>
          <w:tcPr>
            <w:tcW w:w="65" w:type="dxa"/>
            <w:tcBorders/>
            <w:shd w:fill="CCEEFF" w:val="clear"/>
            <w:vAlign w:val="bottom"/>
          </w:tcPr>
          <w:p>
            <w:pPr>
              <w:pStyle w:val="TableContents"/>
              <w:bidi w:val="0"/>
              <w:spacing w:before="0" w:after="283"/>
              <w:jc w:val="left"/>
              <w:rPr/>
            </w:pPr>
            <w:r>
              <w:rPr/>
              <w:t> </w:t>
            </w:r>
          </w:p>
        </w:tc>
      </w:tr>
      <w:tr>
        <w:trPr/>
        <w:tc>
          <w:tcPr>
            <w:tcW w:w="585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5,945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4,647</w:t>
            </w:r>
          </w:p>
        </w:tc>
        <w:tc>
          <w:tcPr>
            <w:tcW w:w="65" w:type="dxa"/>
            <w:tcBorders/>
            <w:vAlign w:val="bottom"/>
          </w:tcPr>
          <w:p>
            <w:pPr>
              <w:pStyle w:val="TableContents"/>
              <w:bidi w:val="0"/>
              <w:spacing w:before="0" w:after="283"/>
              <w:jc w:val="left"/>
              <w:rPr/>
            </w:pPr>
            <w:r>
              <w:rPr/>
              <w:t> </w:t>
            </w:r>
          </w:p>
        </w:tc>
      </w:tr>
      <w:tr>
        <w:trPr/>
        <w:tc>
          <w:tcPr>
            <w:tcW w:w="585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CODM reviews the budget versus actual expense by nature of expense. The following table sets forth the Company’s segment loss disclosure for the three and six months ended June 30, 2026 and 2025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53"/>
        <w:gridCol w:w="274"/>
        <w:gridCol w:w="140"/>
        <w:gridCol w:w="803"/>
        <w:gridCol w:w="163"/>
        <w:gridCol w:w="274"/>
        <w:gridCol w:w="140"/>
        <w:gridCol w:w="803"/>
        <w:gridCol w:w="163"/>
        <w:gridCol w:w="274"/>
        <w:gridCol w:w="140"/>
        <w:gridCol w:w="757"/>
        <w:gridCol w:w="162"/>
        <w:gridCol w:w="274"/>
        <w:gridCol w:w="140"/>
        <w:gridCol w:w="757"/>
        <w:gridCol w:w="171"/>
      </w:tblGrid>
      <w:tr>
        <w:trPr/>
        <w:tc>
          <w:tcPr>
            <w:tcW w:w="3953"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5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3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2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71" w:type="dxa"/>
            <w:tcBorders/>
            <w:vAlign w:val="bottom"/>
          </w:tcPr>
          <w:p>
            <w:pPr>
              <w:pStyle w:val="TableContents"/>
              <w:bidi w:val="0"/>
              <w:spacing w:before="0" w:after="283"/>
              <w:jc w:val="left"/>
              <w:rPr/>
            </w:pPr>
            <w:r>
              <w:rPr/>
              <w:t> </w:t>
            </w:r>
          </w:p>
        </w:tc>
      </w:tr>
      <w:tr>
        <w:trPr/>
        <w:tc>
          <w:tcPr>
            <w:tcW w:w="395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1" w:type="dxa"/>
            <w:tcBorders/>
            <w:vAlign w:val="bottom"/>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 Compensation and benefits (excludes stock-based compensation)</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2,495</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3,217</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4,625</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6,512</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R&amp;D – Clinical trial costs</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1,331</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2,448</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3,943</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5,298</w:t>
            </w:r>
          </w:p>
        </w:tc>
        <w:tc>
          <w:tcPr>
            <w:tcW w:w="171" w:type="dxa"/>
            <w:tcBorders/>
            <w:vAlign w:val="bottom"/>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 Outsourced services &amp; Consulting</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2,200</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3,132</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4,409</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5,514</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R&amp;D – Lab and pharmacology supplies</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67</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256</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210</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546</w:t>
            </w:r>
          </w:p>
        </w:tc>
        <w:tc>
          <w:tcPr>
            <w:tcW w:w="171" w:type="dxa"/>
            <w:tcBorders/>
            <w:vAlign w:val="bottom"/>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 Other costs (1)</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629</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440</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1,009</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1,036</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G&amp;A – Compensation and benefits (excludes stock-based compensation)</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1,893</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1,528</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3,276</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3,102</w:t>
            </w:r>
          </w:p>
        </w:tc>
        <w:tc>
          <w:tcPr>
            <w:tcW w:w="171" w:type="dxa"/>
            <w:tcBorders/>
            <w:vAlign w:val="bottom"/>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G&amp;A – Professional service fees</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2,266</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810</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3,047</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1,807</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G&amp;A – Insurance</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136</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202</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335</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420</w:t>
            </w:r>
          </w:p>
        </w:tc>
        <w:tc>
          <w:tcPr>
            <w:tcW w:w="171" w:type="dxa"/>
            <w:tcBorders/>
            <w:vAlign w:val="bottom"/>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G&amp;A – Other costs (2)</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542</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618</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1,003</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1,344</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Facilities related</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6,720</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2,400</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9,243</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4,699</w:t>
            </w:r>
          </w:p>
        </w:tc>
        <w:tc>
          <w:tcPr>
            <w:tcW w:w="171" w:type="dxa"/>
            <w:tcBorders/>
            <w:vAlign w:val="bottom"/>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and depreciation</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4,480</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2,010</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6,134</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4,124</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1,625</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1,625</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24,384</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17,061</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38,859</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34,402</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(24,384</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(17,061</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(38,859</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(34,402</w:t>
            </w:r>
          </w:p>
        </w:tc>
        <w:tc>
          <w:tcPr>
            <w:tcW w:w="171" w:type="dxa"/>
            <w:tcBorders/>
            <w:vAlign w:val="bottom"/>
          </w:tcPr>
          <w:p>
            <w:pPr>
              <w:pStyle w:val="TableContents"/>
              <w:bidi w:val="0"/>
              <w:spacing w:before="0" w:after="283"/>
              <w:jc w:val="left"/>
              <w:rPr/>
            </w:pPr>
            <w:r>
              <w:rPr/>
              <w:t>) </w:t>
            </w:r>
          </w:p>
        </w:tc>
      </w:tr>
      <w:tr>
        <w:trPr/>
        <w:tc>
          <w:tcPr>
            <w:tcW w:w="3953"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691</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1,386</w:t>
            </w:r>
          </w:p>
        </w:tc>
        <w:tc>
          <w:tcPr>
            <w:tcW w:w="163"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1,611</w:t>
            </w:r>
          </w:p>
        </w:tc>
        <w:tc>
          <w:tcPr>
            <w:tcW w:w="16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2,969</w:t>
            </w:r>
          </w:p>
        </w:tc>
        <w:tc>
          <w:tcPr>
            <w:tcW w:w="171" w:type="dxa"/>
            <w:tcBorders/>
            <w:shd w:fill="CCEEFF" w:val="clear"/>
            <w:vAlign w:val="bottom"/>
          </w:tcPr>
          <w:p>
            <w:pPr>
              <w:pStyle w:val="TableContents"/>
              <w:bidi w:val="0"/>
              <w:spacing w:before="0" w:after="283"/>
              <w:jc w:val="left"/>
              <w:rPr/>
            </w:pPr>
            <w:r>
              <w:rPr/>
              <w:t> </w:t>
            </w:r>
          </w:p>
        </w:tc>
      </w:tr>
      <w:tr>
        <w:trPr/>
        <w:tc>
          <w:tcPr>
            <w:tcW w:w="3953"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953" w:type="dxa"/>
            <w:tcBorders/>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(23,693</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(15,675</w:t>
            </w:r>
          </w:p>
        </w:tc>
        <w:tc>
          <w:tcPr>
            <w:tcW w:w="16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(37,248</w:t>
            </w:r>
          </w:p>
        </w:tc>
        <w:tc>
          <w:tcPr>
            <w:tcW w:w="16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(31,433</w:t>
            </w:r>
          </w:p>
        </w:tc>
        <w:tc>
          <w:tcPr>
            <w:tcW w:w="171" w:type="dxa"/>
            <w:tcBorders/>
            <w:vAlign w:val="bottom"/>
          </w:tcPr>
          <w:p>
            <w:pPr>
              <w:pStyle w:val="TableContents"/>
              <w:bidi w:val="0"/>
              <w:spacing w:before="0" w:after="283"/>
              <w:jc w:val="left"/>
              <w:rPr/>
            </w:pPr>
            <w:r>
              <w:rPr/>
              <w:t>) </w:t>
            </w:r>
          </w:p>
        </w:tc>
      </w:tr>
      <w:tr>
        <w:trPr/>
        <w:tc>
          <w:tcPr>
            <w:tcW w:w="3953"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expenses such as software licenses, database subscriptions, lab service contracts, travel, and other costs.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expenses such as travel, investor relations services, software licenses, employee training and development, and other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August 7, 2026, the date on which these unaudited condensed financial statements were issued. </w:t>
      </w:r>
    </w:p>
    <w:p>
      <w:pPr>
        <w:pStyle w:val="TextBody"/>
        <w:bidi w:val="0"/>
        <w:spacing w:before="240" w:after="0"/>
        <w:jc w:val="left"/>
        <w:rPr>
          <w:rFonts w:ascii="Times New Roman" w:hAnsi="Times New Roman"/>
          <w:sz w:val="20"/>
        </w:rPr>
      </w:pPr>
      <w:r>
        <w:rPr>
          <w:rFonts w:ascii="Times New Roman" w:hAnsi="Times New Roman"/>
          <w:sz w:val="20"/>
        </w:rPr>
        <w:t>See Note 1—</w:t>
      </w:r>
      <w:r>
        <w:rPr>
          <w:rFonts w:ascii="Times New Roman" w:hAnsi="Times New Roman"/>
          <w:i/>
          <w:sz w:val="20"/>
        </w:rPr>
        <w:t>Organization and Basis of Presentation</w:t>
      </w:r>
      <w:r>
        <w:rPr>
          <w:rFonts w:ascii="Times New Roman" w:hAnsi="Times New Roman"/>
          <w:sz w:val="20"/>
        </w:rPr>
        <w:t xml:space="preserve"> for a description of the Merger Agreement entered into by the Company on June 22, 2026.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events described above and elsewhere in these condensed financial statements, the Company is not aware of any subsequent events requiring recognition or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2" w:name="fintoc108148_51"/>
      <w:bookmarkEnd w:id="92"/>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Serapha Bio, Inc.: </w:t>
      </w:r>
    </w:p>
    <w:p>
      <w:pPr>
        <w:pStyle w:val="TextBody"/>
        <w:bidi w:val="0"/>
        <w:spacing w:before="360" w:after="0"/>
        <w:jc w:val="left"/>
        <w:rPr>
          <w:rFonts w:ascii="Times New Roman" w:hAnsi="Times New Roman"/>
          <w:i/>
          <w:sz w:val="20"/>
        </w:rPr>
      </w:pPr>
      <w:r>
        <w:rPr>
          <w:rFonts w:ascii="Times New Roman" w:hAnsi="Times New Roman"/>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financial statements of Serapha Bio, Inc. (the Company), which comprise the balance sheet as of June 30, 2026, and the related statements of operations, convertible preferred stock and stockholders’ deficit, and cash flows for the period April 2, 2026 (inception) to June 30, 2026, and the related notes to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June 30, 2026, and the results of its operations and its cash flows for the period April 2, 2026 (inception) through June 30, 2026 in accordance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 </w:t>
      </w:r>
    </w:p>
    <w:p>
      <w:pPr>
        <w:pStyle w:val="TextBody"/>
        <w:bidi w:val="0"/>
        <w:spacing w:before="360" w:after="0"/>
        <w:jc w:val="left"/>
        <w:rPr>
          <w:rFonts w:ascii="Times New Roman" w:hAnsi="Times New Roman"/>
          <w:i/>
          <w:sz w:val="20"/>
        </w:rPr>
      </w:pPr>
      <w:r>
        <w:rPr>
          <w:rFonts w:ascii="Times New Roman" w:hAnsi="Times New Roman"/>
          <w:i/>
          <w:sz w:val="20"/>
        </w:rPr>
        <w:t xml:space="preserve">Substantial Doubt About the Entity’s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incurred losses from operations since inception and has an accumulated deficit,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i/>
          <w:sz w:val="20"/>
        </w:rPr>
      </w:pPr>
      <w:r>
        <w:rPr>
          <w:rFonts w:ascii="Times New Roman" w:hAnsi="Times New Roman"/>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U.S. generally accepted accounting principles,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 </w:t>
      </w:r>
    </w:p>
    <w:p>
      <w:pPr>
        <w:pStyle w:val="TextBody"/>
        <w:bidi w:val="0"/>
        <w:spacing w:before="360" w:after="0"/>
        <w:jc w:val="left"/>
        <w:rPr>
          <w:rFonts w:ascii="Times New Roman" w:hAnsi="Times New Roman"/>
          <w:i/>
          <w:sz w:val="20"/>
        </w:rPr>
      </w:pPr>
      <w:r>
        <w:rPr>
          <w:rFonts w:ascii="Times New Roman" w:hAnsi="Times New Roman"/>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 related matters that we identified during the audit.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93" w:name="fintoc108148_52"/>
      <w:bookmarkEnd w:id="93"/>
      <w:r>
        <w:rPr>
          <w:rFonts w:ascii="Times New Roman" w:hAnsi="Times New Roman"/>
          <w:b/>
          <w:sz w:val="20"/>
        </w:rPr>
        <w:t xml:space="preserve">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04"/>
        <w:gridCol w:w="326"/>
        <w:gridCol w:w="195"/>
        <w:gridCol w:w="1222"/>
        <w:gridCol w:w="158"/>
      </w:tblGrid>
      <w:tr>
        <w:trPr/>
        <w:tc>
          <w:tcPr>
            <w:tcW w:w="8304"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30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8" w:type="dxa"/>
            <w:tcBorders/>
            <w:vAlign w:val="bottom"/>
          </w:tcPr>
          <w:p>
            <w:pPr>
              <w:pStyle w:val="TableContents"/>
              <w:bidi w:val="0"/>
              <w:spacing w:before="0" w:after="283"/>
              <w:jc w:val="left"/>
              <w:rPr/>
            </w:pPr>
            <w:r>
              <w:rPr/>
              <w:t> </w:t>
            </w:r>
          </w:p>
        </w:tc>
      </w:tr>
      <w:tr>
        <w:trPr/>
        <w:tc>
          <w:tcPr>
            <w:tcW w:w="83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138,002</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138,006</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Deferred transaction costs</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316</w:t>
            </w:r>
          </w:p>
        </w:tc>
        <w:tc>
          <w:tcPr>
            <w:tcW w:w="158" w:type="dxa"/>
            <w:tcBorders/>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138,322</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830</w:t>
            </w:r>
          </w:p>
        </w:tc>
        <w:tc>
          <w:tcPr>
            <w:tcW w:w="158" w:type="dxa"/>
            <w:tcBorders/>
            <w:vAlign w:val="bottom"/>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up-front license payment</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85,000</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(related parties of $535 at June 30, 2026)</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942</w:t>
            </w:r>
          </w:p>
        </w:tc>
        <w:tc>
          <w:tcPr>
            <w:tcW w:w="158" w:type="dxa"/>
            <w:tcBorders/>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86,772</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79,365</w:t>
            </w:r>
          </w:p>
        </w:tc>
        <w:tc>
          <w:tcPr>
            <w:tcW w:w="158" w:type="dxa"/>
            <w:tcBorders/>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166,137</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8304" w:type="dxa"/>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$0.00001 par value, 35,000,000 shares authorized, 30,668,708 shares issued and outstanding at June 30, 2026; liquidation value of $138,000</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137,589</w:t>
            </w:r>
          </w:p>
        </w:tc>
        <w:tc>
          <w:tcPr>
            <w:tcW w:w="158" w:type="dxa"/>
            <w:tcBorders/>
            <w:shd w:fill="CCEEFF" w:val="clear"/>
            <w:vAlign w:val="bottom"/>
          </w:tcPr>
          <w:p>
            <w:pPr>
              <w:pStyle w:val="TableContents"/>
              <w:bidi w:val="0"/>
              <w:spacing w:before="0" w:after="283"/>
              <w:jc w:val="left"/>
              <w:rPr/>
            </w:pPr>
            <w:r>
              <w:rPr/>
              <w:t> </w:t>
            </w:r>
          </w:p>
        </w:tc>
      </w:tr>
      <w:tr>
        <w:trPr>
          <w:trHeight w:val="120" w:hRule="atLeast"/>
        </w:trPr>
        <w:tc>
          <w:tcPr>
            <w:tcW w:w="8304" w:type="dxa"/>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Series A-1 convertible preferred stock, $0.00001 par value, 25,000,000 shares authorized, no shares issued and outstanding at June 30, 2026</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$0.00001 par value, 100,000,000 shares authorized, 5,962,334 shares issued and outstanding at June 30, 2026</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4,741</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(170,146</w:t>
            </w:r>
          </w:p>
        </w:tc>
        <w:tc>
          <w:tcPr>
            <w:tcW w:w="158" w:type="dxa"/>
            <w:tcBorders/>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(165,404</w:t>
            </w:r>
          </w:p>
        </w:tc>
        <w:tc>
          <w:tcPr>
            <w:tcW w:w="158" w:type="dxa"/>
            <w:tcBorders/>
            <w:shd w:fill="CCEEFF" w:val="clear"/>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3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138,322</w:t>
            </w:r>
          </w:p>
        </w:tc>
        <w:tc>
          <w:tcPr>
            <w:tcW w:w="158" w:type="dxa"/>
            <w:tcBorders/>
            <w:vAlign w:val="bottom"/>
          </w:tcPr>
          <w:p>
            <w:pPr>
              <w:pStyle w:val="TableContents"/>
              <w:bidi w:val="0"/>
              <w:spacing w:before="0" w:after="283"/>
              <w:jc w:val="left"/>
              <w:rPr/>
            </w:pPr>
            <w:r>
              <w:rPr/>
              <w:t> </w:t>
            </w:r>
          </w:p>
        </w:tc>
      </w:tr>
      <w:tr>
        <w:trPr/>
        <w:tc>
          <w:tcPr>
            <w:tcW w:w="830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94" w:name="fintoc108148_53"/>
      <w:bookmarkEnd w:id="94"/>
      <w:r>
        <w:rPr>
          <w:rFonts w:ascii="Times New Roman" w:hAnsi="Times New Roman"/>
          <w:b/>
          <w:sz w:val="20"/>
        </w:rPr>
        <w:t xml:space="preserve">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8"/>
        <w:gridCol w:w="685"/>
        <w:gridCol w:w="248"/>
        <w:gridCol w:w="1737"/>
        <w:gridCol w:w="157"/>
      </w:tblGrid>
      <w:tr>
        <w:trPr/>
        <w:tc>
          <w:tcPr>
            <w:tcW w:w="7378"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78"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2026</w:t>
              <w:br/>
              <w:t>(inception) through</w:t>
              <w:br/>
              <w:t>June 30, 2026</w:t>
            </w:r>
          </w:p>
        </w:tc>
        <w:tc>
          <w:tcPr>
            <w:tcW w:w="157"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8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73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737" w:type="dxa"/>
            <w:tcBorders/>
            <w:vAlign w:val="bottom"/>
          </w:tcPr>
          <w:p>
            <w:pPr>
              <w:pStyle w:val="TableContents"/>
              <w:bidi w:val="0"/>
              <w:spacing w:before="0" w:after="283"/>
              <w:jc w:val="right"/>
              <w:rPr/>
            </w:pPr>
            <w:r>
              <w:rPr/>
              <w:t>267</w:t>
            </w:r>
          </w:p>
        </w:tc>
        <w:tc>
          <w:tcPr>
            <w:tcW w:w="157"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68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164,617</w:t>
            </w:r>
          </w:p>
        </w:tc>
        <w:tc>
          <w:tcPr>
            <w:tcW w:w="157"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5,262</w:t>
            </w:r>
          </w:p>
        </w:tc>
        <w:tc>
          <w:tcPr>
            <w:tcW w:w="157"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8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170,146</w:t>
            </w:r>
          </w:p>
        </w:tc>
        <w:tc>
          <w:tcPr>
            <w:tcW w:w="157"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737" w:type="dxa"/>
            <w:tcBorders/>
            <w:vAlign w:val="bottom"/>
          </w:tcPr>
          <w:p>
            <w:pPr>
              <w:pStyle w:val="TableContents"/>
              <w:bidi w:val="0"/>
              <w:spacing w:before="0" w:after="283"/>
              <w:jc w:val="right"/>
              <w:rPr/>
            </w:pPr>
            <w:r>
              <w:rPr/>
              <w:t>(170,146</w:t>
            </w:r>
          </w:p>
        </w:tc>
        <w:tc>
          <w:tcPr>
            <w:tcW w:w="157"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rHeight w:val="120" w:hRule="atLeast"/>
        </w:trPr>
        <w:tc>
          <w:tcPr>
            <w:tcW w:w="7378" w:type="dxa"/>
            <w:tcBorders/>
            <w:vAlign w:val="center"/>
          </w:tcPr>
          <w:p>
            <w:pPr>
              <w:pStyle w:val="TableContents"/>
              <w:bidi w:val="0"/>
              <w:spacing w:before="0" w:after="283"/>
              <w:jc w:val="left"/>
              <w:rPr>
                <w:sz w:val="4"/>
                <w:szCs w:val="4"/>
              </w:rPr>
            </w:pPr>
            <w:r>
              <w:rPr>
                <w:sz w:val="4"/>
                <w:szCs w:val="4"/>
              </w:rPr>
            </w:r>
          </w:p>
        </w:tc>
        <w:tc>
          <w:tcPr>
            <w:tcW w:w="2827" w:type="dxa"/>
            <w:gridSpan w:val="4"/>
            <w:tcBorders/>
            <w:vAlign w:val="center"/>
          </w:tcPr>
          <w:p>
            <w:pPr>
              <w:pStyle w:val="TableContents"/>
              <w:bidi w:val="0"/>
              <w:spacing w:before="0" w:after="283"/>
              <w:jc w:val="left"/>
              <w:rPr>
                <w:sz w:val="4"/>
                <w:szCs w:val="4"/>
              </w:rPr>
            </w:pPr>
            <w:r>
              <w:rPr>
                <w:sz w:val="4"/>
                <w:szCs w:val="4"/>
              </w:rPr>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information:</w:t>
            </w:r>
          </w:p>
        </w:tc>
        <w:tc>
          <w:tcPr>
            <w:tcW w:w="68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73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of common stock, basic and diluted</w:t>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737" w:type="dxa"/>
            <w:tcBorders/>
            <w:vAlign w:val="bottom"/>
          </w:tcPr>
          <w:p>
            <w:pPr>
              <w:pStyle w:val="TableContents"/>
              <w:bidi w:val="0"/>
              <w:spacing w:before="0" w:after="283"/>
              <w:jc w:val="right"/>
              <w:rPr/>
            </w:pPr>
            <w:r>
              <w:rPr/>
              <w:t>(46.01</w:t>
            </w:r>
          </w:p>
        </w:tc>
        <w:tc>
          <w:tcPr>
            <w:tcW w:w="157"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68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3,697,863</w:t>
            </w:r>
          </w:p>
        </w:tc>
        <w:tc>
          <w:tcPr>
            <w:tcW w:w="157"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95" w:name="fintoc108148_54"/>
      <w:bookmarkEnd w:id="95"/>
      <w:r>
        <w:rPr>
          <w:rFonts w:ascii="Times New Roman" w:hAnsi="Times New Roman"/>
          <w:b/>
          <w:sz w:val="20"/>
        </w:rPr>
        <w:t xml:space="preserve">STATEMENT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1"/>
        <w:gridCol w:w="60"/>
        <w:gridCol w:w="60"/>
        <w:gridCol w:w="1100"/>
        <w:gridCol w:w="60"/>
        <w:gridCol w:w="60"/>
        <w:gridCol w:w="140"/>
        <w:gridCol w:w="800"/>
        <w:gridCol w:w="60"/>
        <w:gridCol w:w="60"/>
        <w:gridCol w:w="89"/>
        <w:gridCol w:w="1461"/>
        <w:gridCol w:w="60"/>
        <w:gridCol w:w="60"/>
        <w:gridCol w:w="231"/>
        <w:gridCol w:w="629"/>
        <w:gridCol w:w="60"/>
        <w:gridCol w:w="60"/>
        <w:gridCol w:w="219"/>
        <w:gridCol w:w="880"/>
        <w:gridCol w:w="60"/>
        <w:gridCol w:w="60"/>
        <w:gridCol w:w="188"/>
        <w:gridCol w:w="1182"/>
        <w:gridCol w:w="155"/>
        <w:gridCol w:w="60"/>
        <w:gridCol w:w="140"/>
        <w:gridCol w:w="875"/>
        <w:gridCol w:w="165"/>
      </w:tblGrid>
      <w:tr>
        <w:trPr/>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65"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vAlign w:val="bottom"/>
          </w:tcPr>
          <w:p>
            <w:pPr>
              <w:pStyle w:val="TableContents"/>
              <w:bidi w:val="0"/>
              <w:spacing w:before="0" w:after="283"/>
              <w:jc w:val="center"/>
              <w:rPr>
                <w:b/>
              </w:rPr>
            </w:pPr>
            <w:r>
              <w:rPr>
                <w:b/>
              </w:rPr>
              <w:t>Series A convertible</w:t>
              <w:br/>
              <w:t>preferred stock</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center"/>
              <w:rPr>
                <w:b/>
              </w:rPr>
            </w:pPr>
            <w:r>
              <w:rPr>
                <w:b/>
              </w:rPr>
              <w:t>Additional</w:t>
              <w:br/>
              <w:t>paid-in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center"/>
              <w:rPr>
                <w:b/>
              </w:rPr>
            </w:pPr>
            <w:r>
              <w:rPr>
                <w:b/>
              </w:rP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b/>
              </w:rPr>
            </w:pPr>
            <w:r>
              <w:rPr>
                <w:b/>
              </w:rPr>
              <w:t>Total</w:t>
            </w:r>
          </w:p>
        </w:tc>
        <w:tc>
          <w:tcPr>
            <w:tcW w:w="165" w:type="dxa"/>
            <w:tcBorders/>
            <w:vAlign w:val="bottom"/>
          </w:tcPr>
          <w:p>
            <w:pPr>
              <w:pStyle w:val="TableContents"/>
              <w:bidi w:val="0"/>
              <w:spacing w:before="0" w:after="283"/>
              <w:jc w:val="left"/>
              <w:rPr/>
            </w:pPr>
            <w:r>
              <w:rPr/>
              <w:t> </w:t>
            </w:r>
          </w:p>
        </w:tc>
      </w:tr>
      <w:tr>
        <w:trPr/>
        <w:tc>
          <w:tcPr>
            <w:tcW w:w="1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April 2, 2026 (inception)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5,962,334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4,734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4,735</w:t>
            </w:r>
          </w:p>
        </w:tc>
        <w:tc>
          <w:tcPr>
            <w:tcW w:w="165" w:type="dxa"/>
            <w:tcBorders/>
            <w:vAlign w:val="bottom"/>
          </w:tcPr>
          <w:p>
            <w:pPr>
              <w:pStyle w:val="TableContents"/>
              <w:bidi w:val="0"/>
              <w:spacing w:before="0" w:after="283"/>
              <w:jc w:val="left"/>
              <w:rPr/>
            </w:pPr>
            <w:r>
              <w:rPr/>
              <w:t> </w:t>
            </w:r>
          </w:p>
        </w:tc>
      </w:tr>
      <w:tr>
        <w:trPr/>
        <w:tc>
          <w:tcPr>
            <w:tcW w:w="1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w:t>
            </w:r>
          </w:p>
        </w:tc>
        <w:tc>
          <w:tcPr>
            <w:tcW w:w="165" w:type="dxa"/>
            <w:tcBorders/>
            <w:shd w:fill="CCEEFF" w:val="clear"/>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A convertible preferred stock at $4.50 per share, net of issuance costs of $412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30,668,708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137,589</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1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(170,146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(170,146</w:t>
            </w:r>
          </w:p>
        </w:tc>
        <w:tc>
          <w:tcPr>
            <w:tcW w:w="165" w:type="dxa"/>
            <w:tcBorders/>
            <w:shd w:fill="CCEEFF" w:val="clear"/>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sz w:val="20"/>
              </w:rPr>
              <w:t>Balance, 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30,668,708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137,589</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5,962,334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4,741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(170,146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(165,404</w:t>
            </w:r>
          </w:p>
        </w:tc>
        <w:tc>
          <w:tcPr>
            <w:tcW w:w="165"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4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96" w:name="fintoc108148_55"/>
      <w:bookmarkEnd w:id="96"/>
      <w:r>
        <w:rPr>
          <w:rFonts w:ascii="Times New Roman" w:hAnsi="Times New Roman"/>
          <w:b/>
          <w:sz w:val="20"/>
        </w:rPr>
        <w:t xml:space="preserve">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3"/>
        <w:gridCol w:w="703"/>
        <w:gridCol w:w="282"/>
        <w:gridCol w:w="1749"/>
        <w:gridCol w:w="158"/>
      </w:tblGrid>
      <w:tr>
        <w:trPr/>
        <w:tc>
          <w:tcPr>
            <w:tcW w:w="7313" w:type="dxa"/>
            <w:tcBorders/>
            <w:vAlign w:val="center"/>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3"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left"/>
              <w:rPr/>
            </w:pPr>
            <w:r>
              <w:rPr/>
              <w:t>  </w:t>
            </w:r>
          </w:p>
        </w:tc>
        <w:tc>
          <w:tcPr>
            <w:tcW w:w="2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2026</w:t>
              <w:br/>
              <w:t>(inception) through</w:t>
              <w:br/>
              <w:t>June 30, 2026</w:t>
            </w:r>
          </w:p>
        </w:tc>
        <w:tc>
          <w:tcPr>
            <w:tcW w:w="158" w:type="dxa"/>
            <w:tcBorders/>
            <w:vAlign w:val="bottom"/>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74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749" w:type="dxa"/>
            <w:tcBorders/>
            <w:vAlign w:val="bottom"/>
          </w:tcPr>
          <w:p>
            <w:pPr>
              <w:pStyle w:val="TableContents"/>
              <w:bidi w:val="0"/>
              <w:spacing w:before="0" w:after="283"/>
              <w:jc w:val="right"/>
              <w:rPr/>
            </w:pPr>
            <w:r>
              <w:rPr/>
              <w:t>(170,146</w:t>
            </w:r>
          </w:p>
        </w:tc>
        <w:tc>
          <w:tcPr>
            <w:tcW w:w="158" w:type="dxa"/>
            <w:tcBorders/>
            <w:vAlign w:val="bottom"/>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to reconcile net loss to net cash used in operating activities:</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74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4,736</w:t>
            </w:r>
          </w:p>
        </w:tc>
        <w:tc>
          <w:tcPr>
            <w:tcW w:w="158" w:type="dxa"/>
            <w:tcBorders/>
            <w:vAlign w:val="bottom"/>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164,617</w:t>
            </w:r>
          </w:p>
        </w:tc>
        <w:tc>
          <w:tcPr>
            <w:tcW w:w="158" w:type="dxa"/>
            <w:tcBorders/>
            <w:shd w:fill="CCEEFF" w:val="clear"/>
            <w:vAlign w:val="bottom"/>
          </w:tcPr>
          <w:p>
            <w:pPr>
              <w:pStyle w:val="TableContents"/>
              <w:bidi w:val="0"/>
              <w:spacing w:before="0" w:after="283"/>
              <w:jc w:val="left"/>
              <w:rPr/>
            </w:pPr>
            <w:r>
              <w:rPr/>
              <w:t> </w:t>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74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213</w:t>
            </w:r>
          </w:p>
        </w:tc>
        <w:tc>
          <w:tcPr>
            <w:tcW w:w="158" w:type="dxa"/>
            <w:tcBorders/>
            <w:shd w:fill="CCEEFF" w:val="clear"/>
            <w:vAlign w:val="bottom"/>
          </w:tcPr>
          <w:p>
            <w:pPr>
              <w:pStyle w:val="TableContents"/>
              <w:bidi w:val="0"/>
              <w:spacing w:before="0" w:after="283"/>
              <w:jc w:val="left"/>
              <w:rPr/>
            </w:pPr>
            <w:r>
              <w:rPr/>
              <w:t> </w:t>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580</w:t>
            </w:r>
          </w:p>
        </w:tc>
        <w:tc>
          <w:tcPr>
            <w:tcW w:w="158" w:type="dxa"/>
            <w:tcBorders/>
            <w:vAlign w:val="bottom"/>
          </w:tcPr>
          <w:p>
            <w:pPr>
              <w:pStyle w:val="TableContents"/>
              <w:bidi w:val="0"/>
              <w:spacing w:before="0" w:after="283"/>
              <w:jc w:val="left"/>
              <w:rPr/>
            </w:pPr>
            <w:r>
              <w:rPr/>
              <w:t> </w:t>
            </w:r>
          </w:p>
        </w:tc>
      </w:tr>
      <w:tr>
        <w:trPr/>
        <w:tc>
          <w:tcPr>
            <w:tcW w:w="7313"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7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13"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7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74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Series A convertible preferred stock</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138,000</w:t>
            </w:r>
          </w:p>
        </w:tc>
        <w:tc>
          <w:tcPr>
            <w:tcW w:w="158" w:type="dxa"/>
            <w:tcBorders/>
            <w:shd w:fill="CCEEFF" w:val="clear"/>
            <w:vAlign w:val="bottom"/>
          </w:tcPr>
          <w:p>
            <w:pPr>
              <w:pStyle w:val="TableContents"/>
              <w:bidi w:val="0"/>
              <w:spacing w:before="0" w:after="283"/>
              <w:jc w:val="left"/>
              <w:rPr/>
            </w:pPr>
            <w:r>
              <w:rPr/>
              <w:t> </w:t>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issuance of common stock</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7313"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7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138,002</w:t>
            </w:r>
          </w:p>
        </w:tc>
        <w:tc>
          <w:tcPr>
            <w:tcW w:w="158" w:type="dxa"/>
            <w:tcBorders/>
            <w:shd w:fill="CCEEFF" w:val="clear"/>
            <w:vAlign w:val="bottom"/>
          </w:tcPr>
          <w:p>
            <w:pPr>
              <w:pStyle w:val="TableContents"/>
              <w:bidi w:val="0"/>
              <w:spacing w:before="0" w:after="283"/>
              <w:jc w:val="left"/>
              <w:rPr/>
            </w:pPr>
            <w:r>
              <w:rPr/>
              <w:t> </w:t>
            </w:r>
          </w:p>
        </w:tc>
      </w:tr>
      <w:tr>
        <w:trPr/>
        <w:tc>
          <w:tcPr>
            <w:tcW w:w="7313"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7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138,002</w:t>
            </w:r>
          </w:p>
        </w:tc>
        <w:tc>
          <w:tcPr>
            <w:tcW w:w="158" w:type="dxa"/>
            <w:tcBorders/>
            <w:vAlign w:val="bottom"/>
          </w:tcPr>
          <w:p>
            <w:pPr>
              <w:pStyle w:val="TableContents"/>
              <w:bidi w:val="0"/>
              <w:spacing w:before="0" w:after="283"/>
              <w:jc w:val="left"/>
              <w:rPr/>
            </w:pPr>
            <w:r>
              <w:rPr/>
              <w:t> </w:t>
            </w:r>
          </w:p>
        </w:tc>
      </w:tr>
      <w:tr>
        <w:trPr/>
        <w:tc>
          <w:tcPr>
            <w:tcW w:w="73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at inception</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13"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7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the period</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749" w:type="dxa"/>
            <w:tcBorders/>
            <w:vAlign w:val="bottom"/>
          </w:tcPr>
          <w:p>
            <w:pPr>
              <w:pStyle w:val="TableContents"/>
              <w:bidi w:val="0"/>
              <w:spacing w:before="0" w:after="283"/>
              <w:jc w:val="right"/>
              <w:rPr/>
            </w:pPr>
            <w:r>
              <w:rPr/>
              <w:t>138,002</w:t>
            </w:r>
          </w:p>
        </w:tc>
        <w:tc>
          <w:tcPr>
            <w:tcW w:w="158" w:type="dxa"/>
            <w:tcBorders/>
            <w:vAlign w:val="bottom"/>
          </w:tcPr>
          <w:p>
            <w:pPr>
              <w:pStyle w:val="TableContents"/>
              <w:bidi w:val="0"/>
              <w:spacing w:before="0" w:after="283"/>
              <w:jc w:val="left"/>
              <w:rPr/>
            </w:pPr>
            <w:r>
              <w:rPr/>
              <w:t> </w:t>
            </w:r>
          </w:p>
        </w:tc>
      </w:tr>
      <w:tr>
        <w:trPr/>
        <w:tc>
          <w:tcPr>
            <w:tcW w:w="7313"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74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disclosure of non-cash financing activities:</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74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in prepaid and other current assets</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merger transaction costs in accounts payable</w:t>
            </w:r>
          </w:p>
        </w:tc>
        <w:tc>
          <w:tcPr>
            <w:tcW w:w="7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749" w:type="dxa"/>
            <w:tcBorders/>
            <w:shd w:fill="CCEEFF" w:val="clear"/>
            <w:vAlign w:val="bottom"/>
          </w:tcPr>
          <w:p>
            <w:pPr>
              <w:pStyle w:val="TableContents"/>
              <w:bidi w:val="0"/>
              <w:spacing w:before="0" w:after="283"/>
              <w:jc w:val="right"/>
              <w:rPr/>
            </w:pPr>
            <w:r>
              <w:rPr/>
              <w:t>316</w:t>
            </w:r>
          </w:p>
        </w:tc>
        <w:tc>
          <w:tcPr>
            <w:tcW w:w="158" w:type="dxa"/>
            <w:tcBorders/>
            <w:shd w:fill="CCEEFF" w:val="clear"/>
            <w:vAlign w:val="bottom"/>
          </w:tcPr>
          <w:p>
            <w:pPr>
              <w:pStyle w:val="TableContents"/>
              <w:bidi w:val="0"/>
              <w:spacing w:before="0" w:after="283"/>
              <w:jc w:val="left"/>
              <w:rPr/>
            </w:pPr>
            <w:r>
              <w:rPr/>
              <w:t> </w:t>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Series A financing costs in accounts payable and accrued expenses</w:t>
            </w:r>
          </w:p>
        </w:tc>
        <w:tc>
          <w:tcPr>
            <w:tcW w:w="7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749" w:type="dxa"/>
            <w:tcBorders/>
            <w:vAlign w:val="bottom"/>
          </w:tcPr>
          <w:p>
            <w:pPr>
              <w:pStyle w:val="TableContents"/>
              <w:bidi w:val="0"/>
              <w:spacing w:before="0" w:after="283"/>
              <w:jc w:val="right"/>
              <w:rPr/>
            </w:pPr>
            <w:r>
              <w:rPr/>
              <w:t>412</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bookmarkStart w:id="97" w:name="fintoc108148_56"/>
      <w:bookmarkEnd w:id="97"/>
      <w:r>
        <w:rPr>
          <w:rFonts w:ascii="Times New Roman" w:hAnsi="Times New Roman"/>
          <w:b/>
          <w:sz w:val="20"/>
        </w:rPr>
        <w:t xml:space="preserve">NOTES TO THE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and Description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Serapha Bio, Inc. (“Serapha” or the “Company”), a Delaware corporation incorporated on April 2, 2026, is a clinical-stage genetic medicines company committed to transforming the treatment of alpha-1 antitrypsin deficiency (“AATD” or “Alpha-1”), the leading genetic cause of serious, progressive lung and liver disease. Serapha’s lead candidate, SERP-01, is a proprietary base editing therapy currently in a Phase 1/2 clinical trial for the treatment of AATD with the PiZZ genotype, the most severe genetic mutation responsible for &gt;90% of AATD cases. In May 2026, the U.S. Food and Drug Administration (“FDA”) granted SERP-01 orphan drug designation for the treatment of PiZZ AATD and Regenerative Medicine Advanced Therapy (“RMAT”) designation. In March 2026, the FDA cleared an investigational new drug application (“IND”) submitted by YolTech for SERP-01 in order to initiate a U.S. Phase 2/3 clinical trial, and Serapha intends to pursue a development path to support accelerated approval based on restoration of serum AAT as a surrogate endpoint designed to predict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In June 2026, Serapha entered into an exclusive sub-licensable, royalty-bearing license agreement with YolTech Therapeutics Co. Ltd. (“YolTech”) under which Serapha obtained worldwide rights, excluding Greater China, to develop, manufacture and commercialize SERP-01 and other SERPINA1-directed product candidates (see Note 5) (the “YolTech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Company entered into an Agreement and Plan of Merger and Reorganization, as amended by that certain Amendment No. 1 to Agreement and Plan of Merger and Reorganization (as amended, the “Merger Agreement”) with Boundless Bio, Inc., a Delaware corporation (“Boundless Bio”), pursuant to which, among other matters, Boulder Merger Sub Corp., a direct, wholly owned subsidiary of Boundless Bio, will merge with and into the Company, with the Company surviving as a wholly owned subsidiary of Boundless Bio and the surviving corporation of the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“Effective Time”), (a) each then-outstanding share of the Company’s common stock and the Convertible Preferred Stock (defined below) (together the “Company’s Capital Stock”) (including any shares of the Company’s common stock issued in the Company Pre-Closing Financing described below), excluding any shares of the Company’s Capital Stock held as treasury stock immediately prior to the Effective Time and any dissenting shares, will be converted into the right to receive a number of shares of Boundless Bio common stock, par value $0.0001 per share (the “Boundless Bio Common Stock”) and Boundless Bio Pre-Funded Warrants (as defined below) equal to the estimated exchange ratio of 8.6737, (b) each then-outstanding option to purchase shares of the Company’s common stock will be converted into and become an option to purchase shares of Boundless Bio Common Stock on the existing terms and conditions (including with respect to vesting and accelerated vesting), subject to adjustment as set forth in the Merger Agreement, (c) each then-outstanding restricted stock unit award covering shares of the Company’s common stock (each, a “Company RSU”) will be converted into and become a restricted stock unit award covering shares of Boundless Bio Common Stock (an “Assumed RSU”) on the existing terms and conditions (including with respect to vesting and accelerated vesting), subject to adjustment as set forth in the Merger Agreement, and (d) each then-outstanding and unexercised pre-funded warrant to purchase shares of the Company’s common stock (each, a “Company Pre-Funded Warrant”) will be converted into a pre-funded warrant to purchase shares of Boundless Bio Common Stock on the existing terms and conditions (each, a “Boundless Bio Pre-Funded Warrant”), subject to adjustment as set forth in the Merger Agreement and the form of pre-funded warrant. If any shares of the Company’s common stock are unvested or subject to a repurchase option or risk of forfeiture at the Effective Time, then the shares of Boundless Bio Common Stock issued in exchange for such shares will to the same extent be unvested and subject to the same repurchase option or risk of forfeiture. If the aggregate number of shares of Boundless Bio Common Stock that would otherwise be issued to a holder of Company’s Capital Stock at the Effective Time would exceed such holder’s Beneficial Ownership Limitation, Boundless Bio will issue to such holder shares of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a proposed reverse stock split, will be unaffected by the Merger. Concurrently with the signing of the Merger Agreement, all options to purchase shares of Boundless Bio Common Stock (“Boundless Bio Options”) became fully vested and exercisable. Each Boundless Bio Option outstanding immediately prior to the Effective Time with an exercise price per share greater than $8.00 will be canceled for no consideration. Each other Boundless Bio Option will remain outstanding and exercisable in accordance with its terms (taking into account any equitable adjustment to reflect the Boundless Bio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Company’s and Boundless Bio’s capitalization as of June 22, 2026 and considering Boundless Bio’s current cash position, each share of the Company’s Capital Stock is currently estimated to be entitled to receive approximately 8.6737 shares of Boundless Bio Common Stock. This estimated exchange ratio does not give effect to the proposed Boundless Bio reverse stock split and is subject to adjustment based on Boundless Bio’s estimated net cash calculated in accordance with the Merger Agreement at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and 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losses since inception and has an accumulated deficit of $170.1 million as of June 30, 2026. The Company anticipates incurring additional losses until such time, if ever, that it can generate significant sales from its product candidates currently in development. The Company believes that cash of $138.0 million as of June 30, 2026 ($53.0 million after giving effect to the payment to YolTech for the upfront YolTech License Agreement fee of $85.0 million (see Note 5)), is not sufficient to sustain planned operations through at least twelve months from the issuance date of these financial statements. As a result of these conditions, substantial doubt exists about the Company’s ability to continue as a going concern for one year from the date of these financial statements are issued. The accompanying financial statements have been prepared on a basis which assumes that the Company will continue as a going concern, which contemplates the realization of assets and the satisfaction of liabilities and commitments in the normal course of business. The financial statements do not include any adjustments related to the recoverability and classification of assets or the amount and classification of liabilities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historically financed its operations through the sale of its preferred stock. The Company intends to raise additional capital through sales of its equity. In connection with the execution and delivery of the Merger Agreement, certain investors entered into a securities purchase agreement, pursuant to which such persons have agreed to purchase shares of the Company’s common stock and Company Pre-Funded Warrants for an aggregate purchase price of approximately $92 million (the “Company Pre-Closing Financing”). The closing of the Company Pre-Closing Financing is subject to the satisfaction of customary closing conditions, and there are no assurances that such conditions will be achieved or that such financing or other strategic transactions will be available on acceptable terms, or at all. There can be no assurance that the Company will be able to obtain additional liquidity through the Company Pre-Closing Financing, in the public market, or other strategic transactions on acceptable terms or in an amount sufficient to enable the Company to satisfy its obligations or sustain operations in the future. If the Company is unable to raise sufficient additional funds, it will have to develop and implement a plan to further extend payables and indebtedness, reduce overhead, or scale back its current business plan until sufficient additional capital is raised to support further operations, or the Company will be forced to grant rights to develop and commercialize product candidates that it would otherwise prefer to develop and commercialize on its own. There can be no assurance that such a plan will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is subject to those risks associated with any specialty biotechnology company that has substantial expenditures for research and development. There can be no assurance that the Company’s research and development programs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audited interim financial statements have been prepared in accordance with U.S. generally accepted accounting principles (“GAAP”). Any references in these notes to applicable guidance are meant to refer to GAAP as found in Accounting Standards Codifications (“ASC”) and Accounting Standards Updates (“ASU”) of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operations for the interim period are not necessarily indicative of the results to be expected for the full year, any other interim periods or any future year or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made in the accompanying financial statements include the fair value of the Company’s common stock, warrant to purchase Series A-1 preferred stock, stock-based compensation expense assumptions and accrued research and development expenses. As of June 30, 2026, the Company has not hired any contract research organizations or contract manufacturing organizations. Due to the uncertainty of factors surrounding the estimates or judgments used in the preparation of the financial statements, actual results may vary from these estimates. Estimates and assumptions are periodically reviewed, and the effects of revisions are reflected in the financial statements in the period they are determined to be necessary.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a single segment for the purposes of assessing performance and making operating decisions. The Company’s Chief Executive Officer, who is the chief operating decision maker (“CODM”), reviews the Company’s financial information for purposes of evaluating financial performance and allocating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cash in a checking account with federally insured financial institutions in excess of federally insured limits. The Company has not experienced any losses on its cash and cash equivalents and believes it is not exposed to significant risks with respect to its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believes that the carrying amounts of financial instruments, which include accounts payable and accrued expenses, approximate fair value due to the short-term nature of those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significant concentrations of credit risk consist primarily of cash, which is held in checking account deposits in federally insured financial institutions in excess of federally insured limits. The Company has not experienced any losses in such accounts and believes it is not exposed to significant risk on its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level in the fair value hierarchy within which the fair value measurement is categorized is based on the lowest level input that is significant to the fair value measurement. The assessment of the significance of a particular input to the fair value measurement requires judgment and may affect the valuation of the fair value of assets and liabilities and their placement within the fair value hierarchy levels.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Specific incremental legal, accounting and other fees and costs directly attributable to a proposed or actual offering of securities may properly be deferred and charged against the gross proceeds of such an offering. In the event the Merger does not occur or is significantly delayed, all of the costs will be expensed. As of June 30, 2026, there were $0.3 million of transaction costs, primarily consisting of legal fees, that were capitalized in other non-current assets on the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of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classified the Company’s Series A Convertible Preferred Stock (the “Series A Convertible Preferred Stock”) and the Series A-1 Convertible Preferred Stock (the “Series A-1 Convertible Preferred Stock” and together with the Series A Convertible Preferred Stock, the “Convertible Preferred Stock”) outside of stockholders’ deficit on the Company’s balance sheet because the holders of such stock have certain redemption rights in the event of a Deemed Liquidation Event (as defined in the Company’s Amended and Restated Certificate of Incorporation) (see Note 7) that is not solely within the control of the Company and would require the redemption of the then-outstanding Convertible Preferred Stock. Costs incurred in connection with the issuance of Convertible Preferred Stock were recorded as a reduction of gross proceeds from issuance. </w:t>
      </w:r>
    </w:p>
    <w:p>
      <w:pPr>
        <w:pStyle w:val="TextBody"/>
        <w:bidi w:val="0"/>
        <w:spacing w:before="240" w:after="0"/>
        <w:jc w:val="left"/>
        <w:rPr>
          <w:rFonts w:ascii="Times New Roman" w:hAnsi="Times New Roman"/>
          <w:sz w:val="20"/>
        </w:rPr>
      </w:pPr>
      <w:r>
        <w:rPr>
          <w:rFonts w:ascii="Times New Roman" w:hAnsi="Times New Roman"/>
          <w:sz w:val="20"/>
        </w:rPr>
        <w:t xml:space="preserve">Because the occurrence of a Deemed Liquidation Event is not currently probable, the carrying values of the Convertible Preferred Stock are not being accreted to their redemption values. Subsequent adjustments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carrying values of the Convertible Preferred Stock would be made only when a Deemed Liquidation Event becomes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to Acquire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warrants as either equity classified or liability 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and principally consist of personnel costs as well as amounts paid to third parties for the provision of services for product candidate development and related supply costs. Upfront and milestone payments made to third parties in connection with agreements with third parties to license their technologies are generally expensed as incurred as acquired in-process research and development, up to the point of regulatory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In-process research and development that is associated with a product that has not yet achieved regulatory approval and is acquired in a transaction that does not qualify as a business combination under GAAP is recorded as “Acquired in-process research and development” in the Company’s statement of operations in accordance with ASC Topic 730, Research and Development Expense (“ASC 730”), as the asset acquired does not have an alternative future use. </w:t>
      </w:r>
    </w:p>
    <w:p>
      <w:pPr>
        <w:pStyle w:val="TextBody"/>
        <w:bidi w:val="0"/>
        <w:spacing w:before="240" w:after="0"/>
        <w:jc w:val="left"/>
        <w:rPr>
          <w:rFonts w:ascii="Times New Roman" w:hAnsi="Times New Roman"/>
          <w:sz w:val="20"/>
        </w:rPr>
      </w:pPr>
      <w:r>
        <w:rPr>
          <w:rFonts w:ascii="Times New Roman" w:hAnsi="Times New Roman"/>
          <w:sz w:val="20"/>
        </w:rPr>
        <w:t xml:space="preserve">Development milestones are accounted for as contingencies and will be recorded when payment becomes probable and the amount is estimable. These milestones will be recorded to research and development expense at that time. Regulatory milestones are based on criteria post-completion of the underlying research and development and give rise to a future economic benefit and are capitalized as a definite-lived intangible asset amortized over its economic life. Sales-based milestones are triggered after the first commercial sale, and will be expensed once the milestone is probable. Royalties are recorded as cost of sales in the same period as the sales that generate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employee and non-employee stock-based awards at their grant-date fair value and records compensation expense on a straight-line basis over the requisite service period of the awards. All stock-based compensation costs are recorded in the statement of operations based upon the underlying employees’ or non-employees’ roles within the Company. The Company accounts for forfeitures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common stock is estimated by the Company’s board of directors, with input from management considering the most recently available third-party valuation of the Company’s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the Company adopted the 2026 Equity Incentive Plan (the “Plan”). Awards may be made under the Plan covering up to 10,278,705 shares of common stock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which would result in the issuance of incremental shares of common stock. For diluted net loss per share, the weighted-average number of shares of common stock is the same as for basic net loss per share since when a net loss exists, potentially dilutive securities are not included in the calculation as their impact is anti-dilutive. The Convertible Preferred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have no obligation to fund losses.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excluded the outstanding securities, summarized below (shown as common stock equivalents), from the computation of diluted weighted-average shares of common stock outstanding, as they would be anti-dilutive.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15"/>
        <w:gridCol w:w="344"/>
        <w:gridCol w:w="73"/>
        <w:gridCol w:w="1344"/>
        <w:gridCol w:w="63"/>
      </w:tblGrid>
      <w:tr>
        <w:trPr/>
        <w:tc>
          <w:tcPr>
            <w:tcW w:w="5115"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1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3" w:type="dxa"/>
            <w:tcBorders/>
            <w:vAlign w:val="bottom"/>
          </w:tcPr>
          <w:p>
            <w:pPr>
              <w:pStyle w:val="TableContents"/>
              <w:bidi w:val="0"/>
              <w:spacing w:before="0" w:after="283"/>
              <w:jc w:val="left"/>
              <w:rPr/>
            </w:pPr>
            <w:r>
              <w:rPr/>
              <w:t> </w:t>
            </w:r>
          </w:p>
        </w:tc>
      </w:tr>
      <w:tr>
        <w:trPr/>
        <w:tc>
          <w:tcPr>
            <w:tcW w:w="5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Convertible Preferred Stock</w:t>
            </w:r>
          </w:p>
        </w:tc>
        <w:tc>
          <w:tcPr>
            <w:tcW w:w="34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30,668,708</w:t>
            </w:r>
          </w:p>
        </w:tc>
        <w:tc>
          <w:tcPr>
            <w:tcW w:w="63" w:type="dxa"/>
            <w:tcBorders/>
            <w:shd w:fill="CCEEFF" w:val="clear"/>
            <w:vAlign w:val="bottom"/>
          </w:tcPr>
          <w:p>
            <w:pPr>
              <w:pStyle w:val="TableContents"/>
              <w:bidi w:val="0"/>
              <w:spacing w:before="0" w:after="283"/>
              <w:jc w:val="left"/>
              <w:rPr/>
            </w:pPr>
            <w:r>
              <w:rPr/>
              <w:t> </w:t>
            </w:r>
          </w:p>
        </w:tc>
      </w:tr>
      <w:tr>
        <w:trPr/>
        <w:tc>
          <w:tcPr>
            <w:tcW w:w="5115" w:type="dxa"/>
            <w:tcBorders/>
          </w:tcPr>
          <w:p>
            <w:pPr>
              <w:pStyle w:val="TableContents"/>
              <w:bidi w:val="0"/>
              <w:spacing w:before="0" w:after="0"/>
              <w:jc w:val="left"/>
              <w:rPr>
                <w:rFonts w:ascii="Times New Roman" w:hAnsi="Times New Roman"/>
                <w:sz w:val="20"/>
              </w:rPr>
            </w:pPr>
            <w:r>
              <w:rPr>
                <w:rFonts w:ascii="Times New Roman" w:hAnsi="Times New Roman"/>
                <w:sz w:val="20"/>
              </w:rPr>
              <w:t>Unvested restricted stock</w:t>
            </w:r>
          </w:p>
        </w:tc>
        <w:tc>
          <w:tcPr>
            <w:tcW w:w="34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137,666</w:t>
            </w:r>
          </w:p>
        </w:tc>
        <w:tc>
          <w:tcPr>
            <w:tcW w:w="63" w:type="dxa"/>
            <w:tcBorders/>
            <w:vAlign w:val="bottom"/>
          </w:tcPr>
          <w:p>
            <w:pPr>
              <w:pStyle w:val="TableContents"/>
              <w:bidi w:val="0"/>
              <w:spacing w:before="0" w:after="283"/>
              <w:jc w:val="left"/>
              <w:rPr/>
            </w:pPr>
            <w:r>
              <w:rPr/>
              <w:t> </w:t>
            </w:r>
          </w:p>
        </w:tc>
      </w:tr>
      <w:tr>
        <w:trPr/>
        <w:tc>
          <w:tcPr>
            <w:tcW w:w="5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w:t>
            </w:r>
          </w:p>
        </w:tc>
        <w:tc>
          <w:tcPr>
            <w:tcW w:w="34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11,688,455</w:t>
            </w:r>
          </w:p>
        </w:tc>
        <w:tc>
          <w:tcPr>
            <w:tcW w:w="63" w:type="dxa"/>
            <w:tcBorders/>
            <w:shd w:fill="CCEEFF" w:val="clear"/>
            <w:vAlign w:val="bottom"/>
          </w:tcPr>
          <w:p>
            <w:pPr>
              <w:pStyle w:val="TableContents"/>
              <w:bidi w:val="0"/>
              <w:spacing w:before="0" w:after="283"/>
              <w:jc w:val="left"/>
              <w:rPr/>
            </w:pPr>
            <w:r>
              <w:rPr/>
              <w:t> </w:t>
            </w:r>
          </w:p>
        </w:tc>
      </w:tr>
      <w:tr>
        <w:trPr/>
        <w:tc>
          <w:tcPr>
            <w:tcW w:w="511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1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42,494,829</w:t>
            </w:r>
          </w:p>
        </w:tc>
        <w:tc>
          <w:tcPr>
            <w:tcW w:w="63" w:type="dxa"/>
            <w:tcBorders/>
            <w:vAlign w:val="bottom"/>
          </w:tcPr>
          <w:p>
            <w:pPr>
              <w:pStyle w:val="TableContents"/>
              <w:bidi w:val="0"/>
              <w:spacing w:before="0" w:after="283"/>
              <w:jc w:val="left"/>
              <w:rPr/>
            </w:pPr>
            <w:r>
              <w:rPr/>
              <w:t> </w:t>
            </w:r>
          </w:p>
        </w:tc>
      </w:tr>
      <w:tr>
        <w:trPr/>
        <w:tc>
          <w:tcPr>
            <w:tcW w:w="511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is defined as the change in stockholders’ deficit of a business enterprise during a period from transactions and other events and circumstances from non-owner sources. Comprehensive loss includes net loss, as well as other changes in stockholders’ deficit that result from transactions and economic events other than those with stockholders. The Company’s comprehensive loss was equal to net loss for the period of April 2, 2026 (inception) to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are accounted for under the asset and liability method. The Company recognizes deferred tax assets and liabilities for temporary differences between the financial reporting basis and the tax basis of the Company’s assets and liabilities and the expected benefits of net operating loss carryforwards. The impact of changes in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rates and laws on deferred taxes, if any, applied during the period in which temporary differences are expected to be settled, is reflected in the Company’s financial statements in the period of enactment. The measurement of deferred tax assets is reduced, if necessary, when based on the weight of the evidence, it is more likely than not that some, or all, of the deferred tax assets will not be realized. As of June 30, 2026, the Company has concluded that a full valuation allowance was necessary for all of its deferred tax assets. The Company’s policy is to include interest and penalties related to unrecognized income tax benefits as a component of income tax expense. The Company has no accruals for interest or penalties in the balance sheet as of June 30, 2026, and has not recognized interest or penalties in the statement of operations for the period of April 2, 2026 (inception) to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In September 2025, the FASB issued ASU 2025-07, “</w:t>
      </w:r>
      <w:r>
        <w:rPr>
          <w:rFonts w:ascii="Times New Roman" w:hAnsi="Times New Roman"/>
          <w:i/>
          <w:sz w:val="20"/>
        </w:rPr>
        <w:t>Derivatives and Hedging (Topic 815) and Revenue from Contracts with Customers (Topic 606): Derivatives Scope Refinements and Scope Clarification for Share-Based Non-cash Consideration from a Customer in a Revenue Contract.”</w:t>
      </w:r>
      <w:r>
        <w:rPr>
          <w:rFonts w:ascii="Times New Roman" w:hAnsi="Times New Roman"/>
          <w:sz w:val="20"/>
        </w:rPr>
        <w:t xml:space="preserve"> This ASU excludes from the scope of derivative accounting certain contracts with underlyings that are based on the operations or activities of one of the parties to the contract. This ASU also clarifies that an entity receiving share-based noncash consideration from a customer that is consideration for the transfer of goods or services in a revenue contract is required to apply the guidance on noncash consideration in ASC 606. The standard is effective for annual and interim reporting periods beginning after December 16, 2026, with early adoption permitted. The standard may be applied using a prospective or modified retrospective transition approach. The Company adopted this standard effective April 2, 2026 (inception) during the quarter ended June 30, 2026 using the modified retrospective transition approach. The new scope exception in ASC Topic 815 was applied to the evaluation of contingent payments related to the YolTech License Agreement. The new accounting standard had no impact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 xml:space="preserve">Income Taxes (Topic 740): Improvements to Income Tax Disclosures. </w:t>
      </w:r>
      <w:r>
        <w:rPr>
          <w:rFonts w:ascii="Times New Roman" w:hAnsi="Times New Roman"/>
          <w:sz w:val="20"/>
        </w:rPr>
        <w:t xml:space="preserve">The ASU requires the annual financial statements to include consistent categories and greater disaggregation of information in the rate reconciliation, and income taxes paid disaggregated by jurisdiction. ASU 2023-09 is effective for the Company’s annual reporting periods beginning after December 15, 2025. The Company adopted this standard on April 2,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ASU 2024-03, </w:t>
      </w:r>
      <w:r>
        <w:rPr>
          <w:rFonts w:ascii="Times New Roman" w:hAnsi="Times New Roman"/>
          <w:i/>
          <w:sz w:val="20"/>
        </w:rPr>
        <w:t>Income Statement — Reporting Comprehensive Income — Expense Disaggregation Disclosures</w:t>
      </w:r>
      <w:r>
        <w:rPr>
          <w:rFonts w:ascii="Times New Roman" w:hAnsi="Times New Roman"/>
          <w:sz w:val="20"/>
        </w:rPr>
        <w:t xml:space="preserve">. This ASU requires public companies to disclose, on an annual and interim basis, disaggregated information about certain income statement expense line items. The amendments should be applied prospectively; however, retrospective application is also permitted. The Company plans to adopt this standard when it becomes effective on January 1, 2027. The Company is evaluating the impact this ASU may have on its financial statement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transfers among Level 1, Level 2 or Level 3 categories in the period of April 2, 2026 (inception) to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information about the Company’s financial assets and liabilities measured at fair value on a recurring basis and indicates the level of the fair value hierarchy utilized to determine such fair value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38"/>
        <w:gridCol w:w="389"/>
        <w:gridCol w:w="218"/>
        <w:gridCol w:w="552"/>
        <w:gridCol w:w="60"/>
        <w:gridCol w:w="389"/>
        <w:gridCol w:w="218"/>
        <w:gridCol w:w="552"/>
        <w:gridCol w:w="60"/>
        <w:gridCol w:w="389"/>
        <w:gridCol w:w="140"/>
        <w:gridCol w:w="712"/>
        <w:gridCol w:w="60"/>
        <w:gridCol w:w="389"/>
        <w:gridCol w:w="140"/>
        <w:gridCol w:w="712"/>
        <w:gridCol w:w="70"/>
      </w:tblGrid>
      <w:tr>
        <w:trPr/>
        <w:tc>
          <w:tcPr>
            <w:tcW w:w="4338"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33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459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70" w:type="dxa"/>
            <w:tcBorders/>
            <w:vAlign w:val="bottom"/>
          </w:tcPr>
          <w:p>
            <w:pPr>
              <w:pStyle w:val="TableContents"/>
              <w:bidi w:val="0"/>
              <w:spacing w:before="0" w:after="283"/>
              <w:jc w:val="left"/>
              <w:rPr/>
            </w:pPr>
            <w:r>
              <w:rPr/>
              <w:t> </w:t>
            </w:r>
          </w:p>
        </w:tc>
      </w:tr>
      <w:tr>
        <w:trPr/>
        <w:tc>
          <w:tcPr>
            <w:tcW w:w="433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4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8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4338"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8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79,365</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79,365</w:t>
            </w:r>
          </w:p>
        </w:tc>
        <w:tc>
          <w:tcPr>
            <w:tcW w:w="70" w:type="dxa"/>
            <w:tcBorders/>
            <w:vAlign w:val="bottom"/>
          </w:tcPr>
          <w:p>
            <w:pPr>
              <w:pStyle w:val="TableContents"/>
              <w:bidi w:val="0"/>
              <w:spacing w:before="0" w:after="283"/>
              <w:jc w:val="left"/>
              <w:rPr/>
            </w:pPr>
            <w:r>
              <w:rPr/>
              <w:t> </w:t>
            </w:r>
          </w:p>
        </w:tc>
      </w:tr>
      <w:tr>
        <w:trPr/>
        <w:tc>
          <w:tcPr>
            <w:tcW w:w="4338"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4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38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79,365</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79,365</w:t>
            </w:r>
          </w:p>
        </w:tc>
        <w:tc>
          <w:tcPr>
            <w:tcW w:w="70" w:type="dxa"/>
            <w:tcBorders/>
            <w:shd w:fill="CCEEFF" w:val="clear"/>
            <w:vAlign w:val="bottom"/>
          </w:tcPr>
          <w:p>
            <w:pPr>
              <w:pStyle w:val="TableContents"/>
              <w:bidi w:val="0"/>
              <w:spacing w:before="0" w:after="283"/>
              <w:jc w:val="left"/>
              <w:rPr/>
            </w:pPr>
            <w:r>
              <w:rPr/>
              <w:t> </w:t>
            </w:r>
          </w:p>
        </w:tc>
      </w:tr>
      <w:tr>
        <w:trPr/>
        <w:tc>
          <w:tcPr>
            <w:tcW w:w="4338"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12, 2026 the Company issued a pre-funded warrant to purchase 11,688,455 shares of the Series A-1 Convertible Preferred Stock to YolTech as partial consideration for the YolTech License Agreement (the “Warrant”) (see Note 7). The Company evaluated the Warrant and determined whether the Warrant should be an equity-classified or liability-classified instrument. The underlying Series A-1 Convertible Preferred Stock is puttable outside of the Company’s control, and, thus, the Warrant represents an obligation to repurchase the Series A-1 Convertible Preferred Stock by transferring assets. The Company determined that the Warrant should be classified as a non-current warrant liability recognized at its inception date fair value. The resulting aggregate fair value on the Warrant’s issuance date was determined to be $79.4 million. The fair value of the Warrant liability is classified within Level 3 of the fair value hierarchy, as the valuation incorporates significant unobservable inputs. The Company determines the fair value of the warrant liability using a scenario-based valuation method with inputs based on certain subjective assumptions, including (a) potential settlement scenarios and their relative probability weightings, (b) expected terms, (c) volatility and (d) the applicable discount rate. </w:t>
      </w:r>
    </w:p>
    <w:p>
      <w:pPr>
        <w:pStyle w:val="TextBody"/>
        <w:bidi w:val="0"/>
        <w:spacing w:before="240" w:after="0"/>
        <w:jc w:val="left"/>
        <w:rPr>
          <w:rFonts w:ascii="Times New Roman" w:hAnsi="Times New Roman"/>
          <w:sz w:val="20"/>
        </w:rPr>
      </w:pPr>
      <w:r>
        <w:rPr>
          <w:rFonts w:ascii="Times New Roman" w:hAnsi="Times New Roman"/>
          <w:sz w:val="20"/>
        </w:rPr>
        <w:t xml:space="preserve">There was no significant change in fair value between the initial valuation and the reporting period of June 30, 2026. A summary of quantitative information with respect to the valuation methodology and significant unobservable inputs used for the Company’s warrant liability that is categorized within Level 3 of the fair value hierarchy as of June 12, 2026 and June 30, 2026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84"/>
        <w:gridCol w:w="405"/>
        <w:gridCol w:w="60"/>
        <w:gridCol w:w="912"/>
        <w:gridCol w:w="278"/>
      </w:tblGrid>
      <w:tr>
        <w:trPr/>
        <w:tc>
          <w:tcPr>
            <w:tcW w:w="5284"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Scenarios allocation:</w:t>
            </w:r>
          </w:p>
        </w:tc>
        <w:tc>
          <w:tcPr>
            <w:tcW w:w="4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60.0</w:t>
            </w:r>
          </w:p>
        </w:tc>
        <w:tc>
          <w:tcPr>
            <w:tcW w:w="278" w:type="dxa"/>
            <w:tcBorders/>
            <w:vAlign w:val="bottom"/>
          </w:tcPr>
          <w:p>
            <w:pPr>
              <w:pStyle w:val="TableContents"/>
              <w:bidi w:val="0"/>
              <w:spacing w:before="0" w:after="283"/>
              <w:jc w:val="left"/>
              <w:rPr/>
            </w:pPr>
            <w:r>
              <w:rPr/>
              <w:t>% </w:t>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4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40.0</w:t>
            </w:r>
          </w:p>
        </w:tc>
        <w:tc>
          <w:tcPr>
            <w:tcW w:w="278" w:type="dxa"/>
            <w:tcBorders/>
            <w:shd w:fill="CCEEFF" w:val="clear"/>
            <w:vAlign w:val="bottom"/>
          </w:tcPr>
          <w:p>
            <w:pPr>
              <w:pStyle w:val="TableContents"/>
              <w:bidi w:val="0"/>
              <w:spacing w:before="0" w:after="283"/>
              <w:jc w:val="left"/>
              <w:rPr/>
            </w:pPr>
            <w:r>
              <w:rPr/>
              <w:t>% </w:t>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Expected time period</w:t>
            </w:r>
          </w:p>
        </w:tc>
        <w:tc>
          <w:tcPr>
            <w:tcW w:w="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4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0.6 years</w:t>
            </w:r>
          </w:p>
        </w:tc>
        <w:tc>
          <w:tcPr>
            <w:tcW w:w="278" w:type="dxa"/>
            <w:tcBorders/>
            <w:shd w:fill="CCEEFF" w:val="clear"/>
            <w:vAlign w:val="bottom"/>
          </w:tcPr>
          <w:p>
            <w:pPr>
              <w:pStyle w:val="TableContents"/>
              <w:bidi w:val="0"/>
              <w:spacing w:before="0" w:after="283"/>
              <w:jc w:val="left"/>
              <w:rPr/>
            </w:pPr>
            <w:r>
              <w:rPr/>
              <w:t> </w:t>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 years</w:t>
            </w:r>
          </w:p>
        </w:tc>
        <w:tc>
          <w:tcPr>
            <w:tcW w:w="278" w:type="dxa"/>
            <w:tcBorders/>
            <w:vAlign w:val="bottom"/>
          </w:tcPr>
          <w:p>
            <w:pPr>
              <w:pStyle w:val="TableContents"/>
              <w:bidi w:val="0"/>
              <w:spacing w:before="0" w:after="283"/>
              <w:jc w:val="left"/>
              <w:rPr/>
            </w:pPr>
            <w:r>
              <w:rPr/>
              <w:t> </w:t>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4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82.0</w:t>
            </w:r>
          </w:p>
        </w:tc>
        <w:tc>
          <w:tcPr>
            <w:tcW w:w="278" w:type="dxa"/>
            <w:tcBorders/>
            <w:vAlign w:val="bottom"/>
          </w:tcPr>
          <w:p>
            <w:pPr>
              <w:pStyle w:val="TableContents"/>
              <w:bidi w:val="0"/>
              <w:spacing w:before="0" w:after="283"/>
              <w:jc w:val="left"/>
              <w:rPr/>
            </w:pPr>
            <w:r>
              <w:rPr/>
              <w:t>% </w:t>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4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90.0</w:t>
            </w:r>
          </w:p>
        </w:tc>
        <w:tc>
          <w:tcPr>
            <w:tcW w:w="278" w:type="dxa"/>
            <w:tcBorders/>
            <w:shd w:fill="CCEEFF" w:val="clear"/>
            <w:vAlign w:val="bottom"/>
          </w:tcPr>
          <w:p>
            <w:pPr>
              <w:pStyle w:val="TableContents"/>
              <w:bidi w:val="0"/>
              <w:spacing w:before="0" w:after="283"/>
              <w:jc w:val="left"/>
              <w:rPr/>
            </w:pPr>
            <w:r>
              <w:rPr/>
              <w:t>% </w:t>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4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3.8</w:t>
            </w:r>
          </w:p>
        </w:tc>
        <w:tc>
          <w:tcPr>
            <w:tcW w:w="278" w:type="dxa"/>
            <w:tcBorders/>
            <w:shd w:fill="CCEEFF" w:val="clear"/>
            <w:vAlign w:val="bottom"/>
          </w:tcPr>
          <w:p>
            <w:pPr>
              <w:pStyle w:val="TableContents"/>
              <w:bidi w:val="0"/>
              <w:spacing w:before="0" w:after="283"/>
              <w:jc w:val="left"/>
              <w:rPr/>
            </w:pPr>
            <w:r>
              <w:rPr/>
              <w:t>% </w:t>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4.1</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the changes in fair value of the Level 3 liabilities for the period of April 2, 2026 (inception) to June 30, 2026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48"/>
        <w:gridCol w:w="785"/>
        <w:gridCol w:w="297"/>
        <w:gridCol w:w="1545"/>
        <w:gridCol w:w="64"/>
      </w:tblGrid>
      <w:tr>
        <w:trPr/>
        <w:tc>
          <w:tcPr>
            <w:tcW w:w="4248"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4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42" w:type="dxa"/>
            <w:gridSpan w:val="2"/>
            <w:tcBorders/>
            <w:vAlign w:val="bottom"/>
          </w:tcPr>
          <w:p>
            <w:pPr>
              <w:pStyle w:val="TableContents"/>
              <w:bidi w:val="0"/>
              <w:spacing w:before="0" w:after="283"/>
              <w:jc w:val="center"/>
              <w:rPr>
                <w:b/>
              </w:rPr>
            </w:pPr>
            <w:r>
              <w:rPr>
                <w:b/>
              </w:rPr>
              <w:t>Warrant liability</w:t>
            </w:r>
          </w:p>
        </w:tc>
        <w:tc>
          <w:tcPr>
            <w:tcW w:w="64" w:type="dxa"/>
            <w:tcBorders/>
            <w:vAlign w:val="bottom"/>
          </w:tcPr>
          <w:p>
            <w:pPr>
              <w:pStyle w:val="TableContents"/>
              <w:bidi w:val="0"/>
              <w:spacing w:before="0" w:after="283"/>
              <w:jc w:val="left"/>
              <w:rPr/>
            </w:pPr>
            <w:r>
              <w:rPr/>
              <w:t> </w:t>
            </w:r>
          </w:p>
        </w:tc>
      </w:tr>
      <w:tr>
        <w:trPr/>
        <w:tc>
          <w:tcPr>
            <w:tcW w:w="4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April 2, 2026 (inception)</w:t>
            </w:r>
          </w:p>
        </w:tc>
        <w:tc>
          <w:tcPr>
            <w:tcW w:w="78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54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248" w:type="dxa"/>
            <w:tcBorders/>
          </w:tcPr>
          <w:p>
            <w:pPr>
              <w:pStyle w:val="TableContents"/>
              <w:bidi w:val="0"/>
              <w:spacing w:before="0" w:after="0"/>
              <w:jc w:val="left"/>
              <w:rPr>
                <w:rFonts w:ascii="Times New Roman" w:hAnsi="Times New Roman"/>
                <w:sz w:val="20"/>
              </w:rPr>
            </w:pPr>
            <w:r>
              <w:rPr>
                <w:rFonts w:ascii="Times New Roman" w:hAnsi="Times New Roman"/>
                <w:sz w:val="20"/>
              </w:rPr>
              <w:t>Fair value recognized upon issuance of the Warrant</w:t>
            </w:r>
          </w:p>
        </w:tc>
        <w:tc>
          <w:tcPr>
            <w:tcW w:w="78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79,365</w:t>
            </w:r>
          </w:p>
        </w:tc>
        <w:tc>
          <w:tcPr>
            <w:tcW w:w="64" w:type="dxa"/>
            <w:tcBorders/>
            <w:vAlign w:val="bottom"/>
          </w:tcPr>
          <w:p>
            <w:pPr>
              <w:pStyle w:val="TableContents"/>
              <w:bidi w:val="0"/>
              <w:spacing w:before="0" w:after="283"/>
              <w:jc w:val="left"/>
              <w:rPr/>
            </w:pPr>
            <w:r>
              <w:rPr/>
              <w:t> </w:t>
            </w:r>
          </w:p>
        </w:tc>
      </w:tr>
      <w:tr>
        <w:trPr/>
        <w:tc>
          <w:tcPr>
            <w:tcW w:w="4248"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78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545" w:type="dxa"/>
            <w:tcBorders/>
            <w:shd w:fill="CCEEFF" w:val="clear"/>
            <w:vAlign w:val="bottom"/>
          </w:tcPr>
          <w:p>
            <w:pPr>
              <w:pStyle w:val="TableContents"/>
              <w:bidi w:val="0"/>
              <w:spacing w:before="0" w:after="283"/>
              <w:jc w:val="right"/>
              <w:rPr/>
            </w:pPr>
            <w:r>
              <w:rPr/>
              <w:t>79,365</w:t>
            </w:r>
          </w:p>
        </w:tc>
        <w:tc>
          <w:tcPr>
            <w:tcW w:w="64" w:type="dxa"/>
            <w:tcBorders/>
            <w:shd w:fill="CCEEFF" w:val="clear"/>
            <w:vAlign w:val="bottom"/>
          </w:tcPr>
          <w:p>
            <w:pPr>
              <w:pStyle w:val="TableContents"/>
              <w:bidi w:val="0"/>
              <w:spacing w:before="0" w:after="283"/>
              <w:jc w:val="left"/>
              <w:rPr/>
            </w:pPr>
            <w:r>
              <w:rPr/>
              <w:t> </w:t>
            </w:r>
          </w:p>
        </w:tc>
      </w:tr>
      <w:tr>
        <w:trPr/>
        <w:tc>
          <w:tcPr>
            <w:tcW w:w="4248"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54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9"/>
        <w:gridCol w:w="787"/>
        <w:gridCol w:w="395"/>
        <w:gridCol w:w="1045"/>
        <w:gridCol w:w="63"/>
      </w:tblGrid>
      <w:tr>
        <w:trPr/>
        <w:tc>
          <w:tcPr>
            <w:tcW w:w="4649" w:type="dxa"/>
            <w:tcBorders/>
            <w:vAlign w:val="center"/>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4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3"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Reimbursements to related parties</w:t>
            </w:r>
          </w:p>
        </w:tc>
        <w:tc>
          <w:tcPr>
            <w:tcW w:w="787"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535</w:t>
            </w:r>
          </w:p>
        </w:tc>
        <w:tc>
          <w:tcPr>
            <w:tcW w:w="63" w:type="dxa"/>
            <w:tcBorders/>
            <w:shd w:fill="CCEEFF" w:val="clear"/>
            <w:vAlign w:val="bottom"/>
          </w:tcPr>
          <w:p>
            <w:pPr>
              <w:pStyle w:val="TableContents"/>
              <w:bidi w:val="0"/>
              <w:spacing w:before="0" w:after="283"/>
              <w:jc w:val="left"/>
              <w:rPr/>
            </w:pPr>
            <w:r>
              <w:rPr/>
              <w:t> </w:t>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787"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407</w:t>
            </w:r>
          </w:p>
        </w:tc>
        <w:tc>
          <w:tcPr>
            <w:tcW w:w="63" w:type="dxa"/>
            <w:tcBorders/>
            <w:vAlign w:val="bottom"/>
          </w:tcPr>
          <w:p>
            <w:pPr>
              <w:pStyle w:val="TableContents"/>
              <w:bidi w:val="0"/>
              <w:spacing w:before="0" w:after="283"/>
              <w:jc w:val="left"/>
              <w:rPr/>
            </w:pPr>
            <w:r>
              <w:rPr/>
              <w:t> </w:t>
            </w:r>
          </w:p>
        </w:tc>
      </w:tr>
      <w:tr>
        <w:trPr/>
        <w:tc>
          <w:tcPr>
            <w:tcW w:w="4649"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10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283"/>
              <w:jc w:val="left"/>
              <w:rPr>
                <w:sz w:val="4"/>
                <w:szCs w:val="4"/>
              </w:rPr>
            </w:pPr>
            <w:r>
              <w:rPr>
                <w:sz w:val="4"/>
                <w:szCs w:val="4"/>
              </w:rPr>
            </w:r>
          </w:p>
        </w:tc>
        <w:tc>
          <w:tcPr>
            <w:tcW w:w="787"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942</w:t>
            </w:r>
          </w:p>
        </w:tc>
        <w:tc>
          <w:tcPr>
            <w:tcW w:w="63" w:type="dxa"/>
            <w:tcBorders/>
            <w:shd w:fill="CCEEFF" w:val="clear"/>
            <w:vAlign w:val="bottom"/>
          </w:tcPr>
          <w:p>
            <w:pPr>
              <w:pStyle w:val="TableContents"/>
              <w:bidi w:val="0"/>
              <w:spacing w:before="0" w:after="283"/>
              <w:jc w:val="left"/>
              <w:rPr/>
            </w:pPr>
            <w:r>
              <w:rPr/>
              <w:t> </w:t>
            </w:r>
          </w:p>
        </w:tc>
      </w:tr>
      <w:tr>
        <w:trPr/>
        <w:tc>
          <w:tcPr>
            <w:tcW w:w="4649"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double" w:sz="6" w:space="1" w:color="000000"/>
              </w:pBdr>
              <w:bidi w:val="0"/>
              <w:spacing w:before="0" w:after="0"/>
              <w:jc w:val="left"/>
              <w:rPr/>
            </w:pPr>
            <w:r>
              <w:rPr/>
              <w:t> </w:t>
            </w:r>
          </w:p>
        </w:tc>
        <w:tc>
          <w:tcPr>
            <w:tcW w:w="104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 9 for further information on the reimbursements to related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5. 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entered into the YolTech License Agreement. The YolTech License Agreement covers YolTech’s patents and know-how that are necessary or reasonably useful for the development, manufacture and commercialization of SERP-01 and other SERPINA1-directed product candidates. YolTech retains the rights in Greater China and continues to conduct the ongoing investigator-initiated trial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pre-funded warrant, exercise price of $0.00001, to purchase 11,688,455 shares of non-voting Series A-1 Convertible Preferred Stock (see Note 7). The Warrant had an estimated fair value of $79.4 million as of June 30, 2026. The upfront payment and fair value of the Warrant issued have been recorded as acquired in-process research and development in the Company’s statement of operations for the period of April 2, 2026 (inception) to June 30, 2026 since further development and regulatory approval of the licensed product candidates are necessary and there is no alternative use that the Company could benefit from. The upfront payment was recorded in accrued up-front license payment at June 30, 2026. </w:t>
      </w:r>
    </w:p>
    <w:p>
      <w:pPr>
        <w:pStyle w:val="TextBody"/>
        <w:bidi w:val="0"/>
        <w:spacing w:before="240" w:after="0"/>
        <w:jc w:val="left"/>
        <w:rPr>
          <w:rFonts w:ascii="Times New Roman" w:hAnsi="Times New Roman"/>
          <w:sz w:val="20"/>
        </w:rPr>
      </w:pPr>
      <w:r>
        <w:rPr>
          <w:rFonts w:ascii="Times New Roman" w:hAnsi="Times New Roman"/>
          <w:sz w:val="20"/>
        </w:rPr>
        <w:t xml:space="preserve">YolTech is also eligible to receive up to approximately $167.0 million in certain development and regulatory milestone payments and up to approximately $1.88 billion in sales-based milestone payments, as well as tiered royalties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requested that YolTech provide all additional technical and regulatory assistance reasonably necessary to enable the Company to file an IND in the Licensed Territory (as defined in the YolTech License Agreement) or to effect the transfer or assignment of YolTech’s Existing IND to the Company, in each case subject to the Company’s reimbursement of full time equivalent costs and out-of-pocket costs actually incurred by YolTech in providing such assistance. For the period from April 2, 2026 (inception) through June 30, 2026, the Company has incurred costs of $0.1 million to YolTech for these services recorded as research and development in the Company’s statement of operations for the period of April 2, 2026 (inception)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developing competing SERPINA1-directed gene therapies, subject to customary acquisition-related exceptions. Serapha may terminate the YolTech License Agreement for convenience on prior notice, and each 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360" w:after="0"/>
        <w:jc w:val="left"/>
        <w:rPr>
          <w:rFonts w:ascii="Times New Roman" w:hAnsi="Times New Roman"/>
          <w:b/>
          <w:sz w:val="20"/>
        </w:rPr>
      </w:pPr>
      <w:r>
        <w:rPr>
          <w:rFonts w:ascii="Times New Roman" w:hAnsi="Times New Roman"/>
          <w:b/>
          <w:sz w:val="20"/>
        </w:rPr>
        <w:t xml:space="preserve">6.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Liabilities for loss contingencies arising from claims, assessments, litigation, fines, penalties, and other sources are recorded when it is probable that a liability has been incurred and the amount of the assessment and/or remediation can be reasonably estimated. </w:t>
      </w:r>
    </w:p>
    <w:p>
      <w:pPr>
        <w:pStyle w:val="TextBody"/>
        <w:bidi w:val="0"/>
        <w:spacing w:before="360" w:after="0"/>
        <w:jc w:val="left"/>
        <w:rPr>
          <w:rFonts w:ascii="Times New Roman" w:hAnsi="Times New Roman"/>
          <w:b/>
          <w:sz w:val="20"/>
        </w:rPr>
      </w:pPr>
      <w:r>
        <w:rPr>
          <w:rFonts w:ascii="Times New Roman" w:hAnsi="Times New Roman"/>
          <w:b/>
          <w:sz w:val="20"/>
        </w:rPr>
        <w:t xml:space="preserve">7. Convertible Preferred Stock, Warrants and Common Stock </w:t>
      </w:r>
    </w:p>
    <w:p>
      <w:pPr>
        <w:pStyle w:val="TextBody"/>
        <w:bidi w:val="0"/>
        <w:spacing w:before="120" w:after="0"/>
        <w:jc w:val="left"/>
        <w:rPr>
          <w:rFonts w:ascii="Times New Roman" w:hAnsi="Times New Roman"/>
          <w:b/>
          <w:sz w:val="20"/>
        </w:rPr>
      </w:pPr>
      <w:r>
        <w:rPr>
          <w:rFonts w:ascii="Times New Roman" w:hAnsi="Times New Roman"/>
          <w:b/>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June 2026, the Company sold 30,668,708 shares of Series A Convertible Preferred Stock at an original issue price of $4.50 per share resulting in gross proceeds of $138.0 million (the “Series A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Series A Convertible Preferred Stock and Series A-1 Convertible Preferred Stock shall have the same rights, preferences, privileges and restrictions, except that the Series A-1 Convertible Preferred Stock shall be non-voting. The following is a summary of the rights, preferences, and terms of the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Preferred Stock are entitled to receive dividends payable when, as and if declared by the board of directors of the Company, with the holders of common stock, paid out of any assets or on the common stock of the Company, on an as-converted to common stock basis. The Company may not declare or pay dividends on common stock or other junior securities unless the holders of Convertible Preferred Stock receive, on a pro rata, as-converted basis, dividends at least equal to those payable on the common stock. No dividends on common stock were declared or paid from inception through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A Convertible Preferred Stock are entitled to vote on any matter presented to the stockholders of the Company. Each holder of outstanding shares of Series A Convertible Preferred Stock is entitled to the number of votes equal to the number of shares of common stock into which the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Convertible Preferred Stock are convertible. Series A-1 Convertible Preferred Stock has no voting rights. For as long as at least 15,334,197 shares of Series A Convertible Preferred Stock remain outstanding, holders of Series A Convertible Preferred Stock are entitled to elect five directors. The holders of common stock and Series A Convertible Preferred Stock, together as a single class, are entitled to elect the balance of the total directors of the Company on an as-converted basis. As of June 30, 2026, the Company had seven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including a Deemed Liquidation Event (as described below), the holders of Convertible Preferred Stock shall be entitled to be paid out of the consideration payable to stockholders before any payment shall be made to the holders of common stock, an amount equal to the greater of (a) the original issue price, plus any dividends declared but unpaid, or (b) such amount per share as would have been payable had all shares of Convertible Preferred Stock been converted into common stock immediately prior to liquidation, dissolution or winding up. As of June 30, 2026, the liquidation amount is $4.50 per share for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Deemed Liquidation Event shall include a merger or consolidation in which the Company is a constituent party (other than one in which the current stockholders of the Company own a majority of the voting power of the outstanding shares of the surviving company) or the sale, lease, transfer, exclusive license or other disposition of all or substantially all of the business or assets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into a number of shares of common stock equal to the original issue price divided by the conversion price, subject to adjustment for stock splits, stock dividends, combinations and similar recapitalizations, as well as certain anti-dilution adjustments in the event of issuances of equity securities at a price below the then-effective conversion price, as set forth in the Company’s Amended and Restated Certificate of Incorporation. The conversion price is $4.50 per share for Convertible Preferred Stock. As a result, as of June 30, 2026, each outstanding share of Convertible Preferred Stock is convertible into one share of common stock. The Convertible Preferred Stock automatically converts to common stock upon (a) an initial public offering resulting in a pre-money valuation of the Company of at least $250 million and at least $50 million in gross proceeds to the Company; or (b) upon a closing of a business combination between the Company and a public company pursuant to the public company acquiring 100% of the Company’s outstanding equity (including a reverse merger). </w:t>
      </w:r>
    </w:p>
    <w:p>
      <w:pPr>
        <w:pStyle w:val="TextBody"/>
        <w:bidi w:val="0"/>
        <w:spacing w:before="240" w:after="0"/>
        <w:jc w:val="left"/>
        <w:rPr>
          <w:rFonts w:ascii="Times New Roman" w:hAnsi="Times New Roman"/>
          <w:sz w:val="20"/>
        </w:rPr>
      </w:pPr>
      <w:r>
        <w:rPr>
          <w:rFonts w:ascii="Times New Roman" w:hAnsi="Times New Roman"/>
          <w:sz w:val="20"/>
        </w:rPr>
        <w:t xml:space="preserve">The Series A Convertible Preferred Stock is subject to a special mandatory conversion (pay-to-play) provision under which a holder that does not participate in a qualified financing to the extent of its pro rata amount will have its Series A Convertible Preferred Stock automatically converted into common stock at a reduced ratio of one-tenth of the otherwise-applicable conversion ratio.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does not have redemption rights, except upon a Deemed Liquidation Event — generally a merger, consolidation, or sale of substantially all of the Company’s assets resulting in a change of control — in which case the holders of Series A Convertible Preferred Stock are entitled to receive their liquidation preference before any distribution to common stockholders, and, if the event occurs and the Company does not dissolve within a specified period, the requisite holders may elect to have their shares redeemed for that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On June 12, 2026, the Company issued the Warrant to purchase 11,688,455 shares of Series A-1 Convertible Preferred Stock as part of the consideration for the license representing 19.9% of the Company’s fully-diluted capitalization immediately after the initial closing of the Series A Financing. The Warrant has an exercise price of $0.00001 per share (equal to par value) which is deemed prepaid and satisfied in full by the value transferred by YolTech under the YolTech License Agreement. The Warrant’s share number is subject to automatic upward adjustment during the Anti-Dilution Period (as defined in the Warrant Subscription Agreement) to preserve the 19.9% ownership level; the Anti-Dilution Period terminates on the earliest of (a) the Company’s aggregate capital raise (inclusive of the Series A Financing) equaling or exceeding $400 million and (b) the consummation of a Going Public Event (IPO, reverse merger, or direct listing on NASDAQ, NYSE or a comparable exchange). Exercise of the Warrant is subject to a beneficial ownership cap equal to 9.9% of the Company’s common stock outstanding. The Warrant expires on the tenth anniversary of the Effective Date (as defined in the Warrant Subscription Agreement) and, unless YolTech elects otherwise, is subject to automatic exercise immediately prior to expiration. Upon consummation of a Going Public Event, the Warrant is not exercised, converted, or extinguished; rather, its underlying security is automatically adjusted from Series A-1 Convertible Preferred Stock to the Company’s common stock (of the Company in the case of an IPO or direct listing, or of the public company in the case of a reverse merger, in either case on a share-for-share basis using the applicable then-current conversion or exchange ratio).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8.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the Company adopted the Plan. Awards may be made under the Plan covering up to 10,278,705 shares of common stock of the Company. As of June 30, 2026, there were 10,278,705 shares available to be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1,862,334 shares of common stock to an investor with a fair value of $2.54 per share. The shares are fully vested with no forfeiture provision, and the total fair value of $4.7 million was immediately expensed to general and administrative expense in the Company’s statement of operations for the period of April 2, 2026 (inception) to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restricted common stock to non-employee consultants in exchange for their continued service. The shares vest ratably over four years for non-employee consultants and are subject to repurchase by the Company at the original purchase price in the event the non-employee consultant ceases to provide services during the vesting period. Vested shares have additional restrictions related to transferring while shares of common stock remain outstanding. In the period of April 2, 2026 (inception) to June 30, 2026, the Company granted 137,666 shares of restricted common stock, at $0.001 per share, that were unvested as of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estimated grant-date fair value of the restricted stock was $2.54 per share, which is the determined fair value of the underlying common stock, for a total of $0.3 million, which will be expensed over the vesting period of the restricted stock. For the period of April 2, 2026 (inception) to June 30, 2026, $0.007 million was expensed to research and development expense in the Company’s statement of operations. At June 30, 2026, the unrecognized compensation cost related to the restricted stock was $0.3 million, which is expected to be recognized as an expense on a straight-line basis over approximately 3.96 years. </w:t>
      </w:r>
    </w:p>
    <w:p>
      <w:pPr>
        <w:pStyle w:val="TextBody"/>
        <w:bidi w:val="0"/>
        <w:spacing w:before="360" w:after="0"/>
        <w:jc w:val="left"/>
        <w:rPr>
          <w:rFonts w:ascii="Times New Roman" w:hAnsi="Times New Roman"/>
          <w:b/>
          <w:sz w:val="20"/>
        </w:rPr>
      </w:pPr>
      <w:r>
        <w:rPr>
          <w:rFonts w:ascii="Times New Roman" w:hAnsi="Times New Roman"/>
          <w:b/>
          <w:sz w:val="20"/>
        </w:rPr>
        <w:t xml:space="preserve">9. Related-Party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June 2026, the Company’s majority common stockholders participated in the Convertible Preferred Stock financing for a combined $66.0 million. Additionally, as of June 30, 2026, the Company owed these investors $0.5 million for reimbursement of consulting expenses incurred prior to the Company’s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June 2, 2026, Serapha entered into a three-year Services Agreement (the “Carnot Services Agreement”) with Carnot Pharma, LLC (“Carnot”), an entity controlled by RA Capital Management, L.P. Funds affiliated with RA Capital Management, L.P. hold 16.8% of the Company’s securities on a fully diluted basis. Pursuant to the Carnot Services Agreement, Carnot provides certain research and development, general corporate preparatory and other services to Serapha in connection with its clinical trials. Serapha pays Carnot for services performed and costs incurred. For the period of April 2, 2026 (inception) to June 30, 2026, the Company incurred $0.1 million of costs related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10.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losses, all in domestic jurisdictions, since inception and has not recorded current or deferred income taxes.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income tax benefit at the U.S. federal statutory rate and income taxes as reflected in the financial statements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58"/>
        <w:gridCol w:w="362"/>
        <w:gridCol w:w="60"/>
        <w:gridCol w:w="756"/>
        <w:gridCol w:w="155"/>
        <w:gridCol w:w="362"/>
        <w:gridCol w:w="60"/>
        <w:gridCol w:w="380"/>
        <w:gridCol w:w="362"/>
      </w:tblGrid>
      <w:tr>
        <w:trPr/>
        <w:tc>
          <w:tcPr>
            <w:tcW w:w="5258"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5258"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April 2, 2026</w:t>
              <w:br/>
              <w:t>(inception)</w:t>
              <w:br/>
              <w:t>through</w:t>
              <w:br/>
              <w:t>June 30, 2026</w:t>
            </w:r>
          </w:p>
        </w:tc>
        <w:tc>
          <w:tcPr>
            <w:tcW w:w="362" w:type="dxa"/>
            <w:tcBorders/>
            <w:vAlign w:val="bottom"/>
          </w:tcPr>
          <w:p>
            <w:pPr>
              <w:pStyle w:val="TableContents"/>
              <w:bidi w:val="0"/>
              <w:spacing w:before="0" w:after="283"/>
              <w:jc w:val="left"/>
              <w:rPr/>
            </w:pPr>
            <w:r>
              <w:rPr/>
              <w:t> </w:t>
            </w:r>
          </w:p>
        </w:tc>
      </w:tr>
      <w:tr>
        <w:trPr/>
        <w:tc>
          <w:tcPr>
            <w:tcW w:w="5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income tax provision at statutory rate</w:t>
            </w:r>
          </w:p>
        </w:tc>
        <w:tc>
          <w:tcPr>
            <w:tcW w:w="3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(35,731</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21</w:t>
            </w:r>
          </w:p>
        </w:tc>
        <w:tc>
          <w:tcPr>
            <w:tcW w:w="362" w:type="dxa"/>
            <w:tcBorders/>
            <w:shd w:fill="CCEEFF" w:val="clear"/>
            <w:vAlign w:val="bottom"/>
          </w:tcPr>
          <w:p>
            <w:pPr>
              <w:pStyle w:val="TableContents"/>
              <w:bidi w:val="0"/>
              <w:spacing w:before="0" w:after="283"/>
              <w:jc w:val="left"/>
              <w:rPr/>
            </w:pPr>
            <w:r>
              <w:rPr/>
              <w:t>% </w:t>
            </w:r>
          </w:p>
        </w:tc>
      </w:tr>
      <w:tr>
        <w:trPr/>
        <w:tc>
          <w:tcPr>
            <w:tcW w:w="5258"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allowances</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34,736</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w:t>
            </w:r>
          </w:p>
        </w:tc>
        <w:tc>
          <w:tcPr>
            <w:tcW w:w="362" w:type="dxa"/>
            <w:tcBorders/>
            <w:vAlign w:val="bottom"/>
          </w:tcPr>
          <w:p>
            <w:pPr>
              <w:pStyle w:val="TableContents"/>
              <w:bidi w:val="0"/>
              <w:spacing w:before="0" w:after="283"/>
              <w:jc w:val="left"/>
              <w:rPr/>
            </w:pPr>
            <w:r>
              <w:rPr/>
              <w:t>)% </w:t>
            </w:r>
          </w:p>
        </w:tc>
      </w:tr>
      <w:tr>
        <w:trPr/>
        <w:tc>
          <w:tcPr>
            <w:tcW w:w="5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3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995</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w:t>
            </w:r>
          </w:p>
        </w:tc>
        <w:tc>
          <w:tcPr>
            <w:tcW w:w="362" w:type="dxa"/>
            <w:tcBorders/>
            <w:shd w:fill="CCEEFF" w:val="clear"/>
            <w:vAlign w:val="bottom"/>
          </w:tcPr>
          <w:p>
            <w:pPr>
              <w:pStyle w:val="TableContents"/>
              <w:bidi w:val="0"/>
              <w:spacing w:before="0" w:after="283"/>
              <w:jc w:val="left"/>
              <w:rPr/>
            </w:pPr>
            <w:r>
              <w:rPr/>
              <w:t>) </w:t>
            </w:r>
          </w:p>
        </w:tc>
      </w:tr>
      <w:tr>
        <w:trPr/>
        <w:tc>
          <w:tcPr>
            <w:tcW w:w="5258"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5258" w:type="dxa"/>
            <w:tcBorders/>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362" w:type="dxa"/>
            <w:tcBorders/>
            <w:vAlign w:val="bottom"/>
          </w:tcPr>
          <w:p>
            <w:pPr>
              <w:pStyle w:val="TableContents"/>
              <w:bidi w:val="0"/>
              <w:spacing w:before="0" w:after="283"/>
              <w:jc w:val="left"/>
              <w:rPr/>
            </w:pPr>
            <w:r>
              <w:rPr/>
              <w:t>% </w:t>
            </w:r>
          </w:p>
        </w:tc>
      </w:tr>
      <w:tr>
        <w:trPr/>
        <w:tc>
          <w:tcPr>
            <w:tcW w:w="5258"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components of the Company’s deferred tax assets and liabilities for federal income taxes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13"/>
        <w:gridCol w:w="617"/>
        <w:gridCol w:w="223"/>
        <w:gridCol w:w="1243"/>
        <w:gridCol w:w="159"/>
      </w:tblGrid>
      <w:tr>
        <w:trPr/>
        <w:tc>
          <w:tcPr>
            <w:tcW w:w="5513" w:type="dxa"/>
            <w:tcBorders/>
            <w:vAlign w:val="center"/>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3"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9" w:type="dxa"/>
            <w:tcBorders/>
            <w:vAlign w:val="bottom"/>
          </w:tcPr>
          <w:p>
            <w:pPr>
              <w:pStyle w:val="TableContents"/>
              <w:bidi w:val="0"/>
              <w:spacing w:before="0" w:after="283"/>
              <w:jc w:val="left"/>
              <w:rPr/>
            </w:pPr>
            <w:r>
              <w:rPr/>
              <w:t> </w:t>
            </w:r>
          </w:p>
        </w:tc>
      </w:tr>
      <w:tr>
        <w:trPr/>
        <w:tc>
          <w:tcPr>
            <w:tcW w:w="5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61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w:t>
            </w:r>
          </w:p>
        </w:tc>
        <w:tc>
          <w:tcPr>
            <w:tcW w:w="61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45,047</w:t>
            </w:r>
          </w:p>
        </w:tc>
        <w:tc>
          <w:tcPr>
            <w:tcW w:w="159" w:type="dxa"/>
            <w:tcBorders/>
            <w:vAlign w:val="bottom"/>
          </w:tcPr>
          <w:p>
            <w:pPr>
              <w:pStyle w:val="TableContents"/>
              <w:bidi w:val="0"/>
              <w:spacing w:before="0" w:after="283"/>
              <w:jc w:val="left"/>
              <w:rPr/>
            </w:pPr>
            <w:r>
              <w:rPr/>
              <w:t> </w:t>
            </w:r>
          </w:p>
        </w:tc>
      </w:tr>
      <w:tr>
        <w:trPr/>
        <w:tc>
          <w:tcPr>
            <w:tcW w:w="5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61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566</w:t>
            </w:r>
          </w:p>
        </w:tc>
        <w:tc>
          <w:tcPr>
            <w:tcW w:w="159" w:type="dxa"/>
            <w:tcBorders/>
            <w:shd w:fill="CCEEFF" w:val="clear"/>
            <w:vAlign w:val="bottom"/>
          </w:tcPr>
          <w:p>
            <w:pPr>
              <w:pStyle w:val="TableContents"/>
              <w:bidi w:val="0"/>
              <w:spacing w:before="0" w:after="283"/>
              <w:jc w:val="left"/>
              <w:rPr/>
            </w:pPr>
            <w:r>
              <w:rPr/>
              <w:t> </w:t>
            </w:r>
          </w:p>
        </w:tc>
      </w:tr>
      <w:tr>
        <w:trPr/>
        <w:tc>
          <w:tcPr>
            <w:tcW w:w="5513" w:type="dxa"/>
            <w:tcBorders/>
            <w:vAlign w:val="bottom"/>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assets before valuation allowance</w:t>
            </w:r>
          </w:p>
        </w:tc>
        <w:tc>
          <w:tcPr>
            <w:tcW w:w="61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45,613</w:t>
            </w:r>
          </w:p>
        </w:tc>
        <w:tc>
          <w:tcPr>
            <w:tcW w:w="159" w:type="dxa"/>
            <w:tcBorders/>
            <w:vAlign w:val="bottom"/>
          </w:tcPr>
          <w:p>
            <w:pPr>
              <w:pStyle w:val="TableContents"/>
              <w:bidi w:val="0"/>
              <w:spacing w:before="0" w:after="283"/>
              <w:jc w:val="left"/>
              <w:rPr/>
            </w:pPr>
            <w:r>
              <w:rPr/>
              <w:t> </w:t>
            </w:r>
          </w:p>
        </w:tc>
      </w:tr>
      <w:tr>
        <w:trPr/>
        <w:tc>
          <w:tcPr>
            <w:tcW w:w="5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61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(45,517</w:t>
            </w:r>
          </w:p>
        </w:tc>
        <w:tc>
          <w:tcPr>
            <w:tcW w:w="159" w:type="dxa"/>
            <w:tcBorders/>
            <w:shd w:fill="CCEEFF" w:val="clear"/>
            <w:vAlign w:val="bottom"/>
          </w:tcPr>
          <w:p>
            <w:pPr>
              <w:pStyle w:val="TableContents"/>
              <w:bidi w:val="0"/>
              <w:spacing w:before="0" w:after="283"/>
              <w:jc w:val="left"/>
              <w:rPr/>
            </w:pPr>
            <w:r>
              <w:rPr/>
              <w:t>) </w:t>
            </w:r>
          </w:p>
        </w:tc>
      </w:tr>
      <w:tr>
        <w:trPr/>
        <w:tc>
          <w:tcPr>
            <w:tcW w:w="5513" w:type="dxa"/>
            <w:tcBorders/>
            <w:vAlign w:val="bottom"/>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61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96</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96"/>
        <w:gridCol w:w="854"/>
        <w:gridCol w:w="380"/>
        <w:gridCol w:w="1051"/>
        <w:gridCol w:w="158"/>
      </w:tblGrid>
      <w:tr>
        <w:trPr/>
        <w:tc>
          <w:tcPr>
            <w:tcW w:w="4496" w:type="dxa"/>
            <w:tcBorders/>
            <w:vAlign w:val="center"/>
          </w:tcPr>
          <w:p>
            <w:pPr>
              <w:pStyle w:val="TableContents"/>
              <w:bidi w:val="0"/>
              <w:spacing w:before="0" w:after="283"/>
              <w:jc w:val="left"/>
              <w:rPr>
                <w:sz w:val="4"/>
                <w:szCs w:val="4"/>
              </w:rPr>
            </w:pPr>
            <w:r>
              <w:rPr>
                <w:sz w:val="4"/>
                <w:szCs w:val="4"/>
              </w:rPr>
            </w:r>
          </w:p>
        </w:tc>
        <w:tc>
          <w:tcPr>
            <w:tcW w:w="85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8" w:type="dxa"/>
            <w:tcBorders/>
            <w:vAlign w:val="bottom"/>
          </w:tcPr>
          <w:p>
            <w:pPr>
              <w:pStyle w:val="TableContents"/>
              <w:bidi w:val="0"/>
              <w:spacing w:before="0" w:after="283"/>
              <w:jc w:val="left"/>
              <w:rPr/>
            </w:pPr>
            <w:r>
              <w:rPr/>
              <w:t> </w:t>
            </w:r>
          </w:p>
        </w:tc>
      </w:tr>
      <w:tr>
        <w:trPr/>
        <w:tc>
          <w:tcPr>
            <w:tcW w:w="44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85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9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shares</w:t>
            </w:r>
          </w:p>
        </w:tc>
        <w:tc>
          <w:tcPr>
            <w:tcW w:w="85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(96</w:t>
            </w:r>
          </w:p>
        </w:tc>
        <w:tc>
          <w:tcPr>
            <w:tcW w:w="158" w:type="dxa"/>
            <w:tcBorders/>
            <w:vAlign w:val="bottom"/>
          </w:tcPr>
          <w:p>
            <w:pPr>
              <w:pStyle w:val="TableContents"/>
              <w:bidi w:val="0"/>
              <w:spacing w:before="0" w:after="283"/>
              <w:jc w:val="left"/>
              <w:rPr/>
            </w:pPr>
            <w:r>
              <w:rPr/>
              <w:t>) </w:t>
            </w:r>
          </w:p>
        </w:tc>
      </w:tr>
      <w:tr>
        <w:trPr/>
        <w:tc>
          <w:tcPr>
            <w:tcW w:w="4496" w:type="dxa"/>
            <w:tcBorders/>
            <w:vAlign w:val="bottom"/>
          </w:tcPr>
          <w:p>
            <w:pPr>
              <w:pStyle w:val="TableContents"/>
              <w:bidi w:val="0"/>
              <w:spacing w:before="0" w:after="283"/>
              <w:jc w:val="left"/>
              <w:rPr>
                <w:sz w:val="4"/>
                <w:szCs w:val="4"/>
              </w:rPr>
            </w:pPr>
            <w:r>
              <w:rPr>
                <w:sz w:val="4"/>
                <w:szCs w:val="4"/>
              </w:rPr>
            </w:r>
          </w:p>
        </w:tc>
        <w:tc>
          <w:tcPr>
            <w:tcW w:w="85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85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(96</w:t>
            </w:r>
          </w:p>
        </w:tc>
        <w:tc>
          <w:tcPr>
            <w:tcW w:w="158" w:type="dxa"/>
            <w:tcBorders/>
            <w:shd w:fill="CCEEFF" w:val="clear"/>
            <w:vAlign w:val="bottom"/>
          </w:tcPr>
          <w:p>
            <w:pPr>
              <w:pStyle w:val="TableContents"/>
              <w:bidi w:val="0"/>
              <w:spacing w:before="0" w:after="283"/>
              <w:jc w:val="left"/>
              <w:rPr/>
            </w:pPr>
            <w:r>
              <w:rPr/>
              <w:t>) </w:t>
            </w:r>
          </w:p>
        </w:tc>
      </w:tr>
      <w:tr>
        <w:trPr/>
        <w:tc>
          <w:tcPr>
            <w:tcW w:w="4496" w:type="dxa"/>
            <w:tcBorders/>
            <w:vAlign w:val="bottom"/>
          </w:tcPr>
          <w:p>
            <w:pPr>
              <w:pStyle w:val="TableContents"/>
              <w:bidi w:val="0"/>
              <w:spacing w:before="0" w:after="283"/>
              <w:jc w:val="left"/>
              <w:rPr>
                <w:sz w:val="4"/>
                <w:szCs w:val="4"/>
              </w:rPr>
            </w:pPr>
            <w:r>
              <w:rPr>
                <w:sz w:val="4"/>
                <w:szCs w:val="4"/>
              </w:rPr>
            </w:r>
          </w:p>
        </w:tc>
        <w:tc>
          <w:tcPr>
            <w:tcW w:w="85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96"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 and liabilities</w:t>
            </w:r>
          </w:p>
        </w:tc>
        <w:tc>
          <w:tcPr>
            <w:tcW w:w="85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496" w:type="dxa"/>
            <w:tcBorders/>
            <w:vAlign w:val="bottom"/>
          </w:tcPr>
          <w:p>
            <w:pPr>
              <w:pStyle w:val="TableContents"/>
              <w:bidi w:val="0"/>
              <w:spacing w:before="0" w:after="283"/>
              <w:jc w:val="left"/>
              <w:rPr>
                <w:sz w:val="4"/>
                <w:szCs w:val="4"/>
              </w:rPr>
            </w:pPr>
            <w:r>
              <w:rPr>
                <w:sz w:val="4"/>
                <w:szCs w:val="4"/>
              </w:rPr>
            </w:r>
          </w:p>
        </w:tc>
        <w:tc>
          <w:tcPr>
            <w:tcW w:w="85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records a valuation allowance against its deferred tax assets when it is more likely than not that realization will not occur. The realization of deferred tax assets depends upon the Company’s ability to generate future taxable income or other tax planning strategies available in the relevant taxing jurisdiction. In evaluating the realizability of its deferred tax assets, management must determine whether there will be sufficient taxable income to allow for the realization of deferred tax assets. Based upon the historical and anticipated future losses, management has determined that the deferred tax assets do not meet the more-likely-than-not threshold for realizability. As a result, the Company recorded a valuation allowance against its deferred tax assets as of June 30, 2026. The valuation allowance increased by $45.5 million during the period from April 2, 2026 (inception)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federal net operating loss (“NOL”) carryforwards of $2.1 million, which will be carried forward indefinitely to offset future taxable income, subject to an 80% limitation of taxable income annually. In addition, the Company had state NOLs of $2.1 million, which also carry 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no accrued interest or penalties related to uncertain tax positions and no amounts have been recognized in the Company’s financial statements. The Company is generally subject to a three-year statute of limitations for federal and state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382 of the Internal Revenue Code of 1986, as amended (the “Code”), if a corporation undergoes an ownership change, the corporation’s ability to use its pre-change net operating loss carryforwards and other pre-change tax attributes to offset its post-change income may be limited. The Company has not completed a study to assess whether an ownership change has occurred or whether there have been multiple ownership changes since the Company became a loss corporation as defined in Section 382 of the Code. Future changes in the Company’s capital ownership, which may be outside of the Company’s control, may trigger an ownership change. In addition, future equity offerings or acquisitions that have equity as a component of the purchase price could result in an ownership change. If an ownership change has occurred or does occur in the future, utilization of the net operating loss carryforwards or other tax attributes may be limited, which could potentially result in increased future tax liability for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11.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relating to the research and development of its AATD research programs. </w:t>
      </w:r>
    </w:p>
    <w:p>
      <w:pPr>
        <w:pStyle w:val="TextBody"/>
        <w:bidi w:val="0"/>
        <w:spacing w:before="240" w:after="0"/>
        <w:jc w:val="left"/>
        <w:rPr>
          <w:rFonts w:ascii="Times New Roman" w:hAnsi="Times New Roman"/>
          <w:sz w:val="20"/>
        </w:rPr>
      </w:pPr>
      <w:r>
        <w:rPr>
          <w:rFonts w:ascii="Times New Roman" w:hAnsi="Times New Roman"/>
          <w:sz w:val="20"/>
        </w:rPr>
        <w:t xml:space="preserve">The CODM manages the Company’s operations on a total basis and uses net loss for the allocation of resources and the assessment of performance. Although the Company’s financial reporting package that is reviewed and approved by the CODM disaggregates significant expenses, such as program-level expenses, decisions made by the CODM are based upon reviewing operating metrics and performance indications at the Company-wide level and net loss. The CODM uses net loss to evaluate loss generated from the Company’s business activities in deciding how to allocate company resources and in monitoring budget versus actual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is a summary of significant expense categories regularly provided to the CODM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90"/>
        <w:gridCol w:w="706"/>
        <w:gridCol w:w="265"/>
        <w:gridCol w:w="1616"/>
        <w:gridCol w:w="62"/>
      </w:tblGrid>
      <w:tr>
        <w:trPr/>
        <w:tc>
          <w:tcPr>
            <w:tcW w:w="4290" w:type="dxa"/>
            <w:tcBorders/>
            <w:vAlign w:val="center"/>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290"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2026</w:t>
              <w:br/>
              <w:t>(inception)</w:t>
              <w:br/>
              <w:t>through June 30,</w:t>
              <w:br/>
              <w:t>2026</w:t>
            </w:r>
          </w:p>
        </w:tc>
        <w:tc>
          <w:tcPr>
            <w:tcW w:w="62" w:type="dxa"/>
            <w:tcBorders/>
            <w:vAlign w:val="bottom"/>
          </w:tcPr>
          <w:p>
            <w:pPr>
              <w:pStyle w:val="TableContents"/>
              <w:bidi w:val="0"/>
              <w:spacing w:before="0" w:after="283"/>
              <w:jc w:val="left"/>
              <w:rPr/>
            </w:pPr>
            <w:r>
              <w:rPr/>
              <w:t> </w:t>
            </w:r>
          </w:p>
        </w:tc>
      </w:tr>
      <w:tr>
        <w:trPr/>
        <w:tc>
          <w:tcPr>
            <w:tcW w:w="42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706"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61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29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706"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161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AATD research and development costs</w:t>
            </w:r>
          </w:p>
        </w:tc>
        <w:tc>
          <w:tcPr>
            <w:tcW w:w="706"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616" w:type="dxa"/>
            <w:tcBorders/>
            <w:shd w:fill="CCEEFF" w:val="clear"/>
            <w:vAlign w:val="bottom"/>
          </w:tcPr>
          <w:p>
            <w:pPr>
              <w:pStyle w:val="TableContents"/>
              <w:bidi w:val="0"/>
              <w:spacing w:before="0" w:after="283"/>
              <w:jc w:val="right"/>
              <w:rPr/>
            </w:pPr>
            <w:r>
              <w:rPr/>
              <w:t>267</w:t>
            </w:r>
          </w:p>
        </w:tc>
        <w:tc>
          <w:tcPr>
            <w:tcW w:w="62" w:type="dxa"/>
            <w:tcBorders/>
            <w:shd w:fill="CCEEFF" w:val="clear"/>
            <w:vAlign w:val="bottom"/>
          </w:tcPr>
          <w:p>
            <w:pPr>
              <w:pStyle w:val="TableContents"/>
              <w:bidi w:val="0"/>
              <w:spacing w:before="0" w:after="283"/>
              <w:jc w:val="left"/>
              <w:rPr/>
            </w:pPr>
            <w:r>
              <w:rPr/>
              <w:t> </w:t>
            </w:r>
          </w:p>
        </w:tc>
      </w:tr>
      <w:tr>
        <w:trPr/>
        <w:tc>
          <w:tcPr>
            <w:tcW w:w="4290"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706"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616" w:type="dxa"/>
            <w:tcBorders/>
            <w:vAlign w:val="bottom"/>
          </w:tcPr>
          <w:p>
            <w:pPr>
              <w:pStyle w:val="TableContents"/>
              <w:bidi w:val="0"/>
              <w:spacing w:before="0" w:after="283"/>
              <w:jc w:val="right"/>
              <w:rPr/>
            </w:pPr>
            <w:r>
              <w:rPr/>
              <w:t>164,617</w:t>
            </w:r>
          </w:p>
        </w:tc>
        <w:tc>
          <w:tcPr>
            <w:tcW w:w="62" w:type="dxa"/>
            <w:tcBorders/>
            <w:vAlign w:val="bottom"/>
          </w:tcPr>
          <w:p>
            <w:pPr>
              <w:pStyle w:val="TableContents"/>
              <w:bidi w:val="0"/>
              <w:spacing w:before="0" w:after="283"/>
              <w:jc w:val="left"/>
              <w:rPr/>
            </w:pPr>
            <w:r>
              <w:rPr/>
              <w:t> </w:t>
            </w:r>
          </w:p>
        </w:tc>
      </w:tr>
      <w:tr>
        <w:trPr/>
        <w:tc>
          <w:tcPr>
            <w:tcW w:w="4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706"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bidi w:val="0"/>
              <w:spacing w:before="0" w:after="283"/>
              <w:jc w:val="right"/>
              <w:rPr/>
            </w:pPr>
            <w:r>
              <w:rPr/>
              <w:t>5,262</w:t>
            </w:r>
          </w:p>
        </w:tc>
        <w:tc>
          <w:tcPr>
            <w:tcW w:w="62" w:type="dxa"/>
            <w:tcBorders/>
            <w:shd w:fill="CCEEFF" w:val="clear"/>
            <w:vAlign w:val="bottom"/>
          </w:tcPr>
          <w:p>
            <w:pPr>
              <w:pStyle w:val="TableContents"/>
              <w:bidi w:val="0"/>
              <w:spacing w:before="0" w:after="283"/>
              <w:jc w:val="left"/>
              <w:rPr/>
            </w:pPr>
            <w:r>
              <w:rPr/>
              <w:t> </w:t>
            </w:r>
          </w:p>
        </w:tc>
      </w:tr>
      <w:tr>
        <w:trPr/>
        <w:tc>
          <w:tcPr>
            <w:tcW w:w="429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6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9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706"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616" w:type="dxa"/>
            <w:tcBorders/>
            <w:vAlign w:val="bottom"/>
          </w:tcPr>
          <w:p>
            <w:pPr>
              <w:pStyle w:val="TableContents"/>
              <w:bidi w:val="0"/>
              <w:spacing w:before="0" w:after="283"/>
              <w:jc w:val="right"/>
              <w:rPr/>
            </w:pPr>
            <w:r>
              <w:rPr/>
              <w:t>170,146</w:t>
            </w:r>
          </w:p>
        </w:tc>
        <w:tc>
          <w:tcPr>
            <w:tcW w:w="62" w:type="dxa"/>
            <w:tcBorders/>
            <w:vAlign w:val="bottom"/>
          </w:tcPr>
          <w:p>
            <w:pPr>
              <w:pStyle w:val="TableContents"/>
              <w:bidi w:val="0"/>
              <w:spacing w:before="0" w:after="283"/>
              <w:jc w:val="left"/>
              <w:rPr/>
            </w:pPr>
            <w:r>
              <w:rPr/>
              <w:t> </w:t>
            </w:r>
          </w:p>
        </w:tc>
      </w:tr>
      <w:tr>
        <w:trPr/>
        <w:tc>
          <w:tcPr>
            <w:tcW w:w="429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61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from the balance sheet date through August 31, 2026, the issuance date of these financial statements, and has not identified any events requiring disclosure except as noted below. </w:t>
      </w:r>
    </w:p>
    <w:p>
      <w:pPr>
        <w:pStyle w:val="TextBody"/>
        <w:bidi w:val="0"/>
        <w:spacing w:before="240" w:after="0"/>
        <w:jc w:val="left"/>
        <w:rPr>
          <w:rFonts w:ascii="Times New Roman" w:hAnsi="Times New Roman"/>
          <w:sz w:val="20"/>
        </w:rPr>
      </w:pPr>
      <w:r>
        <w:rPr>
          <w:rFonts w:ascii="Times New Roman" w:hAnsi="Times New Roman"/>
          <w:sz w:val="20"/>
        </w:rPr>
        <w:t xml:space="preserve">In July 2026, the first development milestone of $10.0 million under the YolTech License Agreement was achieved based upon the determination of the safety review committee and will be recorded to research and development expense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98" w:name="annexacov"/>
      <w:bookmarkEnd w:id="98"/>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240" w:after="0"/>
        <w:jc w:val="center"/>
        <w:rPr>
          <w:rFonts w:ascii="Times New Roman" w:hAnsi="Times New Roman"/>
          <w:b/>
          <w:sz w:val="20"/>
        </w:rPr>
      </w:pPr>
      <w:r>
        <w:rPr>
          <w:rFonts w:ascii="Times New Roman" w:hAnsi="Times New Roman"/>
          <w:b/>
          <w:sz w:val="20"/>
        </w:rPr>
        <w:t xml:space="preserve">BOULDER MERGER SUB CORP.;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22,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toc"/>
      <w:bookmarkEnd w:id="99"/>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4"/>
        <w:gridCol w:w="123"/>
        <w:gridCol w:w="1245"/>
        <w:gridCol w:w="123"/>
        <w:gridCol w:w="7566"/>
        <w:gridCol w:w="123"/>
        <w:gridCol w:w="60"/>
        <w:gridCol w:w="515"/>
        <w:gridCol w:w="66"/>
      </w:tblGrid>
      <w:tr>
        <w:trPr/>
        <w:tc>
          <w:tcPr>
            <w:tcW w:w="38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8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6" w:type="dxa"/>
            <w:tcBorders/>
            <w:vAlign w:val="bottom"/>
          </w:tcPr>
          <w:p>
            <w:pPr>
              <w:pStyle w:val="TableContents"/>
              <w:bidi w:val="0"/>
              <w:spacing w:before="0" w:after="283"/>
              <w:jc w:val="left"/>
              <w:rPr/>
            </w:pPr>
            <w:r>
              <w:rPr/>
              <w:t> </w:t>
            </w:r>
          </w:p>
        </w:tc>
      </w:tr>
      <w:tr>
        <w:trPr>
          <w:trHeight w:val="120" w:hRule="atLeast"/>
        </w:trPr>
        <w:tc>
          <w:tcPr>
            <w:tcW w:w="9441" w:type="dxa"/>
            <w:gridSpan w:val="5"/>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5"/>
            <w:tcBorders/>
            <w:vAlign w:val="bottom"/>
          </w:tcPr>
          <w:p>
            <w:pPr>
              <w:pStyle w:val="TableContents"/>
              <w:bidi w:val="0"/>
              <w:spacing w:before="0" w:after="0"/>
              <w:jc w:val="left"/>
              <w:rPr/>
            </w:pPr>
            <w:hyperlink w:anchor="annextoc108148_1">
              <w:r>
                <w:rPr>
                  <w:rStyle w:val="InternetLink"/>
                  <w:rFonts w:ascii="Times New Roman" w:hAnsi="Times New Roman"/>
                  <w:sz w:val="20"/>
                </w:rPr>
                <w:t>Article I. Definitions and Interpretative Provisions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6" w:type="dxa"/>
            <w:tcBorders/>
            <w:vAlign w:val="bottom"/>
          </w:tcPr>
          <w:p>
            <w:pPr>
              <w:pStyle w:val="TableContents"/>
              <w:bidi w:val="0"/>
              <w:spacing w:before="0" w:after="283"/>
              <w:jc w:val="left"/>
              <w:rPr/>
            </w:pPr>
            <w:r>
              <w:rPr/>
              <w:t> </w:t>
            </w:r>
          </w:p>
        </w:tc>
      </w:tr>
      <w:tr>
        <w:trPr>
          <w:trHeight w:val="120" w:hRule="atLeast"/>
        </w:trPr>
        <w:tc>
          <w:tcPr>
            <w:tcW w:w="384" w:type="dxa"/>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7689"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1.1</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
              <w:r>
                <w:rPr>
                  <w:rStyle w:val="InternetLink"/>
                </w:rPr>
                <w:t>Definitions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1.2</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
              <w:r>
                <w:rPr>
                  <w:rStyle w:val="InternetLink"/>
                </w:rPr>
                <w:t>Other Definitional and Interpretative Provisions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6" w:type="dxa"/>
            <w:tcBorders/>
            <w:vAlign w:val="bottom"/>
          </w:tcPr>
          <w:p>
            <w:pPr>
              <w:pStyle w:val="TableContents"/>
              <w:bidi w:val="0"/>
              <w:spacing w:before="0" w:after="283"/>
              <w:jc w:val="left"/>
              <w:rPr/>
            </w:pPr>
            <w:r>
              <w:rPr/>
              <w:t> </w:t>
            </w:r>
          </w:p>
        </w:tc>
      </w:tr>
      <w:tr>
        <w:trPr>
          <w:trHeight w:val="120" w:hRule="atLeast"/>
        </w:trPr>
        <w:tc>
          <w:tcPr>
            <w:tcW w:w="9441" w:type="dxa"/>
            <w:gridSpan w:val="5"/>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5"/>
            <w:tcBorders/>
            <w:vAlign w:val="bottom"/>
          </w:tcPr>
          <w:p>
            <w:pPr>
              <w:pStyle w:val="TableContents"/>
              <w:bidi w:val="0"/>
              <w:spacing w:before="0" w:after="0"/>
              <w:jc w:val="left"/>
              <w:rPr/>
            </w:pPr>
            <w:hyperlink w:anchor="annextoc108148_4">
              <w:r>
                <w:rPr>
                  <w:rStyle w:val="InternetLink"/>
                  <w:rFonts w:ascii="Times New Roman" w:hAnsi="Times New Roman"/>
                  <w:sz w:val="20"/>
                </w:rPr>
                <w:t xml:space="preserve">Article II. Description of Transaction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6" w:type="dxa"/>
            <w:tcBorders/>
            <w:vAlign w:val="bottom"/>
          </w:tcPr>
          <w:p>
            <w:pPr>
              <w:pStyle w:val="TableContents"/>
              <w:bidi w:val="0"/>
              <w:spacing w:before="0" w:after="283"/>
              <w:jc w:val="left"/>
              <w:rPr/>
            </w:pPr>
            <w:r>
              <w:rPr/>
              <w:t> </w:t>
            </w:r>
          </w:p>
        </w:tc>
      </w:tr>
      <w:tr>
        <w:trPr>
          <w:trHeight w:val="120" w:hRule="atLeast"/>
        </w:trPr>
        <w:tc>
          <w:tcPr>
            <w:tcW w:w="384" w:type="dxa"/>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7689"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2.1</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5">
              <w:r>
                <w:rPr>
                  <w:rStyle w:val="InternetLink"/>
                </w:rPr>
                <w:t>The Merger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2.2</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6">
              <w:r>
                <w:rPr>
                  <w:rStyle w:val="InternetLink"/>
                </w:rPr>
                <w:t>Effects of the Merger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0"/>
              <w:jc w:val="left"/>
              <w:rPr/>
            </w:pPr>
            <w:r>
              <w:rPr/>
              <w:t>  </w:t>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2.3</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7">
              <w:r>
                <w:rPr>
                  <w:rStyle w:val="InternetLink"/>
                </w:rPr>
                <w:t>Closing; Effective Time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2.4</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8">
              <w:r>
                <w:rPr>
                  <w:rStyle w:val="InternetLink"/>
                </w:rPr>
                <w:t>Organizational Documents; Directors and Officers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2.5</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9">
              <w:r>
                <w:rPr>
                  <w:rStyle w:val="InternetLink"/>
                </w:rPr>
                <w:t>Conversion of Company, Merger Sub Equity Securities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2.6</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0">
              <w:r>
                <w:rPr>
                  <w:rStyle w:val="InternetLink"/>
                </w:rPr>
                <w:t>Closing of the Company’s Transfer Books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2.7</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1">
              <w:r>
                <w:rPr>
                  <w:rStyle w:val="InternetLink"/>
                </w:rPr>
                <w:t>Surrender of Company Capital Stock</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2.8</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2">
              <w:r>
                <w:rPr>
                  <w:rStyle w:val="InternetLink"/>
                </w:rPr>
                <w:t>Calculation of Net Cash and Company Valuation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2.9</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3">
              <w:r>
                <w:rPr>
                  <w:rStyle w:val="InternetLink"/>
                </w:rPr>
                <w:t>Further Action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2.10</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4">
              <w:r>
                <w:rPr>
                  <w:rStyle w:val="InternetLink"/>
                </w:rPr>
                <w:t>Intended Tax Treatment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2.11</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5">
              <w:r>
                <w:rPr>
                  <w:rStyle w:val="InternetLink"/>
                </w:rPr>
                <w:t>Withholding</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6" w:type="dxa"/>
            <w:tcBorders/>
            <w:vAlign w:val="bottom"/>
          </w:tcPr>
          <w:p>
            <w:pPr>
              <w:pStyle w:val="TableContents"/>
              <w:bidi w:val="0"/>
              <w:spacing w:before="0" w:after="283"/>
              <w:jc w:val="left"/>
              <w:rPr/>
            </w:pPr>
            <w:r>
              <w:rPr/>
              <w:t> </w:t>
            </w:r>
          </w:p>
        </w:tc>
      </w:tr>
      <w:tr>
        <w:trPr>
          <w:trHeight w:val="120" w:hRule="atLeast"/>
        </w:trPr>
        <w:tc>
          <w:tcPr>
            <w:tcW w:w="9441" w:type="dxa"/>
            <w:gridSpan w:val="5"/>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5"/>
            <w:tcBorders/>
            <w:vAlign w:val="bottom"/>
          </w:tcPr>
          <w:p>
            <w:pPr>
              <w:pStyle w:val="TableContents"/>
              <w:bidi w:val="0"/>
              <w:spacing w:before="0" w:after="0"/>
              <w:jc w:val="left"/>
              <w:rPr/>
            </w:pPr>
            <w:hyperlink w:anchor="annextoc108148_16">
              <w:r>
                <w:rPr>
                  <w:rStyle w:val="InternetLink"/>
                  <w:rFonts w:ascii="Times New Roman" w:hAnsi="Times New Roman"/>
                  <w:sz w:val="20"/>
                </w:rPr>
                <w:t xml:space="preserve">Article III. Representations and Warranties of the Company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6" w:type="dxa"/>
            <w:tcBorders/>
            <w:vAlign w:val="bottom"/>
          </w:tcPr>
          <w:p>
            <w:pPr>
              <w:pStyle w:val="TableContents"/>
              <w:bidi w:val="0"/>
              <w:spacing w:before="0" w:after="283"/>
              <w:jc w:val="left"/>
              <w:rPr/>
            </w:pPr>
            <w:r>
              <w:rPr/>
              <w:t> </w:t>
            </w:r>
          </w:p>
        </w:tc>
      </w:tr>
      <w:tr>
        <w:trPr>
          <w:trHeight w:val="120" w:hRule="atLeast"/>
        </w:trPr>
        <w:tc>
          <w:tcPr>
            <w:tcW w:w="384" w:type="dxa"/>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7689"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7">
              <w:r>
                <w:rPr>
                  <w:rStyle w:val="InternetLink"/>
                </w:rPr>
                <w:t>Due Organization; Subsidiaries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8">
              <w:r>
                <w:rPr>
                  <w:rStyle w:val="InternetLink"/>
                </w:rPr>
                <w:t>Organizational Documents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3.3</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19">
              <w:r>
                <w:rPr>
                  <w:rStyle w:val="InternetLink"/>
                </w:rPr>
                <w:t>Authority; Binding Nature of Agreement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3.4</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0">
              <w:r>
                <w:rPr>
                  <w:rStyle w:val="InternetLink"/>
                </w:rPr>
                <w:t>Vote Required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3.5</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1">
              <w:r>
                <w:rPr>
                  <w:rStyle w:val="InternetLink"/>
                </w:rPr>
                <w:t>Non-Contravention; Consents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3.6</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2">
              <w:r>
                <w:rPr>
                  <w:rStyle w:val="InternetLink"/>
                </w:rPr>
                <w:t>Capitalization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3.7</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3">
              <w:r>
                <w:rPr>
                  <w:rStyle w:val="InternetLink"/>
                </w:rPr>
                <w:t>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3.8</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4">
              <w:r>
                <w:rPr>
                  <w:rStyle w:val="InternetLink"/>
                </w:rPr>
                <w:t>Absence of Changes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3.9</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5">
              <w:r>
                <w:rPr>
                  <w:rStyle w:val="InternetLink"/>
                </w:rPr>
                <w:t>Absence of Undisclosed Liabilities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3.10</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6">
              <w:r>
                <w:rPr>
                  <w:rStyle w:val="InternetLink"/>
                </w:rPr>
                <w:t>Title to Assets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3.11</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7">
              <w:r>
                <w:rPr>
                  <w:rStyle w:val="InternetLink"/>
                </w:rPr>
                <w:t>Real Property; Leasehold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3.12</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8">
              <w:r>
                <w:rPr>
                  <w:rStyle w:val="InternetLink"/>
                </w:rPr>
                <w:t>Intellectual Property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3.13</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29">
              <w:r>
                <w:rPr>
                  <w:rStyle w:val="InternetLink"/>
                </w:rPr>
                <w:t>Agreements, Contracts and Commitments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3.14</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0">
              <w:r>
                <w:rPr>
                  <w:rStyle w:val="InternetLink"/>
                </w:rPr>
                <w:t>Compliance; Permits; Restrictions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3.15</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1">
              <w:r>
                <w:rPr>
                  <w:rStyle w:val="InternetLink"/>
                </w:rPr>
                <w:t>Legal Proceedings; Orders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3.16</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2">
              <w:r>
                <w:rPr>
                  <w:rStyle w:val="InternetLink"/>
                </w:rPr>
                <w:t>Tax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3.17</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3">
              <w:r>
                <w:rPr>
                  <w:rStyle w:val="InternetLink"/>
                </w:rPr>
                <w:t>Employee and Labor Matters; Benefit Plans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3.18</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4">
              <w:r>
                <w:rPr>
                  <w:rStyle w:val="InternetLink"/>
                </w:rPr>
                <w:t>Environmental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3.19</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5">
              <w:r>
                <w:rPr>
                  <w:rStyle w:val="InternetLink"/>
                </w:rPr>
                <w:t>Insurance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3.20</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6">
              <w:r>
                <w:rPr>
                  <w:rStyle w:val="InternetLink"/>
                </w:rPr>
                <w:t>No Financial Advisors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3.21</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7">
              <w:r>
                <w:rPr>
                  <w:rStyle w:val="InternetLink"/>
                </w:rPr>
                <w:t>Transactions with Affiliates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3.22</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8">
              <w:r>
                <w:rPr>
                  <w:rStyle w:val="InternetLink"/>
                </w:rPr>
                <w:t>Privacy and Data Security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3.23</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39">
              <w:r>
                <w:rPr>
                  <w:rStyle w:val="InternetLink"/>
                </w:rPr>
                <w:t>Certain Payments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3.24</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40">
              <w:r>
                <w:rPr>
                  <w:rStyle w:val="InternetLink"/>
                </w:rPr>
                <w:t>Trade Control Laws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3.25</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41">
              <w:r>
                <w:rPr>
                  <w:rStyle w:val="InternetLink"/>
                </w:rPr>
                <w:t>Ownership of Parent Capital Stock</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3.26</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42">
              <w:r>
                <w:rPr>
                  <w:rStyle w:val="InternetLink"/>
                </w:rPr>
                <w:t>Company Pre-Closing Financing</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6" w:type="dxa"/>
            <w:tcBorders/>
            <w:vAlign w:val="bottom"/>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Section 3.27</w:t>
            </w:r>
          </w:p>
        </w:tc>
        <w:tc>
          <w:tcPr>
            <w:tcW w:w="123" w:type="dxa"/>
            <w:tcBorders/>
            <w:vAlign w:val="bottom"/>
          </w:tcPr>
          <w:p>
            <w:pPr>
              <w:pStyle w:val="TableContents"/>
              <w:bidi w:val="0"/>
              <w:spacing w:before="0" w:after="283"/>
              <w:jc w:val="left"/>
              <w:rPr/>
            </w:pPr>
            <w:r>
              <w:rPr/>
              <w:t>  </w:t>
            </w:r>
          </w:p>
        </w:tc>
        <w:tc>
          <w:tcPr>
            <w:tcW w:w="7566" w:type="dxa"/>
            <w:tcBorders/>
            <w:vAlign w:val="bottom"/>
          </w:tcPr>
          <w:p>
            <w:pPr>
              <w:pStyle w:val="TableContents"/>
              <w:bidi w:val="0"/>
              <w:spacing w:before="0" w:after="283"/>
              <w:jc w:val="left"/>
              <w:rPr/>
            </w:pPr>
            <w:hyperlink w:anchor="annextoc108148_43">
              <w:r>
                <w:rPr>
                  <w:rStyle w:val="InternetLink"/>
                </w:rPr>
                <w:t>No Other Representations or Warranties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08"/>
        <w:gridCol w:w="125"/>
        <w:gridCol w:w="1258"/>
        <w:gridCol w:w="125"/>
        <w:gridCol w:w="7524"/>
        <w:gridCol w:w="125"/>
        <w:gridCol w:w="60"/>
        <w:gridCol w:w="517"/>
        <w:gridCol w:w="63"/>
      </w:tblGrid>
      <w:tr>
        <w:trPr/>
        <w:tc>
          <w:tcPr>
            <w:tcW w:w="40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5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40" w:type="dxa"/>
            <w:gridSpan w:val="5"/>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9440" w:type="dxa"/>
            <w:gridSpan w:val="5"/>
            <w:tcBorders/>
            <w:vAlign w:val="bottom"/>
          </w:tcPr>
          <w:p>
            <w:pPr>
              <w:pStyle w:val="TableContents"/>
              <w:bidi w:val="0"/>
              <w:spacing w:before="0" w:after="0"/>
              <w:jc w:val="left"/>
              <w:rPr/>
            </w:pPr>
            <w:hyperlink w:anchor="annextoc108148_44">
              <w:r>
                <w:rPr>
                  <w:rStyle w:val="InternetLink"/>
                  <w:rFonts w:ascii="Times New Roman" w:hAnsi="Times New Roman"/>
                  <w:sz w:val="20"/>
                </w:rPr>
                <w:t xml:space="preserve">Article IV. Representations and Warranties of Parent and Merger Sub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3" w:type="dxa"/>
            <w:tcBorders/>
            <w:vAlign w:val="bottom"/>
          </w:tcPr>
          <w:p>
            <w:pPr>
              <w:pStyle w:val="TableContents"/>
              <w:bidi w:val="0"/>
              <w:spacing w:before="0" w:after="283"/>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7649"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45">
              <w:r>
                <w:rPr>
                  <w:rStyle w:val="InternetLink"/>
                </w:rPr>
                <w:t>Due Organization; Subsidiaries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46">
              <w:r>
                <w:rPr>
                  <w:rStyle w:val="InternetLink"/>
                </w:rPr>
                <w:t>Organizational Documents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4.3</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47">
              <w:r>
                <w:rPr>
                  <w:rStyle w:val="InternetLink"/>
                </w:rPr>
                <w:t>Authority; Binding Nature of Agreement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4.4</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48">
              <w:r>
                <w:rPr>
                  <w:rStyle w:val="InternetLink"/>
                </w:rPr>
                <w:t>Vote Required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4.5</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49">
              <w:r>
                <w:rPr>
                  <w:rStyle w:val="InternetLink"/>
                </w:rPr>
                <w:t>Non-Contravention; Consents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0"/>
              <w:jc w:val="left"/>
              <w:rPr/>
            </w:pPr>
            <w:r>
              <w:rPr/>
              <w:t>  </w:t>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4.6</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0">
              <w:r>
                <w:rPr>
                  <w:rStyle w:val="InternetLink"/>
                </w:rPr>
                <w:t>Capitalization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4.7</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1">
              <w:r>
                <w:rPr>
                  <w:rStyle w:val="InternetLink"/>
                </w:rPr>
                <w:t>SEC Filings; Financial Statements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4.8</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2">
              <w:r>
                <w:rPr>
                  <w:rStyle w:val="InternetLink"/>
                </w:rPr>
                <w:t>Absence of Changes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4.9</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3">
              <w:r>
                <w:rPr>
                  <w:rStyle w:val="InternetLink"/>
                </w:rPr>
                <w:t>Absence of Undisclosed Liabilities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4.10</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4">
              <w:r>
                <w:rPr>
                  <w:rStyle w:val="InternetLink"/>
                </w:rPr>
                <w:t>Title to Assets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4.11</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5">
              <w:r>
                <w:rPr>
                  <w:rStyle w:val="InternetLink"/>
                </w:rPr>
                <w:t>Real Property; Leasehold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4.12</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6">
              <w:r>
                <w:rPr>
                  <w:rStyle w:val="InternetLink"/>
                </w:rPr>
                <w:t>Intellectual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4.13</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7">
              <w:r>
                <w:rPr>
                  <w:rStyle w:val="InternetLink"/>
                </w:rPr>
                <w:t>Agreements, Contracts and Commitments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4.14</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8">
              <w:r>
                <w:rPr>
                  <w:rStyle w:val="InternetLink"/>
                </w:rPr>
                <w:t>Compliance; Permits; Restrictions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A-48</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4.15</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59">
              <w:r>
                <w:rPr>
                  <w:rStyle w:val="InternetLink"/>
                </w:rPr>
                <w:t>Legal Proceedings; Orders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4.16</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0">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4.17</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1">
              <w:r>
                <w:rPr>
                  <w:rStyle w:val="InternetLink"/>
                </w:rPr>
                <w:t>Employee and Labor Matters; Benefit Plans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4.18</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2">
              <w:r>
                <w:rPr>
                  <w:rStyle w:val="InternetLink"/>
                </w:rPr>
                <w:t>Environmental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4.19</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3">
              <w:r>
                <w:rPr>
                  <w:rStyle w:val="InternetLink"/>
                </w:rPr>
                <w:t>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4.20</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4">
              <w:r>
                <w:rPr>
                  <w:rStyle w:val="InternetLink"/>
                </w:rPr>
                <w:t>Transactions with Affiliates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4.21</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5">
              <w:r>
                <w:rPr>
                  <w:rStyle w:val="InternetLink"/>
                </w:rPr>
                <w:t>No Financial Advisors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4.22</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6">
              <w:r>
                <w:rPr>
                  <w:rStyle w:val="InternetLink"/>
                </w:rPr>
                <w:t>Valid Issuance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4.23</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7">
              <w:r>
                <w:rPr>
                  <w:rStyle w:val="InternetLink"/>
                </w:rPr>
                <w:t>Privacy and Data Security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4.24</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8">
              <w:r>
                <w:rPr>
                  <w:rStyle w:val="InternetLink"/>
                </w:rPr>
                <w:t>Certain Payments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4.25</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69">
              <w:r>
                <w:rPr>
                  <w:rStyle w:val="InternetLink"/>
                </w:rPr>
                <w:t>Trade Control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A-55</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4.26</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0">
              <w:r>
                <w:rPr>
                  <w:rStyle w:val="InternetLink"/>
                </w:rPr>
                <w:t>No Other Representations or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A-55</w:t>
            </w:r>
          </w:p>
        </w:tc>
        <w:tc>
          <w:tcPr>
            <w:tcW w:w="63" w:type="dxa"/>
            <w:tcBorders/>
            <w:vAlign w:val="bottom"/>
          </w:tcPr>
          <w:p>
            <w:pPr>
              <w:pStyle w:val="TableContents"/>
              <w:bidi w:val="0"/>
              <w:spacing w:before="0" w:after="283"/>
              <w:jc w:val="left"/>
              <w:rPr/>
            </w:pPr>
            <w:r>
              <w:rPr/>
              <w:t> </w:t>
            </w:r>
          </w:p>
        </w:tc>
      </w:tr>
      <w:tr>
        <w:trPr>
          <w:trHeight w:val="120" w:hRule="atLeast"/>
        </w:trPr>
        <w:tc>
          <w:tcPr>
            <w:tcW w:w="9440" w:type="dxa"/>
            <w:gridSpan w:val="5"/>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9440" w:type="dxa"/>
            <w:gridSpan w:val="5"/>
            <w:tcBorders/>
            <w:vAlign w:val="bottom"/>
          </w:tcPr>
          <w:p>
            <w:pPr>
              <w:pStyle w:val="TableContents"/>
              <w:bidi w:val="0"/>
              <w:spacing w:before="0" w:after="0"/>
              <w:jc w:val="left"/>
              <w:rPr/>
            </w:pPr>
            <w:hyperlink w:anchor="annextoc108148_71">
              <w:r>
                <w:rPr>
                  <w:rStyle w:val="InternetLink"/>
                  <w:rFonts w:ascii="Times New Roman" w:hAnsi="Times New Roman"/>
                  <w:sz w:val="20"/>
                </w:rPr>
                <w:t>Article V. Certain Covenants of the Parties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A-55</w:t>
            </w:r>
          </w:p>
        </w:tc>
        <w:tc>
          <w:tcPr>
            <w:tcW w:w="63" w:type="dxa"/>
            <w:tcBorders/>
            <w:vAlign w:val="bottom"/>
          </w:tcPr>
          <w:p>
            <w:pPr>
              <w:pStyle w:val="TableContents"/>
              <w:bidi w:val="0"/>
              <w:spacing w:before="0" w:after="283"/>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7649"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5.1</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2">
              <w:r>
                <w:rPr>
                  <w:rStyle w:val="InternetLink"/>
                </w:rPr>
                <w:t>Operation of Parent’s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A-55</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5.2</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3">
              <w:r>
                <w:rPr>
                  <w:rStyle w:val="InternetLink"/>
                </w:rPr>
                <w:t>Operation of the Company’s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A-57</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5.3</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4">
              <w:r>
                <w:rPr>
                  <w:rStyle w:val="InternetLink"/>
                </w:rPr>
                <w:t>Access and Investigation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5.4</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5">
              <w:r>
                <w:rPr>
                  <w:rStyle w:val="InternetLink"/>
                </w:rPr>
                <w:t>No Solicitation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5.5</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6">
              <w:r>
                <w:rPr>
                  <w:rStyle w:val="InternetLink"/>
                </w:rPr>
                <w:t>Notification of Certain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5.6</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7">
              <w:r>
                <w:rPr>
                  <w:rStyle w:val="InternetLink"/>
                </w:rPr>
                <w:t>Parent Legacy Transaction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9440" w:type="dxa"/>
            <w:gridSpan w:val="5"/>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9440" w:type="dxa"/>
            <w:gridSpan w:val="5"/>
            <w:tcBorders/>
            <w:vAlign w:val="bottom"/>
          </w:tcPr>
          <w:p>
            <w:pPr>
              <w:pStyle w:val="TableContents"/>
              <w:bidi w:val="0"/>
              <w:spacing w:before="0" w:after="0"/>
              <w:jc w:val="left"/>
              <w:rPr/>
            </w:pPr>
            <w:hyperlink w:anchor="annextoc108148_78">
              <w:r>
                <w:rPr>
                  <w:rStyle w:val="InternetLink"/>
                  <w:rFonts w:ascii="Times New Roman" w:hAnsi="Times New Roman"/>
                  <w:sz w:val="20"/>
                </w:rPr>
                <w:t>Article VI. Additional Agreements of the Parties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7649"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6.1</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79">
              <w:r>
                <w:rPr>
                  <w:rStyle w:val="InternetLink"/>
                </w:rPr>
                <w:t>Registration Statement, Proxy Statement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6.2</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0">
              <w:r>
                <w:rPr>
                  <w:rStyle w:val="InternetLink"/>
                </w:rPr>
                <w:t>Company Stockholder Written Consent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A-63</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6.3</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1">
              <w:r>
                <w:rPr>
                  <w:rStyle w:val="InternetLink"/>
                </w:rPr>
                <w:t>Parent Stockholder Meeting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A-64</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6.4</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2">
              <w:r>
                <w:rPr>
                  <w:rStyle w:val="InternetLink"/>
                </w:rPr>
                <w:t>Efforts; Regulatory Approvals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6.5</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3">
              <w:r>
                <w:rPr>
                  <w:rStyle w:val="InternetLink"/>
                </w:rPr>
                <w:t>Company Options; Company Warrants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A-66</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6.6</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4">
              <w:r>
                <w:rPr>
                  <w:rStyle w:val="InternetLink"/>
                </w:rPr>
                <w:t>Employee Benefits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6.7</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5">
              <w:r>
                <w:rPr>
                  <w:rStyle w:val="InternetLink"/>
                </w:rPr>
                <w:t>Indemnification of Officers and Directors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6.8</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6">
              <w:r>
                <w:rPr>
                  <w:rStyle w:val="InternetLink"/>
                </w:rPr>
                <w:t>Disclosure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6.9</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7">
              <w:r>
                <w:rPr>
                  <w:rStyle w:val="InternetLink"/>
                </w:rPr>
                <w:t>Listing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6.10</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8">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6.11</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89">
              <w:r>
                <w:rPr>
                  <w:rStyle w:val="InternetLink"/>
                </w:rPr>
                <w:t>Legends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r>
        <w:trPr/>
        <w:tc>
          <w:tcPr>
            <w:tcW w:w="40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left"/>
              <w:rPr/>
            </w:pPr>
            <w:r>
              <w:rPr/>
              <w:t>Section 6.12</w:t>
            </w:r>
          </w:p>
        </w:tc>
        <w:tc>
          <w:tcPr>
            <w:tcW w:w="12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hyperlink w:anchor="annextoc108148_90">
              <w:r>
                <w:rPr>
                  <w:rStyle w:val="InternetLink"/>
                </w:rPr>
                <w:t>Officers and Directors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88"/>
        <w:gridCol w:w="121"/>
        <w:gridCol w:w="1336"/>
        <w:gridCol w:w="121"/>
        <w:gridCol w:w="7579"/>
        <w:gridCol w:w="121"/>
        <w:gridCol w:w="60"/>
        <w:gridCol w:w="515"/>
        <w:gridCol w:w="64"/>
      </w:tblGrid>
      <w:tr>
        <w:trPr/>
        <w:tc>
          <w:tcPr>
            <w:tcW w:w="28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6.13</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1">
              <w:r>
                <w:rPr>
                  <w:rStyle w:val="InternetLink"/>
                </w:rPr>
                <w:t>Termination of Certain Agreements and Rights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6.14</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2">
              <w:r>
                <w:rPr>
                  <w:rStyle w:val="InternetLink"/>
                </w:rPr>
                <w:t>Section 16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6.15</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3">
              <w:r>
                <w:rPr>
                  <w:rStyle w:val="InternetLink"/>
                </w:rPr>
                <w:t>Allocation Information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6.16</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4">
              <w:r>
                <w:rPr>
                  <w:rStyle w:val="InternetLink"/>
                </w:rPr>
                <w:t>Parent SEC Documents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6.17</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5">
              <w:r>
                <w:rPr>
                  <w:rStyle w:val="InternetLink"/>
                </w:rPr>
                <w:t>Notice of Certain Transactions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6.18</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6">
              <w:r>
                <w:rPr>
                  <w:rStyle w:val="InternetLink"/>
                </w:rPr>
                <w:t>Obligations of Merger Sub</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6.19</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7">
              <w:r>
                <w:rPr>
                  <w:rStyle w:val="InternetLink"/>
                </w:rPr>
                <w:t>Company Pre-Closing Financing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6.20</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98">
              <w:r>
                <w:rPr>
                  <w:rStyle w:val="InternetLink"/>
                </w:rPr>
                <w:t>Parent Pre-Closing Dividend</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5"/>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5"/>
            <w:tcBorders/>
            <w:vAlign w:val="bottom"/>
          </w:tcPr>
          <w:p>
            <w:pPr>
              <w:pStyle w:val="TableContents"/>
              <w:bidi w:val="0"/>
              <w:spacing w:before="0" w:after="0"/>
              <w:jc w:val="left"/>
              <w:rPr/>
            </w:pPr>
            <w:hyperlink w:anchor="annextoc108148_99">
              <w:r>
                <w:rPr>
                  <w:rStyle w:val="InternetLink"/>
                  <w:rFonts w:ascii="Times New Roman" w:hAnsi="Times New Roman"/>
                  <w:sz w:val="20"/>
                </w:rPr>
                <w:t xml:space="preserve">Article VII. Conditions Precedent to Obligations of Each Party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rHeight w:val="120" w:hRule="atLeast"/>
        </w:trPr>
        <w:tc>
          <w:tcPr>
            <w:tcW w:w="288" w:type="dxa"/>
            <w:tcBorders/>
            <w:vAlign w:val="center"/>
          </w:tcPr>
          <w:p>
            <w:pPr>
              <w:pStyle w:val="TableContents"/>
              <w:bidi w:val="0"/>
              <w:spacing w:before="0" w:after="283"/>
              <w:jc w:val="left"/>
              <w:rPr>
                <w:sz w:val="4"/>
                <w:szCs w:val="4"/>
              </w:rPr>
            </w:pPr>
            <w:r>
              <w:rPr>
                <w:sz w:val="4"/>
                <w:szCs w:val="4"/>
              </w:rPr>
            </w:r>
          </w:p>
        </w:tc>
        <w:tc>
          <w:tcPr>
            <w:tcW w:w="1457" w:type="dxa"/>
            <w:gridSpan w:val="2"/>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7.1</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0">
              <w:r>
                <w:rPr>
                  <w:rStyle w:val="InternetLink"/>
                </w:rPr>
                <w:t>No Restraints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7.2</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1">
              <w:r>
                <w:rPr>
                  <w:rStyle w:val="InternetLink"/>
                </w:rPr>
                <w:t>Stockholder Approval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7.3</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2">
              <w:r>
                <w:rPr>
                  <w:rStyle w:val="InternetLink"/>
                </w:rPr>
                <w:t>Listing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7.4</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3">
              <w:r>
                <w:rPr>
                  <w:rStyle w:val="InternetLink"/>
                </w:rPr>
                <w:t>Effectiveness of Registration Statement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7.5</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4">
              <w:r>
                <w:rPr>
                  <w:rStyle w:val="InternetLink"/>
                </w:rPr>
                <w:t>Regulatory Approvals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5"/>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5"/>
            <w:tcBorders/>
            <w:vAlign w:val="bottom"/>
          </w:tcPr>
          <w:p>
            <w:pPr>
              <w:pStyle w:val="TableContents"/>
              <w:bidi w:val="0"/>
              <w:spacing w:before="0" w:after="0"/>
              <w:jc w:val="left"/>
              <w:rPr/>
            </w:pPr>
            <w:hyperlink w:anchor="annextoc108148_105">
              <w:r>
                <w:rPr>
                  <w:rStyle w:val="InternetLink"/>
                  <w:rFonts w:ascii="Times New Roman" w:hAnsi="Times New Roman"/>
                  <w:sz w:val="20"/>
                </w:rPr>
                <w:t xml:space="preserve">Article VIII. Additional Conditions Precedent to Obligations of Parent and Merger Sub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rHeight w:val="120" w:hRule="atLeast"/>
        </w:trPr>
        <w:tc>
          <w:tcPr>
            <w:tcW w:w="288" w:type="dxa"/>
            <w:tcBorders/>
            <w:vAlign w:val="center"/>
          </w:tcPr>
          <w:p>
            <w:pPr>
              <w:pStyle w:val="TableContents"/>
              <w:bidi w:val="0"/>
              <w:spacing w:before="0" w:after="283"/>
              <w:jc w:val="left"/>
              <w:rPr>
                <w:sz w:val="4"/>
                <w:szCs w:val="4"/>
              </w:rPr>
            </w:pPr>
            <w:r>
              <w:rPr>
                <w:sz w:val="4"/>
                <w:szCs w:val="4"/>
              </w:rPr>
            </w:r>
          </w:p>
        </w:tc>
        <w:tc>
          <w:tcPr>
            <w:tcW w:w="1457" w:type="dxa"/>
            <w:gridSpan w:val="2"/>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8.1</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6">
              <w:r>
                <w:rPr>
                  <w:rStyle w:val="InternetLink"/>
                </w:rPr>
                <w:t>Accuracy of Representations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8.2</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7">
              <w:r>
                <w:rPr>
                  <w:rStyle w:val="InternetLink"/>
                </w:rPr>
                <w:t>Performance of Covenants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8.3</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8">
              <w:r>
                <w:rPr>
                  <w:rStyle w:val="InternetLink"/>
                </w:rPr>
                <w:t>Documents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8.4</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09">
              <w:r>
                <w:rPr>
                  <w:rStyle w:val="InternetLink"/>
                </w:rPr>
                <w:t>No Company Material Adverse Effect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8.5</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0">
              <w:r>
                <w:rPr>
                  <w:rStyle w:val="InternetLink"/>
                </w:rPr>
                <w:t>Company Stockholder Written Consent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8.6</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1">
              <w:r>
                <w:rPr>
                  <w:rStyle w:val="InternetLink"/>
                </w:rPr>
                <w:t>Termination of Investor Agreements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8.7</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2">
              <w:r>
                <w:rPr>
                  <w:rStyle w:val="InternetLink"/>
                </w:rPr>
                <w:t>License Agreement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8.8</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3">
              <w:r>
                <w:rPr>
                  <w:rStyle w:val="InternetLink"/>
                </w:rPr>
                <w:t>Company Pre-Closing Financing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5"/>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5"/>
            <w:tcBorders/>
            <w:vAlign w:val="bottom"/>
          </w:tcPr>
          <w:p>
            <w:pPr>
              <w:pStyle w:val="TableContents"/>
              <w:bidi w:val="0"/>
              <w:spacing w:before="0" w:after="0"/>
              <w:jc w:val="left"/>
              <w:rPr/>
            </w:pPr>
            <w:hyperlink w:anchor="annextoc108148_114">
              <w:r>
                <w:rPr>
                  <w:rStyle w:val="InternetLink"/>
                  <w:rFonts w:ascii="Times New Roman" w:hAnsi="Times New Roman"/>
                  <w:sz w:val="20"/>
                </w:rPr>
                <w:t xml:space="preserve">Article IX. Additional Conditions Precedent to Obligation of the Company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rHeight w:val="120" w:hRule="atLeast"/>
        </w:trPr>
        <w:tc>
          <w:tcPr>
            <w:tcW w:w="288" w:type="dxa"/>
            <w:tcBorders/>
            <w:vAlign w:val="center"/>
          </w:tcPr>
          <w:p>
            <w:pPr>
              <w:pStyle w:val="TableContents"/>
              <w:bidi w:val="0"/>
              <w:spacing w:before="0" w:after="283"/>
              <w:jc w:val="left"/>
              <w:rPr>
                <w:sz w:val="4"/>
                <w:szCs w:val="4"/>
              </w:rPr>
            </w:pPr>
            <w:r>
              <w:rPr>
                <w:sz w:val="4"/>
                <w:szCs w:val="4"/>
              </w:rPr>
            </w:r>
          </w:p>
        </w:tc>
        <w:tc>
          <w:tcPr>
            <w:tcW w:w="1457" w:type="dxa"/>
            <w:gridSpan w:val="2"/>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9.1</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5">
              <w:r>
                <w:rPr>
                  <w:rStyle w:val="InternetLink"/>
                </w:rPr>
                <w:t>Accuracy of Representations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9.2</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6">
              <w:r>
                <w:rPr>
                  <w:rStyle w:val="InternetLink"/>
                </w:rPr>
                <w:t>Performance of Covenants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9.3</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7">
              <w:r>
                <w:rPr>
                  <w:rStyle w:val="InternetLink"/>
                </w:rPr>
                <w:t>Documents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9.4</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8">
              <w:r>
                <w:rPr>
                  <w:rStyle w:val="InternetLink"/>
                </w:rPr>
                <w:t>No Parent Material Adverse Effect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9.5</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19">
              <w:r>
                <w:rPr>
                  <w:rStyle w:val="InternetLink"/>
                </w:rPr>
                <w:t>Parent Pre-Closing Dividend</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5"/>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5"/>
            <w:tcBorders/>
            <w:vAlign w:val="bottom"/>
          </w:tcPr>
          <w:p>
            <w:pPr>
              <w:pStyle w:val="TableContents"/>
              <w:bidi w:val="0"/>
              <w:spacing w:before="0" w:after="0"/>
              <w:jc w:val="left"/>
              <w:rPr/>
            </w:pPr>
            <w:hyperlink w:anchor="annextoc108148_120">
              <w:r>
                <w:rPr>
                  <w:rStyle w:val="InternetLink"/>
                  <w:rFonts w:ascii="Times New Roman" w:hAnsi="Times New Roman"/>
                  <w:sz w:val="20"/>
                </w:rPr>
                <w:t xml:space="preserve">Article X. Termination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rHeight w:val="120" w:hRule="atLeast"/>
        </w:trPr>
        <w:tc>
          <w:tcPr>
            <w:tcW w:w="288" w:type="dxa"/>
            <w:tcBorders/>
            <w:vAlign w:val="center"/>
          </w:tcPr>
          <w:p>
            <w:pPr>
              <w:pStyle w:val="TableContents"/>
              <w:bidi w:val="0"/>
              <w:spacing w:before="0" w:after="283"/>
              <w:jc w:val="left"/>
              <w:rPr>
                <w:sz w:val="4"/>
                <w:szCs w:val="4"/>
              </w:rPr>
            </w:pPr>
            <w:r>
              <w:rPr>
                <w:sz w:val="4"/>
                <w:szCs w:val="4"/>
              </w:rPr>
            </w:r>
          </w:p>
        </w:tc>
        <w:tc>
          <w:tcPr>
            <w:tcW w:w="1457" w:type="dxa"/>
            <w:gridSpan w:val="2"/>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10.1</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1">
              <w:r>
                <w:rPr>
                  <w:rStyle w:val="InternetLink"/>
                </w:rPr>
                <w:t>Termination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10.2</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2">
              <w:r>
                <w:rPr>
                  <w:rStyle w:val="InternetLink"/>
                </w:rPr>
                <w:t>Effect of Termination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10.3</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3">
              <w:r>
                <w:rPr>
                  <w:rStyle w:val="InternetLink"/>
                </w:rPr>
                <w:t>Expenses; Termination Fees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5"/>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5"/>
            <w:tcBorders/>
            <w:vAlign w:val="bottom"/>
          </w:tcPr>
          <w:p>
            <w:pPr>
              <w:pStyle w:val="TableContents"/>
              <w:bidi w:val="0"/>
              <w:spacing w:before="0" w:after="0"/>
              <w:jc w:val="left"/>
              <w:rPr/>
            </w:pPr>
            <w:hyperlink w:anchor="annextoc108148_124">
              <w:r>
                <w:rPr>
                  <w:rStyle w:val="InternetLink"/>
                  <w:rFonts w:ascii="Times New Roman" w:hAnsi="Times New Roman"/>
                  <w:sz w:val="20"/>
                </w:rPr>
                <w:t xml:space="preserve">Article XI. Miscellaneous Provisions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rHeight w:val="120" w:hRule="atLeast"/>
        </w:trPr>
        <w:tc>
          <w:tcPr>
            <w:tcW w:w="288" w:type="dxa"/>
            <w:tcBorders/>
            <w:vAlign w:val="center"/>
          </w:tcPr>
          <w:p>
            <w:pPr>
              <w:pStyle w:val="TableContents"/>
              <w:bidi w:val="0"/>
              <w:spacing w:before="0" w:after="283"/>
              <w:jc w:val="left"/>
              <w:rPr>
                <w:sz w:val="4"/>
                <w:szCs w:val="4"/>
              </w:rPr>
            </w:pPr>
            <w:r>
              <w:rPr>
                <w:sz w:val="4"/>
                <w:szCs w:val="4"/>
              </w:rPr>
            </w:r>
          </w:p>
        </w:tc>
        <w:tc>
          <w:tcPr>
            <w:tcW w:w="1457" w:type="dxa"/>
            <w:gridSpan w:val="2"/>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11.1</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5">
              <w:r>
                <w:rPr>
                  <w:rStyle w:val="InternetLink"/>
                </w:rPr>
                <w:t>Non-Survival of Representations and Warranties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11.2</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6">
              <w:r>
                <w:rPr>
                  <w:rStyle w:val="InternetLink"/>
                </w:rPr>
                <w:t>Amendment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11.3</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7">
              <w:r>
                <w:rPr>
                  <w:rStyle w:val="InternetLink"/>
                </w:rPr>
                <w:t>Waiver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11.4</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8">
              <w:r>
                <w:rPr>
                  <w:rStyle w:val="InternetLink"/>
                </w:rPr>
                <w:t>Entire Agreement; Counterparts; Exchanges by Electronic Transmission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11.5</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29">
              <w:r>
                <w:rPr>
                  <w:rStyle w:val="InternetLink"/>
                </w:rPr>
                <w:t>Applicable Law; Jurisdiction; WAIVER OF RIGHT TO TRIAL BY JURY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11.6</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30">
              <w:r>
                <w:rPr>
                  <w:rStyle w:val="InternetLink"/>
                </w:rPr>
                <w:t>Assignability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11.7</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31">
              <w:r>
                <w:rPr>
                  <w:rStyle w:val="InternetLink"/>
                </w:rPr>
                <w:t>Notices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11.8</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32">
              <w:r>
                <w:rPr>
                  <w:rStyle w:val="InternetLink"/>
                </w:rPr>
                <w:t>Cooperation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11.9</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33">
              <w:r>
                <w:rPr>
                  <w:rStyle w:val="InternetLink"/>
                </w:rPr>
                <w:t>Severability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11.10</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34">
              <w:r>
                <w:rPr>
                  <w:rStyle w:val="InternetLink"/>
                </w:rPr>
                <w:t>Other Remedies; Specific Performance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2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Section 11.11</w:t>
            </w:r>
          </w:p>
        </w:tc>
        <w:tc>
          <w:tcPr>
            <w:tcW w:w="121" w:type="dxa"/>
            <w:tcBorders/>
            <w:vAlign w:val="bottom"/>
          </w:tcPr>
          <w:p>
            <w:pPr>
              <w:pStyle w:val="TableContents"/>
              <w:bidi w:val="0"/>
              <w:spacing w:before="0" w:after="283"/>
              <w:jc w:val="left"/>
              <w:rPr/>
            </w:pPr>
            <w:r>
              <w:rPr/>
              <w:t>  </w:t>
            </w:r>
          </w:p>
        </w:tc>
        <w:tc>
          <w:tcPr>
            <w:tcW w:w="7579" w:type="dxa"/>
            <w:tcBorders/>
            <w:vAlign w:val="bottom"/>
          </w:tcPr>
          <w:p>
            <w:pPr>
              <w:pStyle w:val="TableContents"/>
              <w:bidi w:val="0"/>
              <w:spacing w:before="0" w:after="283"/>
              <w:jc w:val="left"/>
              <w:rPr/>
            </w:pPr>
            <w:hyperlink w:anchor="annextoc108148_135">
              <w:r>
                <w:rPr>
                  <w:rStyle w:val="InternetLink"/>
                </w:rPr>
                <w:t>No Third-Party Beneficiaries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1"/>
        <w:gridCol w:w="206"/>
        <w:gridCol w:w="8948"/>
      </w:tblGrid>
      <w:tr>
        <w:trPr/>
        <w:tc>
          <w:tcPr>
            <w:tcW w:w="1051"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8948" w:type="dxa"/>
            <w:tcBorders/>
            <w:vAlign w:val="center"/>
          </w:tcPr>
          <w:p>
            <w:pPr>
              <w:pStyle w:val="TableContents"/>
              <w:bidi w:val="0"/>
              <w:spacing w:before="0" w:after="283"/>
              <w:jc w:val="left"/>
              <w:rPr>
                <w:sz w:val="4"/>
                <w:szCs w:val="4"/>
              </w:rPr>
            </w:pPr>
            <w:r>
              <w:rPr>
                <w:sz w:val="4"/>
                <w:szCs w:val="4"/>
              </w:rPr>
            </w:r>
          </w:p>
        </w:tc>
      </w:tr>
      <w:tr>
        <w:trPr/>
        <w:tc>
          <w:tcPr>
            <w:tcW w:w="1051" w:type="dxa"/>
            <w:tcBorders/>
          </w:tcPr>
          <w:p>
            <w:pPr>
              <w:pStyle w:val="TableContents"/>
              <w:bidi w:val="0"/>
              <w:spacing w:before="0" w:after="283"/>
              <w:jc w:val="left"/>
              <w:rPr/>
            </w:pPr>
            <w:r>
              <w:rPr/>
              <w:t>Exhibit A-1</w:t>
            </w:r>
          </w:p>
        </w:tc>
        <w:tc>
          <w:tcPr>
            <w:tcW w:w="206" w:type="dxa"/>
            <w:tcBorders/>
            <w:vAlign w:val="bottom"/>
          </w:tcPr>
          <w:p>
            <w:pPr>
              <w:pStyle w:val="TableContents"/>
              <w:bidi w:val="0"/>
              <w:spacing w:before="0" w:after="283"/>
              <w:jc w:val="left"/>
              <w:rPr/>
            </w:pPr>
            <w:r>
              <w:rPr/>
              <w:t>  </w:t>
            </w:r>
          </w:p>
        </w:tc>
        <w:tc>
          <w:tcPr>
            <w:tcW w:w="8948" w:type="dxa"/>
            <w:tcBorders/>
          </w:tcPr>
          <w:p>
            <w:pPr>
              <w:pStyle w:val="TableContents"/>
              <w:bidi w:val="0"/>
              <w:spacing w:before="0" w:after="283"/>
              <w:jc w:val="left"/>
              <w:rPr/>
            </w:pPr>
            <w:r>
              <w:rPr/>
              <w:t>Form of Parent Stockholder Support Agreement</w:t>
            </w:r>
          </w:p>
        </w:tc>
      </w:tr>
      <w:tr>
        <w:trPr/>
        <w:tc>
          <w:tcPr>
            <w:tcW w:w="1051" w:type="dxa"/>
            <w:tcBorders/>
          </w:tcPr>
          <w:p>
            <w:pPr>
              <w:pStyle w:val="TableContents"/>
              <w:bidi w:val="0"/>
              <w:spacing w:before="0" w:after="283"/>
              <w:jc w:val="left"/>
              <w:rPr/>
            </w:pPr>
            <w:r>
              <w:rPr/>
              <w:t>Exhibit A-2</w:t>
            </w:r>
          </w:p>
        </w:tc>
        <w:tc>
          <w:tcPr>
            <w:tcW w:w="206" w:type="dxa"/>
            <w:tcBorders/>
            <w:vAlign w:val="bottom"/>
          </w:tcPr>
          <w:p>
            <w:pPr>
              <w:pStyle w:val="TableContents"/>
              <w:bidi w:val="0"/>
              <w:spacing w:before="0" w:after="283"/>
              <w:jc w:val="left"/>
              <w:rPr/>
            </w:pPr>
            <w:r>
              <w:rPr/>
              <w:t>  </w:t>
            </w:r>
          </w:p>
        </w:tc>
        <w:tc>
          <w:tcPr>
            <w:tcW w:w="8948" w:type="dxa"/>
            <w:tcBorders/>
          </w:tcPr>
          <w:p>
            <w:pPr>
              <w:pStyle w:val="TableContents"/>
              <w:bidi w:val="0"/>
              <w:spacing w:before="0" w:after="283"/>
              <w:jc w:val="left"/>
              <w:rPr/>
            </w:pPr>
            <w:r>
              <w:rPr/>
              <w:t>Form of Company Stockholder Support Agreement</w:t>
            </w:r>
          </w:p>
        </w:tc>
      </w:tr>
      <w:tr>
        <w:trPr/>
        <w:tc>
          <w:tcPr>
            <w:tcW w:w="1051" w:type="dxa"/>
            <w:tcBorders/>
          </w:tcPr>
          <w:p>
            <w:pPr>
              <w:pStyle w:val="TableContents"/>
              <w:bidi w:val="0"/>
              <w:spacing w:before="0" w:after="283"/>
              <w:jc w:val="left"/>
              <w:rPr/>
            </w:pPr>
            <w:r>
              <w:rPr/>
              <w:t>Exhibit B</w:t>
            </w:r>
          </w:p>
        </w:tc>
        <w:tc>
          <w:tcPr>
            <w:tcW w:w="206" w:type="dxa"/>
            <w:tcBorders/>
            <w:vAlign w:val="bottom"/>
          </w:tcPr>
          <w:p>
            <w:pPr>
              <w:pStyle w:val="TableContents"/>
              <w:bidi w:val="0"/>
              <w:spacing w:before="0" w:after="283"/>
              <w:jc w:val="left"/>
              <w:rPr/>
            </w:pPr>
            <w:r>
              <w:rPr/>
              <w:t>  </w:t>
            </w:r>
          </w:p>
        </w:tc>
        <w:tc>
          <w:tcPr>
            <w:tcW w:w="8948" w:type="dxa"/>
            <w:tcBorders/>
          </w:tcPr>
          <w:p>
            <w:pPr>
              <w:pStyle w:val="TableContents"/>
              <w:bidi w:val="0"/>
              <w:spacing w:before="0" w:after="283"/>
              <w:jc w:val="left"/>
              <w:rPr/>
            </w:pPr>
            <w:r>
              <w:rPr/>
              <w:t>Form of Lock-Up Agreement</w:t>
            </w:r>
          </w:p>
        </w:tc>
      </w:tr>
      <w:tr>
        <w:trPr/>
        <w:tc>
          <w:tcPr>
            <w:tcW w:w="1051" w:type="dxa"/>
            <w:tcBorders/>
          </w:tcPr>
          <w:p>
            <w:pPr>
              <w:pStyle w:val="TableContents"/>
              <w:bidi w:val="0"/>
              <w:spacing w:before="0" w:after="283"/>
              <w:jc w:val="left"/>
              <w:rPr/>
            </w:pPr>
            <w:r>
              <w:rPr/>
              <w:t>Exhibit C</w:t>
            </w:r>
          </w:p>
        </w:tc>
        <w:tc>
          <w:tcPr>
            <w:tcW w:w="206" w:type="dxa"/>
            <w:tcBorders/>
            <w:vAlign w:val="bottom"/>
          </w:tcPr>
          <w:p>
            <w:pPr>
              <w:pStyle w:val="TableContents"/>
              <w:bidi w:val="0"/>
              <w:spacing w:before="0" w:after="283"/>
              <w:jc w:val="left"/>
              <w:rPr/>
            </w:pPr>
            <w:r>
              <w:rPr/>
              <w:t>  </w:t>
            </w:r>
          </w:p>
        </w:tc>
        <w:tc>
          <w:tcPr>
            <w:tcW w:w="8948" w:type="dxa"/>
            <w:tcBorders/>
          </w:tcPr>
          <w:p>
            <w:pPr>
              <w:pStyle w:val="TableContents"/>
              <w:bidi w:val="0"/>
              <w:spacing w:before="0" w:after="283"/>
              <w:jc w:val="left"/>
              <w:rPr/>
            </w:pPr>
            <w:r>
              <w:rPr/>
              <w:t>Form of Subscription Agreement</w:t>
            </w:r>
          </w:p>
        </w:tc>
      </w:tr>
      <w:tr>
        <w:trPr/>
        <w:tc>
          <w:tcPr>
            <w:tcW w:w="1051" w:type="dxa"/>
            <w:tcBorders/>
          </w:tcPr>
          <w:p>
            <w:pPr>
              <w:pStyle w:val="TableContents"/>
              <w:bidi w:val="0"/>
              <w:spacing w:before="0" w:after="283"/>
              <w:jc w:val="left"/>
              <w:rPr/>
            </w:pPr>
            <w:r>
              <w:rPr/>
              <w:t>Exhibit D</w:t>
            </w:r>
          </w:p>
        </w:tc>
        <w:tc>
          <w:tcPr>
            <w:tcW w:w="206" w:type="dxa"/>
            <w:tcBorders/>
            <w:vAlign w:val="bottom"/>
          </w:tcPr>
          <w:p>
            <w:pPr>
              <w:pStyle w:val="TableContents"/>
              <w:bidi w:val="0"/>
              <w:spacing w:before="0" w:after="283"/>
              <w:jc w:val="left"/>
              <w:rPr/>
            </w:pPr>
            <w:r>
              <w:rPr/>
              <w:t>  </w:t>
            </w:r>
          </w:p>
        </w:tc>
        <w:tc>
          <w:tcPr>
            <w:tcW w:w="8948" w:type="dxa"/>
            <w:tcBorders/>
          </w:tcPr>
          <w:p>
            <w:pPr>
              <w:pStyle w:val="TableContents"/>
              <w:bidi w:val="0"/>
              <w:spacing w:before="0" w:after="283"/>
              <w:jc w:val="left"/>
              <w:rPr/>
            </w:pPr>
            <w:r>
              <w:rPr/>
              <w:t>Certificate of Merger, including certificate of incorporation of the Surviving Corporation attached as Exhibit A thereto, incorporated by reference into this Agreement</w:t>
            </w:r>
          </w:p>
        </w:tc>
      </w:tr>
      <w:tr>
        <w:trPr/>
        <w:tc>
          <w:tcPr>
            <w:tcW w:w="1051" w:type="dxa"/>
            <w:tcBorders/>
          </w:tcPr>
          <w:p>
            <w:pPr>
              <w:pStyle w:val="TableContents"/>
              <w:bidi w:val="0"/>
              <w:spacing w:before="0" w:after="283"/>
              <w:jc w:val="left"/>
              <w:rPr/>
            </w:pPr>
            <w:r>
              <w:rPr/>
              <w:t>Exhibit E</w:t>
            </w:r>
          </w:p>
        </w:tc>
        <w:tc>
          <w:tcPr>
            <w:tcW w:w="206" w:type="dxa"/>
            <w:tcBorders/>
            <w:vAlign w:val="bottom"/>
          </w:tcPr>
          <w:p>
            <w:pPr>
              <w:pStyle w:val="TableContents"/>
              <w:bidi w:val="0"/>
              <w:spacing w:before="0" w:after="283"/>
              <w:jc w:val="left"/>
              <w:rPr/>
            </w:pPr>
            <w:r>
              <w:rPr/>
              <w:t>  </w:t>
            </w:r>
          </w:p>
        </w:tc>
        <w:tc>
          <w:tcPr>
            <w:tcW w:w="8948" w:type="dxa"/>
            <w:tcBorders/>
          </w:tcPr>
          <w:p>
            <w:pPr>
              <w:pStyle w:val="TableContents"/>
              <w:bidi w:val="0"/>
              <w:spacing w:before="0" w:after="283"/>
              <w:jc w:val="left"/>
              <w:rPr/>
            </w:pPr>
            <w:r>
              <w:rPr/>
              <w:t>Form of Company Stockholder Written Consent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0" w:name="ii108148_12"/>
      <w:bookmarkStart w:id="101" w:name="tx108148_44"/>
      <w:bookmarkStart w:id="102" w:name="ii108148_11"/>
      <w:bookmarkEnd w:id="100"/>
      <w:bookmarkEnd w:id="101"/>
      <w:bookmarkEnd w:id="102"/>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 xml:space="preserve">THIS AGREEMENT AND PLAN OF MERGER AND REORGANIZATION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June 22, 2026, by and among </w:t>
      </w:r>
      <w:r>
        <w:rPr>
          <w:rFonts w:ascii="Times New Roman" w:hAnsi="Times New Roman"/>
          <w:b/>
          <w:sz w:val="20"/>
        </w:rPr>
        <w:t>BOUNDLESS BIO, INC.</w:t>
      </w:r>
      <w:r>
        <w:rPr>
          <w:rFonts w:ascii="Times New Roman" w:hAnsi="Times New Roman"/>
          <w:sz w:val="20"/>
        </w:rPr>
        <w:t>, a Delaware corporation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BOULDER MERGER SUB CORP.</w:t>
      </w:r>
      <w:r>
        <w:rPr>
          <w:rFonts w:ascii="Times New Roman" w:hAnsi="Times New Roman"/>
          <w:sz w:val="20"/>
        </w:rPr>
        <w:t>, a Delaware corporation and wholly owned subsidiary of Parent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SERAPHA BIO,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Parent and the Company intend to effect a merger of Merger Sub with and into the Company (the “</w:t>
      </w:r>
      <w:r>
        <w:rPr>
          <w:rFonts w:ascii="Times New Roman" w:hAnsi="Times New Roman"/>
          <w:b/>
          <w:sz w:val="20"/>
        </w:rPr>
        <w:t>Merger</w:t>
      </w:r>
      <w:r>
        <w:rPr>
          <w:rFonts w:ascii="Times New Roman" w:hAnsi="Times New Roman"/>
          <w:sz w:val="20"/>
        </w:rPr>
        <w:t xml:space="preserve">”) in accordance with this Agreement and the DGCL. Upon consummation of the Merger, Merger Sub will cease to exist and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intend that, (i) the Merger qualifies as a “reorganization” within the meaning of Section 368(a) of the Code, and/or a transfer within the meaning of Section 351(a) of the Code, and (ii) this Agreement will constitute, and is hereby adopted as, a plan of reorganization within the meaning of Treasury Regulations Sections 1.368-2(g) and 1.368-3(a). </w:t>
      </w:r>
    </w:p>
    <w:p>
      <w:pPr>
        <w:pStyle w:val="TextBody"/>
        <w:bidi w:val="0"/>
        <w:spacing w:before="240" w:after="0"/>
        <w:jc w:val="left"/>
        <w:rPr>
          <w:rFonts w:ascii="Times New Roman" w:hAnsi="Times New Roman"/>
          <w:sz w:val="20"/>
        </w:rPr>
      </w:pPr>
      <w:r>
        <w:rPr>
          <w:rFonts w:ascii="Times New Roman" w:hAnsi="Times New Roman"/>
          <w:sz w:val="20"/>
        </w:rPr>
        <w:t>C. The Parent Board has (i) determined that the Contemplated Transactions are fair to, advisable and in the best interests of Parent and its stockholders, (ii) approved and declared advisable this Agreement and the Contemplated Transactions, including the issuance of shares of Parent Capital Stock to the stockholders of the Company pursuant to the terms of this Agreement and the constructive issuance by the Company of shares of Company Common Stock to stockholders of Parent (as reflected in Rule 145(a) of the Securities Act) (the “</w:t>
      </w:r>
      <w:r>
        <w:rPr>
          <w:rFonts w:ascii="Times New Roman" w:hAnsi="Times New Roman"/>
          <w:b/>
          <w:sz w:val="20"/>
        </w:rPr>
        <w:t>Constructive Issuance</w:t>
      </w:r>
      <w:r>
        <w:rPr>
          <w:rFonts w:ascii="Times New Roman" w:hAnsi="Times New Roman"/>
          <w:sz w:val="20"/>
        </w:rPr>
        <w:t xml:space="preserve">”) and (iii) determined to recommend, upon the terms and subject to the conditions set forth in this Agreement, that the stockholders of Parent vote to approve this Agreement and thereby approve the Parent Stockholder Matters, including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Concurrently with the execution and delivery of this Agreement and as a condition and inducement to the Company’s willingness to enter into this Agreement, each of the officers and directors set forth on </w:t>
      </w:r>
      <w:r>
        <w:rPr>
          <w:rFonts w:ascii="Times New Roman" w:hAnsi="Times New Roman"/>
          <w:sz w:val="20"/>
          <w:u w:val="single"/>
        </w:rPr>
        <w:t>Section A</w:t>
      </w:r>
      <w:r>
        <w:rPr>
          <w:rFonts w:ascii="Times New Roman" w:hAnsi="Times New Roman"/>
          <w:sz w:val="20"/>
        </w:rPr>
        <w:t xml:space="preserve"> of the Parent Disclosure Letter (solely in their capacity as stockholders of Parent) are executing support agreements in favor of the Company in substantially the form attached hereto as </w:t>
      </w:r>
      <w:r>
        <w:rPr>
          <w:rFonts w:ascii="Times New Roman" w:hAnsi="Times New Roman"/>
          <w:sz w:val="20"/>
          <w:u w:val="single"/>
        </w:rPr>
        <w:t>Exhibit A-1</w:t>
      </w:r>
      <w:r>
        <w:rPr>
          <w:rFonts w:ascii="Times New Roman" w:hAnsi="Times New Roman"/>
          <w:sz w:val="20"/>
        </w:rPr>
        <w:t xml:space="preserve"> (the “</w:t>
      </w:r>
      <w:r>
        <w:rPr>
          <w:rFonts w:ascii="Times New Roman" w:hAnsi="Times New Roman"/>
          <w:b/>
          <w:sz w:val="20"/>
        </w:rPr>
        <w:t>Parent Stockholder Support Agreement</w:t>
      </w:r>
      <w:r>
        <w:rPr>
          <w:rFonts w:ascii="Times New Roman" w:hAnsi="Times New Roman"/>
          <w:sz w:val="20"/>
        </w:rPr>
        <w:t xml:space="preserve">”),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certificate of incorporation to effect the Nasdaq Reverse Split and any other matters,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G. Concurrently with the execution and delivery of this Agreement and as a condition and inducement to Parent’s willingness to enter into this Agreement, each of the officers, directors and stockholders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listed on </w:t>
      </w:r>
      <w:r>
        <w:rPr>
          <w:rFonts w:ascii="Times New Roman" w:hAnsi="Times New Roman"/>
          <w:sz w:val="20"/>
          <w:u w:val="single"/>
        </w:rPr>
        <w:t>Section A</w:t>
      </w:r>
      <w:r>
        <w:rPr>
          <w:rFonts w:ascii="Times New Roman" w:hAnsi="Times New Roman"/>
          <w:sz w:val="20"/>
        </w:rPr>
        <w:t xml:space="preserve"> of the Company Disclosure Letter (solely in their capacity as stockholders of the Company), collectively representing the Required Company Stockholder Vote, are executing support agreements in favor of Parent in substantially the form attached hereto as </w:t>
      </w:r>
      <w:r>
        <w:rPr>
          <w:rFonts w:ascii="Times New Roman" w:hAnsi="Times New Roman"/>
          <w:sz w:val="20"/>
          <w:u w:val="single"/>
        </w:rPr>
        <w:t>Exhibit A-2</w:t>
      </w:r>
      <w:r>
        <w:rPr>
          <w:rFonts w:ascii="Times New Roman" w:hAnsi="Times New Roman"/>
          <w:sz w:val="20"/>
        </w:rPr>
        <w:t xml:space="preserve"> (the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in favor of the adoption of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Effective Time, the officers and directors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substantially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It is expected that, within two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substantially the form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sz w:val="20"/>
        </w:rPr>
        <w:t>Company Stockholder Written Consent</w:t>
      </w:r>
      <w:r>
        <w:rPr>
          <w:rFonts w:ascii="Times New Roman" w:hAnsi="Times New Roman"/>
          <w:sz w:val="20"/>
        </w:rPr>
        <w:t xml:space="preserve">”),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J. Concurrently with, or prior to, the execution and delivery of this Agreement, certain investors are executing and entering into a Series A Preferred Stock Purchase Agreement among the Company and the Persons named therein (as may be amended, restated and/or superseded from time to time, the “</w:t>
      </w:r>
      <w:r>
        <w:rPr>
          <w:rFonts w:ascii="Times New Roman" w:hAnsi="Times New Roman"/>
          <w:b/>
          <w:sz w:val="20"/>
        </w:rPr>
        <w:t>Series A Financing Agreement</w:t>
      </w:r>
      <w:r>
        <w:rPr>
          <w:rFonts w:ascii="Times New Roman" w:hAnsi="Times New Roman"/>
          <w:sz w:val="20"/>
        </w:rPr>
        <w:t>”), pursuant to which such Persons will invest in a private placement of the Company Preferred Stock (the “</w:t>
      </w:r>
      <w:r>
        <w:rPr>
          <w:rFonts w:ascii="Times New Roman" w:hAnsi="Times New Roman"/>
          <w:b/>
          <w:sz w:val="20"/>
        </w:rPr>
        <w:t>Series A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Concurrently with the execution and delivery of this Agreement, certain investors are executing and delivering a Securities Purchase Agreement in the form attached hereto as </w:t>
      </w:r>
      <w:r>
        <w:rPr>
          <w:rFonts w:ascii="Times New Roman" w:hAnsi="Times New Roman"/>
          <w:sz w:val="20"/>
          <w:u w:val="single"/>
        </w:rPr>
        <w:t>Exhibit C</w:t>
      </w:r>
      <w:r>
        <w:rPr>
          <w:rFonts w:ascii="Times New Roman" w:hAnsi="Times New Roman"/>
          <w:sz w:val="20"/>
        </w:rPr>
        <w:t xml:space="preserve"> among the Company and the Persons named therein (including as may be amended, restated and/or superseded from time to time, the “</w:t>
      </w:r>
      <w:r>
        <w:rPr>
          <w:rFonts w:ascii="Times New Roman" w:hAnsi="Times New Roman"/>
          <w:b/>
          <w:sz w:val="20"/>
        </w:rPr>
        <w:t>Subscription Agreement</w:t>
      </w:r>
      <w:r>
        <w:rPr>
          <w:rFonts w:ascii="Times New Roman" w:hAnsi="Times New Roman"/>
          <w:sz w:val="20"/>
        </w:rPr>
        <w:t>”), pursuant to which such Persons will agree to purchase, in the amounts set forth therein, shares of Company Capital Stock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240" w:after="0"/>
        <w:jc w:val="center"/>
        <w:rPr>
          <w:rFonts w:ascii="Times New Roman" w:hAnsi="Times New Roman"/>
          <w:sz w:val="20"/>
        </w:rPr>
      </w:pPr>
      <w:bookmarkStart w:id="103" w:name="annextoc108148_1"/>
      <w:bookmarkEnd w:id="103"/>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AND INTERPRETATIVE PROVISIONS </w:t>
      </w:r>
    </w:p>
    <w:p>
      <w:pPr>
        <w:pStyle w:val="TextBody"/>
        <w:bidi w:val="0"/>
        <w:spacing w:before="240" w:after="0"/>
        <w:jc w:val="left"/>
        <w:rPr>
          <w:rFonts w:ascii="Times New Roman" w:hAnsi="Times New Roman"/>
          <w:sz w:val="20"/>
        </w:rPr>
      </w:pPr>
      <w:bookmarkStart w:id="104" w:name="annextoc108148_2"/>
      <w:bookmarkEnd w:id="104"/>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Accrued Pre-Closing Tax Amount</w:t>
      </w:r>
      <w:r>
        <w:rPr>
          <w:rFonts w:ascii="Times New Roman" w:hAnsi="Times New Roman"/>
          <w:sz w:val="20"/>
        </w:rPr>
        <w:t xml:space="preserve">” means any accrued and unpaid Taxes of Parent and its Subsidiaries for Tax periods (or portions thereof) ending on or before the Closing Date either (a) for which the applicable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Returns have not been filed as of the Closing Date or (b) that have been shown as due but not paid on Tax Returns that have been filed as of the Closing Date, in each case, (1) determined on a jurisdiction-by-jurisdiction basis, in an amount not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it is at least “more likely than not” that such payments, carryovers, or carryforwards are available to reduce Taxes or taxable income, as applicable, for such period,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w:t>
      </w:r>
      <w:r>
        <w:rPr>
          <w:rFonts w:ascii="Times New Roman" w:hAnsi="Times New Roman"/>
          <w:sz w:val="20"/>
          <w:u w:val="single"/>
        </w:rPr>
        <w:t>clause (i)</w:t>
      </w:r>
      <w:r>
        <w:rPr>
          <w:rFonts w:ascii="Times New Roman" w:hAnsi="Times New Roman"/>
          <w:sz w:val="20"/>
        </w:rPr>
        <w:t xml:space="preserve">,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 </w:t>
      </w:r>
      <w:r>
        <w:rPr>
          <w:rFonts w:ascii="Times New Roman" w:hAnsi="Times New Roman"/>
          <w:sz w:val="20"/>
          <w:u w:val="single"/>
        </w:rPr>
        <w:t xml:space="preserve">provided, </w:t>
      </w:r>
      <w:r>
        <w:rPr>
          <w:rFonts w:ascii="Times New Roman" w:hAnsi="Times New Roman"/>
          <w:sz w:val="20"/>
        </w:rPr>
        <w:t xml:space="preserve">that “Acquisition Inquiry” shall not include any inquiry, indication of interest or request for information relating to any Parent Legacy Transaction. </w:t>
      </w:r>
    </w:p>
    <w:p>
      <w:pPr>
        <w:pStyle w:val="TextBody"/>
        <w:bidi w:val="0"/>
        <w:spacing w:before="240" w:after="0"/>
        <w:jc w:val="left"/>
        <w:rPr/>
      </w:pPr>
      <w:r>
        <w:rPr/>
        <w:t>“</w:t>
      </w:r>
      <w:r>
        <w:rPr>
          <w:rFonts w:ascii="Times New Roman" w:hAnsi="Times New Roman"/>
          <w:b/>
          <w:sz w:val="20"/>
        </w:rPr>
        <w:t>Acquisition Proposal</w:t>
      </w:r>
      <w:r>
        <w:rPr>
          <w:rFonts w:ascii="Times New Roman" w:hAnsi="Times New Roman"/>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r>
        <w:rPr>
          <w:rFonts w:ascii="Times New Roman" w:hAnsi="Times New Roman"/>
          <w:sz w:val="20"/>
          <w:u w:val="single"/>
        </w:rPr>
        <w:t>provided</w:t>
      </w:r>
      <w:r>
        <w:rPr>
          <w:rFonts w:ascii="Times New Roman" w:hAnsi="Times New Roman"/>
          <w:sz w:val="20"/>
        </w:rPr>
        <w:t xml:space="preserve">, that “Acquisition Proposal” shall not include any offer or proposal relating to any Parent Legacy Transaction. </w:t>
      </w:r>
    </w:p>
    <w:p>
      <w:pPr>
        <w:pStyle w:val="TextBody"/>
        <w:bidi w:val="0"/>
        <w:spacing w:before="240" w:after="0"/>
        <w:jc w:val="left"/>
        <w:rPr/>
      </w:pPr>
      <w:r>
        <w:rPr/>
        <w:t>“</w:t>
      </w:r>
      <w:r>
        <w:rPr>
          <w:rFonts w:ascii="Times New Roman" w:hAnsi="Times New Roman"/>
          <w:b/>
          <w:sz w:val="20"/>
        </w:rPr>
        <w:t>Acquisition Transaction</w:t>
      </w:r>
      <w:r>
        <w:rPr>
          <w:rFonts w:ascii="Times New Roman" w:hAnsi="Times New Roman"/>
          <w:sz w:val="20"/>
        </w:rPr>
        <w:t xml:space="preserve">” means any transaction or series of related transactions (other than any Parent Legacy Transaction, the Series A Financing, or the Company Pre-Closing Financing) involving: </w:t>
      </w:r>
    </w:p>
    <w:p>
      <w:pPr>
        <w:pStyle w:val="TextBody"/>
        <w:bidi w:val="0"/>
        <w:spacing w:before="24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have the meaning given to such term in Rule 145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Affordable Care Act</w:t>
      </w:r>
      <w:r>
        <w:rPr>
          <w:rFonts w:ascii="Times New Roman" w:hAnsi="Times New Roman"/>
          <w:sz w:val="20"/>
        </w:rPr>
        <w:t xml:space="preserve">” means the Patient Protection and Affordable Care Act.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by Parent and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day on which banks in the State of California or New York are authorized or obligated to be closed. </w:t>
      </w:r>
    </w:p>
    <w:p>
      <w:pPr>
        <w:pStyle w:val="TextBody"/>
        <w:bidi w:val="0"/>
        <w:spacing w:before="240" w:after="0"/>
        <w:jc w:val="left"/>
        <w:rPr/>
      </w:pPr>
      <w:r>
        <w:rPr/>
        <w:t>“</w:t>
      </w:r>
      <w:r>
        <w:rPr>
          <w:rFonts w:ascii="Times New Roman" w:hAnsi="Times New Roman"/>
          <w:b/>
          <w:sz w:val="20"/>
        </w:rPr>
        <w:t>Cancelled Parent Option</w:t>
      </w:r>
      <w:r>
        <w:rPr>
          <w:rFonts w:ascii="Times New Roman" w:hAnsi="Times New Roman"/>
          <w:sz w:val="20"/>
        </w:rPr>
        <w:t xml:space="preserve">” means each Parent Option with a per share exercise price greater than $8.00 (determined prior to any equitable adjustment to reflect the Parent Pre-Closing Dividend).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or any of its Subsidiaries.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or any of its Subsidiaries is a Party, (b) by which the Company or any of its Subsidiaries is or may become bound or under which the Company or any of its Subsidiaries has, or may become subject to, any obligation or (c) under which the Company or any of its Subsidiaries has or may acquire any right or interest.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or any of its Subsidiaries (a) sponsors, maintains, administers, or contributes to, (b) may reasonably be expected to have any Liability, or (c) utilizes to provide benefits to or otherwise cover any current or former employee, officer, director or other service provider of the Company or any of its Subsidiaries (or their spouses, dependents, or beneficiaries), but excluding any Employee Plan in which the Company or any of its Subsidiaries participates that is sponsored by any professional employer organization.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w:t>
      </w:r>
      <w:r>
        <w:rPr>
          <w:rFonts w:ascii="Times New Roman" w:hAnsi="Times New Roman"/>
          <w:sz w:val="20"/>
        </w:rPr>
        <w:t xml:space="preserve"> (</w:t>
      </w:r>
      <w:r>
        <w:rPr>
          <w:rFonts w:ascii="Times New Roman" w:hAnsi="Times New Roman"/>
          <w:i/>
          <w:sz w:val="20"/>
        </w:rPr>
        <w:t>Due Organization; Subsidiaries</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i/>
          <w:sz w:val="20"/>
        </w:rPr>
        <w:t>Organizational Documents</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i/>
          <w:sz w:val="20"/>
        </w:rPr>
        <w:t>Authority; Binding Nature of Agreement</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i/>
          <w:sz w:val="20"/>
        </w:rPr>
        <w:t>Vote Required</w:t>
      </w:r>
      <w:r>
        <w:rPr>
          <w:rFonts w:ascii="Times New Roman" w:hAnsi="Times New Roman"/>
          <w:sz w:val="20"/>
        </w:rPr>
        <w:t xml:space="preserve">), </w:t>
      </w:r>
      <w:r>
        <w:rPr>
          <w:rFonts w:ascii="Times New Roman" w:hAnsi="Times New Roman"/>
          <w:sz w:val="20"/>
          <w:u w:val="single"/>
        </w:rPr>
        <w:t>3.5(a)(i)</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r>
        <w:rPr>
          <w:rFonts w:ascii="Times New Roman" w:hAnsi="Times New Roman"/>
          <w:i/>
          <w:sz w:val="20"/>
        </w:rPr>
        <w:t>No Financial Advisors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IP Rights</w:t>
      </w:r>
      <w:r>
        <w:rPr>
          <w:rFonts w:ascii="Times New Roman" w:hAnsi="Times New Roman"/>
          <w:sz w:val="20"/>
        </w:rPr>
        <w:t xml:space="preserve">” means all Intellectual Property rights that are owned or purported to be owned by, assigned to, exclusively licensed to, or controlled by the Company or its Subsidiaries that are necessary for, or used or held for use in, the operation of the business of the Company and its Subsidiaries as presently conducted. </w:t>
      </w:r>
    </w:p>
    <w:p>
      <w:pPr>
        <w:pStyle w:val="TextBody"/>
        <w:bidi w:val="0"/>
        <w:spacing w:before="240" w:after="0"/>
        <w:jc w:val="left"/>
        <w:rPr/>
      </w:pPr>
      <w:r>
        <w:rPr/>
        <w:t>“</w:t>
      </w:r>
      <w:r>
        <w:rPr>
          <w:rFonts w:ascii="Times New Roman" w:hAnsi="Times New Roman"/>
          <w:b/>
          <w:sz w:val="20"/>
        </w:rPr>
        <w:t>Company IP Rights Agreement</w:t>
      </w:r>
      <w:r>
        <w:rPr>
          <w:rFonts w:ascii="Times New Roman" w:hAnsi="Times New Roman"/>
          <w:sz w:val="20"/>
        </w:rPr>
        <w:t xml:space="preserve">” means any Contract governing, related to or pertaining to any Company IP Rights other than any confidential information provided under confidentiality agreements.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any executive officer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Effects arising or resulting from the following, alone or in combination, shall not be taken into account in determining whether there has been a Company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the taking of any action, or the failure to take any action, by the Company that is expressly required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hAnsi="Times New Roman"/>
          <w:b/>
          <w:sz w:val="20"/>
        </w:rPr>
        <w:t>GAAP</w:t>
      </w:r>
      <w:r>
        <w:rPr>
          <w:rFonts w:ascii="Times New Roman" w:hAnsi="Times New Roman"/>
          <w:sz w:val="20"/>
        </w:rPr>
        <w:t xml:space="preserve">”) or applicable Law or the interpretation thereof, (e) general economic or political conditions or conditions generally affecting the industries in which the Company and its Subsidiaries operate, or (f) any failure of the Company to meet any projections, business plans or forecasts (provided that this </w:t>
      </w:r>
      <w:r>
        <w:rPr>
          <w:rFonts w:ascii="Times New Roman" w:hAnsi="Times New Roman"/>
          <w:sz w:val="20"/>
          <w:u w:val="single"/>
        </w:rPr>
        <w:t>clause (f)</w:t>
      </w:r>
      <w:r>
        <w:rPr>
          <w:rFonts w:ascii="Times New Roman" w:hAnsi="Times New Roman"/>
          <w:sz w:val="20"/>
        </w:rPr>
        <w:t xml:space="preserve"> shall not prevent a determination that any change or effect underlying such failure to meet projections, business plans or forecasts has resulted in a Company Material Adverse Effect (to the extent such change or effect is not otherwise excluded from this definition of Company Material Adverse Effect)); except in each case with respect to </w:t>
      </w:r>
      <w:r>
        <w:rPr>
          <w:rFonts w:ascii="Times New Roman" w:hAnsi="Times New Roman"/>
          <w:sz w:val="20"/>
          <w:u w:val="single"/>
        </w:rPr>
        <w:t>clauses (c)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to the extent disproportionately affecting the Company and its Subsidiaries, taken as a whole, relative to other similarly situated companies in the industries in which the Company and its Subsidiaries operate. </w:t>
      </w:r>
    </w:p>
    <w:p>
      <w:pPr>
        <w:pStyle w:val="TextBody"/>
        <w:bidi w:val="0"/>
        <w:spacing w:before="240" w:after="0"/>
        <w:jc w:val="left"/>
        <w:rPr/>
      </w:pPr>
      <w:r>
        <w:rPr/>
        <w:t>“</w:t>
      </w:r>
      <w:r>
        <w:rPr>
          <w:rFonts w:ascii="Times New Roman" w:hAnsi="Times New Roman"/>
          <w:b/>
          <w:sz w:val="20"/>
        </w:rPr>
        <w:t>Company Merger Shares</w:t>
      </w:r>
      <w:r>
        <w:rPr>
          <w:rFonts w:ascii="Times New Roman" w:hAnsi="Times New Roman"/>
          <w:sz w:val="20"/>
        </w:rPr>
        <w:t xml:space="preserve">” means the product determined by </w:t>
      </w:r>
      <w:r>
        <w:rPr>
          <w:rFonts w:ascii="Times New Roman" w:hAnsi="Times New Roman"/>
          <w:i/>
          <w:sz w:val="20"/>
          <w:u w:val="single"/>
        </w:rPr>
        <w:t>multiplying</w:t>
      </w:r>
      <w:r>
        <w:rPr>
          <w:rFonts w:ascii="Times New Roman" w:hAnsi="Times New Roman"/>
          <w:sz w:val="20"/>
        </w:rPr>
        <w:t xml:space="preserve"> (a) the Post-Closing Parent Shares </w:t>
      </w:r>
      <w:r>
        <w:rPr>
          <w:rFonts w:ascii="Times New Roman" w:hAnsi="Times New Roman"/>
          <w:i/>
          <w:sz w:val="20"/>
          <w:u w:val="single"/>
        </w:rPr>
        <w:t>by</w:t>
      </w:r>
      <w:r>
        <w:rPr>
          <w:rFonts w:ascii="Times New Roman" w:hAnsi="Times New Roman"/>
          <w:sz w:val="20"/>
        </w:rPr>
        <w:t xml:space="preserve"> (b) the Company Allocation Percentage, in which: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Parent Valuation.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Company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Company Valuation </w:t>
      </w:r>
      <w:r>
        <w:rPr>
          <w:rFonts w:ascii="Times New Roman" w:hAnsi="Times New Roman"/>
          <w:i/>
          <w:sz w:val="20"/>
          <w:u w:val="single"/>
        </w:rPr>
        <w:t>by</w:t>
      </w:r>
      <w:r>
        <w:rPr>
          <w:rFonts w:ascii="Times New Roman" w:hAnsi="Times New Roman"/>
          <w:sz w:val="20"/>
        </w:rPr>
        <w:t xml:space="preserve"> (ii) the Aggregate Valuation.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Company Equity Value</w:t>
      </w:r>
      <w:r>
        <w:rPr>
          <w:rFonts w:ascii="Times New Roman" w:hAnsi="Times New Roman"/>
          <w:sz w:val="20"/>
        </w:rPr>
        <w:t xml:space="preserve">” means $73,700,000.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Company Outstanding Shares</w:t>
      </w:r>
      <w:r>
        <w:rPr>
          <w:rFonts w:ascii="Times New Roman" w:hAnsi="Times New Roman"/>
          <w:sz w:val="20"/>
        </w:rPr>
        <w:t xml:space="preserve">” means, without duplication, the total number of shares of Company Capital Stock outstanding immediately prior to the Effective Time (including any shares of Company Common Stock or Company Preferred Stock that are issued in, or issuable upon the exercise or conversion of securities issued in, the Company Pre-Closing Financing, the Series A Financing, Series A-1 Preferred Stock equal to the Company Series A-1 Preferred Stock Initial Amount or any additional Series A-1 Preferred Stock in excess of the Company Series A-1 Preferred Stock Remeasurement Maximum Amount), expressed on a fully diluted and as-converted-to-Company Common Stock basis assuming, without limitation or duplication, the exercise of all Company Options,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Effective Time, </w:t>
      </w:r>
      <w:r>
        <w:rPr>
          <w:rFonts w:ascii="Times New Roman" w:hAnsi="Times New Roman"/>
          <w:sz w:val="20"/>
          <w:u w:val="single"/>
        </w:rPr>
        <w:t>provided</w:t>
      </w:r>
      <w:r>
        <w:rPr>
          <w:rFonts w:ascii="Times New Roman" w:hAnsi="Times New Roman"/>
          <w:sz w:val="20"/>
        </w:rPr>
        <w:t xml:space="preserve"> that “Company Outstanding Shares” shall exclude a number of Company Series A-1 Preferred Stock issued or issuable upon the exercise of the Yoltech Warrant equal to the Company Series A-1 Preferred Stock Remeasurement Maximum Amount.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Company Pre-Closing Financing Minimum Amount</w:t>
      </w:r>
      <w:r>
        <w:rPr>
          <w:rFonts w:ascii="Times New Roman" w:hAnsi="Times New Roman"/>
          <w:sz w:val="20"/>
        </w:rPr>
        <w:t xml:space="preserve">” means $200,000,000.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Company Pre-Closing Financing Proceeds</w:t>
      </w:r>
      <w:r>
        <w:rPr>
          <w:rFonts w:ascii="Times New Roman" w:hAnsi="Times New Roman"/>
          <w:sz w:val="20"/>
        </w:rPr>
        <w:t xml:space="preserve">” means the aggregate gross cash proceeds actually received by the Company from the Company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b/>
          <w:sz w:val="20"/>
        </w:rPr>
        <w:t>Company Series A-1 Preferred Stock Initial Amount</w:t>
      </w:r>
      <w:r>
        <w:rPr>
          <w:rFonts w:ascii="Times New Roman" w:hAnsi="Times New Roman"/>
          <w:sz w:val="20"/>
        </w:rPr>
        <w:t xml:space="preserve">” means a number of shares of Company Series A-1 Preferred Stock underlying the Yoltech Warrant equal to up to 11,688,455 shares, representing the Share Number (as defined in the Yoltech Warrant) determined pursuant to the terms of the Yoltech Warrant in connection with the consummation of the Series A Financing.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Company Series A-1 Preferred Stock Remeasurement Maximum Amount</w:t>
      </w:r>
      <w:r>
        <w:rPr>
          <w:rFonts w:ascii="Times New Roman" w:hAnsi="Times New Roman"/>
          <w:sz w:val="20"/>
        </w:rPr>
        <w:t xml:space="preserve">” means a number of shares of Company Series A-1 Preferred Stock underlying the Yoltech Warrant equal to up to 5,888,538 shares, representing the number of shares added to the Company Series A-1 Preferred Stock Initial Amount pursuant to the adjustment mechanics set forth in Section 1(b)(i) of the Yoltech Warrant in connection with the consummation of subsequent Remeasurement Events prior to the expiration of the Anti-Dilution Period (each as defined in the Yoltech Warrant).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Company Valuation</w:t>
      </w:r>
      <w:r>
        <w:rPr>
          <w:rFonts w:ascii="Times New Roman" w:hAnsi="Times New Roman"/>
          <w:sz w:val="20"/>
        </w:rPr>
        <w:t xml:space="preserve">” means the sum of the Company Equity Value plus the Company Pre-Closing Financing Proceeds.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Exchange Ratio</w:t>
      </w:r>
      <w:r>
        <w:rPr>
          <w:rFonts w:ascii="Times New Roman" w:hAnsi="Times New Roman"/>
          <w:sz w:val="20"/>
        </w:rPr>
        <w:t xml:space="preserve">” means the ratio (rounded to four decimal places) equal to the quotient obtained by </w:t>
      </w:r>
      <w:r>
        <w:rPr>
          <w:rFonts w:ascii="Times New Roman" w:hAnsi="Times New Roman"/>
          <w:i/>
          <w:sz w:val="20"/>
          <w:u w:val="single"/>
        </w:rPr>
        <w:t>dividing</w:t>
      </w:r>
      <w:r>
        <w:rPr>
          <w:rFonts w:ascii="Times New Roman" w:hAnsi="Times New Roman"/>
          <w:sz w:val="20"/>
        </w:rPr>
        <w:t xml:space="preserve"> (i) the Company Merger Shares </w:t>
      </w:r>
      <w:r>
        <w:rPr>
          <w:rFonts w:ascii="Times New Roman" w:hAnsi="Times New Roman"/>
          <w:i/>
          <w:sz w:val="20"/>
          <w:u w:val="single"/>
        </w:rPr>
        <w:t>by</w:t>
      </w:r>
      <w:r>
        <w:rPr>
          <w:rFonts w:ascii="Times New Roman" w:hAnsi="Times New Roman"/>
          <w:sz w:val="20"/>
        </w:rPr>
        <w:t xml:space="preserve"> (ii) the Company Outstanding Shares.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Parent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Parent Valuation </w:t>
      </w:r>
      <w:r>
        <w:rPr>
          <w:rFonts w:ascii="Times New Roman" w:hAnsi="Times New Roman"/>
          <w:i/>
          <w:sz w:val="20"/>
          <w:u w:val="single"/>
        </w:rPr>
        <w:t>by</w:t>
      </w:r>
      <w:r>
        <w:rPr>
          <w:rFonts w:ascii="Times New Roman" w:hAnsi="Times New Roman"/>
          <w:sz w:val="20"/>
        </w:rPr>
        <w:t xml:space="preserve"> (ii) the Aggregate Valuation.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Parent Equity Value</w:t>
      </w:r>
      <w:r>
        <w:rPr>
          <w:rFonts w:ascii="Times New Roman" w:hAnsi="Times New Roman"/>
          <w:sz w:val="20"/>
        </w:rPr>
        <w:t xml:space="preserve">” means $12,500,000.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Parent Net Cash Deficiency</w:t>
      </w:r>
      <w:r>
        <w:rPr>
          <w:rFonts w:ascii="Times New Roman" w:hAnsi="Times New Roman"/>
          <w:sz w:val="20"/>
        </w:rPr>
        <w:t xml:space="preserve">” means, if Parent Net Cash is less than $0, then the amount, if any, that $0 exceeds the Parent Net Cash, calculated as of the Cash Determination Time.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Parent Net Cash Surplus</w:t>
      </w:r>
      <w:r>
        <w:rPr>
          <w:rFonts w:ascii="Times New Roman" w:hAnsi="Times New Roman"/>
          <w:sz w:val="20"/>
        </w:rPr>
        <w:t xml:space="preserve">” means, if Parent Net Cash is greater than $0, then the amount, if any, that the Parent Net Cash exceeds $0, calculated as of the Cash Determination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Parent Outstanding Shares</w:t>
      </w:r>
      <w:r>
        <w:rPr>
          <w:rFonts w:ascii="Times New Roman" w:hAnsi="Times New Roman"/>
          <w:sz w:val="20"/>
        </w:rPr>
        <w:t xml:space="preserve">” means, without duplication, (including, without limitation, the effects of the Nasdaq Reverse Split, if completed) the total number of shares of Parent Capital Stock outstanding immediately prior to the Effective Time expressed on a fully-diluted basis and as converted to Parent Common Stock basis and assuming, without limitation or duplication, the issuance of shares of Parent Common Stock in respect of all Continuing Parent Options, warrants or other rights or commitments to receive shares of Parent Common Stock or Parent Preferred Stock (or securities convertible or exercisable into shares of Parent Common Stock or Parent Preferred Stock, but excluding any Parent Capital Stock issuable in accordance herewith), whether conditional or unconditional, that are outstanding as of immediately prior to the Effective Time. Notwithstanding any of the foregoing, no Cancelled Parent Options shall be included in the total number of shares of Parent Common Stock outstanding for purposes of determining the Parent Outstanding Shares.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Parent Valuation</w:t>
      </w:r>
      <w:r>
        <w:rPr>
          <w:rFonts w:ascii="Times New Roman" w:hAnsi="Times New Roman"/>
          <w:sz w:val="20"/>
        </w:rPr>
        <w:t xml:space="preserve">” means (i) the Parent Equity Value, </w:t>
      </w:r>
      <w:r>
        <w:rPr>
          <w:rFonts w:ascii="Times New Roman" w:hAnsi="Times New Roman"/>
          <w:i/>
          <w:sz w:val="20"/>
          <w:u w:val="single"/>
        </w:rPr>
        <w:t>minus</w:t>
      </w:r>
      <w:r>
        <w:rPr>
          <w:rFonts w:ascii="Times New Roman" w:hAnsi="Times New Roman"/>
          <w:sz w:val="20"/>
        </w:rPr>
        <w:t xml:space="preserve"> (ii) the Parent Net Cash Deficiency (if any), </w:t>
      </w:r>
      <w:r>
        <w:rPr>
          <w:rFonts w:ascii="Times New Roman" w:hAnsi="Times New Roman"/>
          <w:i/>
          <w:sz w:val="20"/>
          <w:u w:val="single"/>
        </w:rPr>
        <w:t>plus</w:t>
      </w:r>
      <w:r>
        <w:rPr>
          <w:rFonts w:ascii="Times New Roman" w:hAnsi="Times New Roman"/>
          <w:sz w:val="20"/>
        </w:rPr>
        <w:t xml:space="preserve"> (iii) the Parent Net Cash Surplus (if any); </w:t>
      </w:r>
      <w:r>
        <w:rPr>
          <w:rFonts w:ascii="Times New Roman" w:hAnsi="Times New Roman"/>
          <w:sz w:val="20"/>
          <w:u w:val="single"/>
        </w:rPr>
        <w:t>provided</w:t>
      </w:r>
      <w:r>
        <w:rPr>
          <w:rFonts w:ascii="Times New Roman" w:hAnsi="Times New Roman"/>
          <w:sz w:val="20"/>
        </w:rPr>
        <w:t xml:space="preserve">, that in no event shall the Parent Valuation exceed $15,000,000. For the avoidance of doubt, the Company Pre-Closing Financing Proceeds shall not be included in the calculation or determination of the Parent Valuation or any component thereof.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Post-Closing Parent Shares</w:t>
      </w:r>
      <w:r>
        <w:rPr>
          <w:rFonts w:ascii="Times New Roman" w:hAnsi="Times New Roman"/>
          <w:sz w:val="20"/>
        </w:rPr>
        <w:t xml:space="preserve">” means the quotient determined by </w:t>
      </w:r>
      <w:r>
        <w:rPr>
          <w:rFonts w:ascii="Times New Roman" w:hAnsi="Times New Roman"/>
          <w:i/>
          <w:sz w:val="20"/>
          <w:u w:val="single"/>
        </w:rPr>
        <w:t>dividing</w:t>
      </w:r>
      <w:r>
        <w:rPr>
          <w:rFonts w:ascii="Times New Roman" w:hAnsi="Times New Roman"/>
          <w:sz w:val="20"/>
        </w:rPr>
        <w:t xml:space="preserve"> (i) the Parent Outstanding Shares </w:t>
      </w:r>
      <w:r>
        <w:rPr>
          <w:rFonts w:ascii="Times New Roman" w:hAnsi="Times New Roman"/>
          <w:i/>
          <w:sz w:val="20"/>
          <w:u w:val="single"/>
        </w:rPr>
        <w:t>by</w:t>
      </w:r>
      <w:r>
        <w:rPr>
          <w:rFonts w:ascii="Times New Roman" w:hAnsi="Times New Roman"/>
          <w:sz w:val="20"/>
        </w:rPr>
        <w:t xml:space="preserve"> (ii) the Parent Allocation Percentage. </w:t>
      </w:r>
    </w:p>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or other rights to purchase shares of Company Capital Stock issued by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the shares of the Company’s capital stock designated as preferred stock, including the Company Series A Preferred Stock and the Company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Registered IP</w:t>
      </w:r>
      <w:r>
        <w:rPr>
          <w:rFonts w:ascii="Times New Roman" w:hAnsi="Times New Roman"/>
          <w:sz w:val="20"/>
        </w:rPr>
        <w:t xml:space="preserve">”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Company Series A Preferred Stock</w:t>
      </w:r>
      <w:r>
        <w:rPr>
          <w:rFonts w:ascii="Times New Roman" w:hAnsi="Times New Roman"/>
          <w:sz w:val="20"/>
        </w:rPr>
        <w:t xml:space="preserve">” means a series of the Company’s preferred stock designated as Series A Preferred Stock, $0.00001 par value per share. </w:t>
      </w:r>
    </w:p>
    <w:p>
      <w:pPr>
        <w:pStyle w:val="TextBody"/>
        <w:bidi w:val="0"/>
        <w:spacing w:before="240" w:after="0"/>
        <w:jc w:val="left"/>
        <w:rPr/>
      </w:pPr>
      <w:r>
        <w:rPr/>
        <w:t>“</w:t>
      </w:r>
      <w:r>
        <w:rPr>
          <w:rFonts w:ascii="Times New Roman" w:hAnsi="Times New Roman"/>
          <w:b/>
          <w:sz w:val="20"/>
        </w:rPr>
        <w:t>Company Series A-1 Preferred Stock</w:t>
      </w:r>
      <w:r>
        <w:rPr>
          <w:rFonts w:ascii="Times New Roman" w:hAnsi="Times New Roman"/>
          <w:sz w:val="20"/>
        </w:rPr>
        <w:t xml:space="preserve">” means a series of the Company’s preferred stock designated as Series A-1 Preferred Stock, $0.00001 par value per share. </w:t>
      </w:r>
    </w:p>
    <w:p>
      <w:pPr>
        <w:pStyle w:val="TextBody"/>
        <w:bidi w:val="0"/>
        <w:spacing w:before="240" w:after="0"/>
        <w:jc w:val="left"/>
        <w:rPr/>
      </w:pPr>
      <w:r>
        <w:rPr/>
        <w:t>“</w:t>
      </w:r>
      <w:r>
        <w:rPr>
          <w:rFonts w:ascii="Times New Roman" w:hAnsi="Times New Roman"/>
          <w:b/>
          <w:sz w:val="20"/>
        </w:rPr>
        <w:t>Company Stock Plans</w:t>
      </w:r>
      <w:r>
        <w:rPr>
          <w:rFonts w:ascii="Times New Roman" w:hAnsi="Times New Roman"/>
          <w:sz w:val="20"/>
        </w:rPr>
        <w:t xml:space="preserve">” means any equity incentive plan or any other plan, program, agreement or arrangement providing for any equity or equity-based compensation for any Person that may be adopted by the Company from time to time following the date hereof.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 </w:t>
      </w:r>
    </w:p>
    <w:p>
      <w:pPr>
        <w:pStyle w:val="TextBody"/>
        <w:bidi w:val="0"/>
        <w:spacing w:before="240" w:after="0"/>
        <w:jc w:val="left"/>
        <w:rPr/>
      </w:pPr>
      <w:r>
        <w:rPr/>
        <w:t>“</w:t>
      </w:r>
      <w:r>
        <w:rPr>
          <w:rFonts w:ascii="Times New Roman" w:hAnsi="Times New Roman"/>
          <w:b/>
          <w:sz w:val="20"/>
        </w:rPr>
        <w:t>Company Warrants</w:t>
      </w:r>
      <w:r>
        <w:rPr>
          <w:rFonts w:ascii="Times New Roman" w:hAnsi="Times New Roman"/>
          <w:sz w:val="20"/>
        </w:rPr>
        <w:t xml:space="preserve">” means warrants to purchase shares of Company Capital Stock issued by the Company. </w:t>
      </w:r>
    </w:p>
    <w:p>
      <w:pPr>
        <w:pStyle w:val="TextBody"/>
        <w:bidi w:val="0"/>
        <w:spacing w:before="240" w:after="0"/>
        <w:jc w:val="left"/>
        <w:rPr/>
      </w:pPr>
      <w:r>
        <w:rPr/>
        <w:t>“</w:t>
      </w:r>
      <w:r>
        <w:rPr>
          <w:rFonts w:ascii="Times New Roman" w:hAnsi="Times New Roman"/>
          <w:b/>
          <w:sz w:val="20"/>
        </w:rPr>
        <w:t>Confidentiality Agreement</w:t>
      </w:r>
      <w:r>
        <w:rPr>
          <w:rFonts w:ascii="Times New Roman" w:hAnsi="Times New Roman"/>
          <w:sz w:val="20"/>
        </w:rPr>
        <w:t xml:space="preserve">” means the mutual non-disclosure agreement dated as of May 14, 2026, between the Company and Parent.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pPr>
      <w:r>
        <w:rPr/>
        <w:t>“</w:t>
      </w:r>
      <w:r>
        <w:rPr>
          <w:rFonts w:ascii="Times New Roman" w:hAnsi="Times New Roman"/>
          <w:b/>
          <w:sz w:val="20"/>
        </w:rPr>
        <w:t>Contemplated Transactions</w:t>
      </w:r>
      <w:r>
        <w:rPr>
          <w:rFonts w:ascii="Times New Roman" w:hAnsi="Times New Roman"/>
          <w:sz w:val="20"/>
        </w:rPr>
        <w:t xml:space="preserve">” means the Merger, the Constructive Issuance and the other transactions contemplated by this Agreement (other than any Parent Legacy Transaction and the Parent Charter Amendment), the Company Pre-Closing Financing and the Nasdaq Reverse Split (to the extent applicable and deemed necessary by Parent and the Company). </w:t>
      </w:r>
    </w:p>
    <w:p>
      <w:pPr>
        <w:pStyle w:val="TextBody"/>
        <w:bidi w:val="0"/>
        <w:spacing w:before="240" w:after="0"/>
        <w:jc w:val="left"/>
        <w:rPr/>
      </w:pPr>
      <w:r>
        <w:rPr/>
        <w:t>“</w:t>
      </w:r>
      <w:r>
        <w:rPr>
          <w:rFonts w:ascii="Times New Roman" w:hAnsi="Times New Roman"/>
          <w:b/>
          <w:sz w:val="20"/>
        </w:rPr>
        <w:t>Continuing Parent Option</w:t>
      </w:r>
      <w:r>
        <w:rPr>
          <w:rFonts w:ascii="Times New Roman" w:hAnsi="Times New Roman"/>
          <w:sz w:val="20"/>
        </w:rPr>
        <w:t xml:space="preserve">” means each Parent Option outstanding immediately prior to the Effective Time that is not a Cancelled Parent Option.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Delisting Event</w:t>
      </w:r>
      <w:r>
        <w:rPr>
          <w:rFonts w:ascii="Times New Roman" w:hAnsi="Times New Roman"/>
          <w:sz w:val="20"/>
        </w:rPr>
        <w:t xml:space="preserve">” means (i) the filing of a Form 25 with respect to the shares of Parent Common Stock by Parent or Nasdaq with the SEC, or (ii) any other cessation of listing of the Parent Common Stock on Nasdaq, whether or not a Form 25 has been filed yet.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as amended.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Employee Plan</w:t>
      </w:r>
      <w:r>
        <w:rPr>
          <w:rFonts w:ascii="Times New Roman" w:hAnsi="Times New Roman"/>
          <w:sz w:val="20"/>
        </w:rPr>
        <w:t xml:space="preserve">” means (a) an “employee benefit plan” within the meaning of Section 3(3) of ERISA whether or not subject to ERISA; (b) other plan, program, policy or arrangement providing for stock options,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 (c), (m) or (o) of the Code.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Excepted Contract</w:t>
      </w:r>
      <w:r>
        <w:rPr>
          <w:rFonts w:ascii="Times New Roman" w:hAnsi="Times New Roman"/>
          <w:sz w:val="20"/>
        </w:rPr>
        <w:t xml:space="preserve">” means any and all (a) non-exclusive licenses for generally unmodified and commercially available shrink-wrap, click wrap and off-the-shelf software, (b) Contracts that (i) have expired on their own terms and have no continuing obligations, rights or interests (other than obligations to maintain confidentiality in the ordinary course of business), (ii) have been assigned to a third party (and to which a Party is no longer a party and has no obligations, rights or interests (other than obligations to maintain confidentiality in the ordinary course of business)) or (iii) were terminated prior to the date hereof that do not have any continuing obligations, rights or interests (other than obligations to maintain confidentiality in the ordinary course of business), (c) non-disclosure agreements entered into (i) in the Ordinary Course of Business by a Party, as applicable or (ii) in connection with discussions, negotiations, and transactions related to this Agreement or any transactions that were evaluated or pursued as an alternative to the transactions contemplated hereby, in each case, unless such non-disclosure agreements contain provisions requiring disclosure under </w:t>
      </w:r>
      <w:r>
        <w:rPr>
          <w:rFonts w:ascii="Times New Roman" w:hAnsi="Times New Roman"/>
          <w:sz w:val="20"/>
          <w:u w:val="single"/>
        </w:rPr>
        <w:t>Section 3.13(a)(ii)</w:t>
      </w:r>
      <w:r>
        <w:rPr>
          <w:rFonts w:ascii="Times New Roman" w:hAnsi="Times New Roman"/>
          <w:sz w:val="20"/>
        </w:rPr>
        <w:t xml:space="preserve">, (d) materials transfer agreements and clinical trial agreements entered into in the Ordinary Course of Business by a Party, (e) Contracts with non-exclusive licensees that are (i) ancillary to a sale of products or services to customers or (ii) incidental to the provision of services from contract manufacturers, suppliers, distributors or other service providers, or (f) Contracts between a Party and its employees on such Party’s standard form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hAnsi="Times New Roman"/>
          <w:b/>
          <w:sz w:val="20"/>
        </w:rPr>
        <w:t>Patents</w:t>
      </w:r>
      <w:r>
        <w:rPr>
          <w:rFonts w:ascii="Times New Roman" w:hAnsi="Times New Roman"/>
          <w:sz w:val="20"/>
        </w:rPr>
        <w:t xml:space="preserve">”), (b) trademarks, service marks, trade names, domain names, corporate names, brand names, URLs, trade dress, logos and other source identifiers, including registrations and applications for registration thereof and goodwill associated therewith, (c) 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(a) with respect to an individual, that such individual is actually aware of the relevant fact, and (b) with respect to any Person that is an Entity the Knowledge of any executive officer of such Person as of the date such knowledge is imputed.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License Agreement</w:t>
      </w:r>
      <w:r>
        <w:rPr>
          <w:rFonts w:ascii="Times New Roman" w:hAnsi="Times New Roman"/>
          <w:sz w:val="20"/>
        </w:rPr>
        <w:t xml:space="preserve">” means that certain Exclusive License Agreement, dated June 12, 2026, by and between the Company and YolTech Therapeutics Co., Ltd., as amended or modified from time to time, pursuant to which the Company acquires intellectual property rights related to YOLT-202.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 “multiemployer plan,” as defined in Section 3(37) or 4001(a)(3) of ERISA. </w:t>
      </w:r>
    </w:p>
    <w:p>
      <w:pPr>
        <w:pStyle w:val="TextBody"/>
        <w:bidi w:val="0"/>
        <w:spacing w:before="240" w:after="0"/>
        <w:jc w:val="left"/>
        <w:rPr/>
      </w:pPr>
      <w:r>
        <w:rPr/>
        <w:t>“</w:t>
      </w:r>
      <w:r>
        <w:rPr>
          <w:rFonts w:ascii="Times New Roman" w:hAnsi="Times New Roman"/>
          <w:b/>
          <w:sz w:val="20"/>
        </w:rPr>
        <w:t>Multiple Employer Plan</w:t>
      </w:r>
      <w:r>
        <w:rPr>
          <w:rFonts w:ascii="Times New Roman" w:hAnsi="Times New Roman"/>
          <w:sz w:val="20"/>
        </w:rPr>
        <w:t xml:space="preserve">” means a “multiple employer plan” within the meaning of Section 413(c) of the Code or Section 3(40) of ERISA. </w:t>
      </w:r>
    </w:p>
    <w:p>
      <w:pPr>
        <w:pStyle w:val="TextBody"/>
        <w:bidi w:val="0"/>
        <w:spacing w:before="240" w:after="0"/>
        <w:jc w:val="left"/>
        <w:rPr/>
      </w:pPr>
      <w:r>
        <w:rPr/>
        <w:t>“</w:t>
      </w:r>
      <w:r>
        <w:rPr>
          <w:rFonts w:ascii="Times New Roman" w:hAnsi="Times New Roman"/>
          <w:b/>
          <w:sz w:val="20"/>
        </w:rPr>
        <w:t>Multiple Employer Welfare Arrangement</w:t>
      </w:r>
      <w:r>
        <w:rPr>
          <w:rFonts w:ascii="Times New Roman" w:hAnsi="Times New Roman"/>
          <w:sz w:val="20"/>
        </w:rPr>
        <w:t xml:space="preserve">” means a “multiple employer welfare arrangement” within the meaning of Section 3(40) of ERISA. </w:t>
      </w:r>
    </w:p>
    <w:p>
      <w:pPr>
        <w:pStyle w:val="TextBody"/>
        <w:bidi w:val="0"/>
        <w:spacing w:before="24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Parent Common Stock effected by Parent for the purpose of maintaining compliance with Nasdaq listing standards.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 Course of Business</w:t>
      </w:r>
      <w:r>
        <w:rPr>
          <w:rFonts w:ascii="Times New Roman" w:hAnsi="Times New Roman"/>
          <w:sz w:val="20"/>
        </w:rPr>
        <w:t xml:space="preserve">” means, in the case of each of the Company and Parent, such actions taken in the ordinary course of its normal operations and consistent with its past practice or, with respect to the Company, the customary practices of a recently formed company at a similar stage of development, including adoption of a Company Employee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the Pre-Closing Period, the Ordinary Course of Business of Parent shall also include actions required to effect and effecting any Parent Legacy Transaction.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240" w:after="0"/>
        <w:jc w:val="left"/>
        <w:rPr/>
      </w:pPr>
      <w:r>
        <w:rPr/>
        <w:t>“</w:t>
      </w:r>
      <w:r>
        <w:rPr>
          <w:rFonts w:ascii="Times New Roman" w:hAnsi="Times New Roman"/>
          <w:b/>
          <w:sz w:val="20"/>
        </w:rPr>
        <w:t>Parent Associate</w:t>
      </w:r>
      <w:r>
        <w:rPr>
          <w:rFonts w:ascii="Times New Roman" w:hAnsi="Times New Roman"/>
          <w:sz w:val="20"/>
        </w:rPr>
        <w:t xml:space="preserve">” means any current employee, independent contractor, officer or director of Parent or any of its Subsidiaries. </w:t>
      </w:r>
    </w:p>
    <w:p>
      <w:pPr>
        <w:pStyle w:val="TextBody"/>
        <w:bidi w:val="0"/>
        <w:spacing w:before="240" w:after="0"/>
        <w:jc w:val="left"/>
        <w:rPr/>
      </w:pPr>
      <w:r>
        <w:rPr/>
        <w:t>“</w:t>
      </w:r>
      <w:r>
        <w:rPr>
          <w:rFonts w:ascii="Times New Roman" w:hAnsi="Times New Roman"/>
          <w:b/>
          <w:sz w:val="20"/>
        </w:rPr>
        <w:t>Parent Balance Sheet</w:t>
      </w:r>
      <w:r>
        <w:rPr>
          <w:rFonts w:ascii="Times New Roman" w:hAnsi="Times New Roman"/>
          <w:sz w:val="20"/>
        </w:rPr>
        <w:t xml:space="preserve">” means the audited balance sheet of Parent as of December 31, 2024, included in Parent’s Report on Form 10-K for the year ended December 31, 2024, as filed with the SEC. </w:t>
      </w:r>
    </w:p>
    <w:p>
      <w:pPr>
        <w:pStyle w:val="TextBody"/>
        <w:bidi w:val="0"/>
        <w:spacing w:before="240" w:after="0"/>
        <w:jc w:val="left"/>
        <w:rPr/>
      </w:pPr>
      <w:r>
        <w:rPr/>
        <w:t>“</w:t>
      </w:r>
      <w:r>
        <w:rPr>
          <w:rFonts w:ascii="Times New Roman" w:hAnsi="Times New Roman"/>
          <w:b/>
          <w:sz w:val="20"/>
        </w:rPr>
        <w:t>Parent Board</w:t>
      </w:r>
      <w:r>
        <w:rPr>
          <w:rFonts w:ascii="Times New Roman" w:hAnsi="Times New Roman"/>
          <w:sz w:val="20"/>
        </w:rPr>
        <w:t xml:space="preserve">” means the board of directors of Parent. </w:t>
      </w:r>
    </w:p>
    <w:p>
      <w:pPr>
        <w:pStyle w:val="TextBody"/>
        <w:bidi w:val="0"/>
        <w:spacing w:before="240" w:after="0"/>
        <w:jc w:val="left"/>
        <w:rPr/>
      </w:pPr>
      <w:r>
        <w:rPr/>
        <w:t>“</w:t>
      </w:r>
      <w:r>
        <w:rPr>
          <w:rFonts w:ascii="Times New Roman" w:hAnsi="Times New Roman"/>
          <w:b/>
          <w:sz w:val="20"/>
        </w:rPr>
        <w:t>Parent Capital Stock</w:t>
      </w:r>
      <w:r>
        <w:rPr>
          <w:rFonts w:ascii="Times New Roman" w:hAnsi="Times New Roman"/>
          <w:sz w:val="20"/>
        </w:rPr>
        <w:t xml:space="preserve">” means the Parent Common Stock and the Parent Preferred Stock. </w:t>
      </w:r>
    </w:p>
    <w:p>
      <w:pPr>
        <w:pStyle w:val="TextBody"/>
        <w:bidi w:val="0"/>
        <w:spacing w:before="240" w:after="0"/>
        <w:jc w:val="left"/>
        <w:rPr/>
      </w:pPr>
      <w:r>
        <w:rPr/>
        <w:t>“</w:t>
      </w:r>
      <w:r>
        <w:rPr>
          <w:rFonts w:ascii="Times New Roman" w:hAnsi="Times New Roman"/>
          <w:b/>
          <w:sz w:val="20"/>
        </w:rPr>
        <w:t>Parent Capitalization Representations</w:t>
      </w:r>
      <w:r>
        <w:rPr>
          <w:rFonts w:ascii="Times New Roman" w:hAnsi="Times New Roman"/>
          <w:sz w:val="20"/>
        </w:rPr>
        <w:t xml:space="preserve">” means the representations and warranties of Parent and Merger Sub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means the common stock, $0.0001 par value per share, of Parent. </w:t>
      </w:r>
    </w:p>
    <w:p>
      <w:pPr>
        <w:pStyle w:val="TextBody"/>
        <w:bidi w:val="0"/>
        <w:spacing w:before="240" w:after="0"/>
        <w:jc w:val="left"/>
        <w:rPr/>
      </w:pPr>
      <w:r>
        <w:rPr/>
        <w:t>“</w:t>
      </w:r>
      <w:r>
        <w:rPr>
          <w:rFonts w:ascii="Times New Roman" w:hAnsi="Times New Roman"/>
          <w:b/>
          <w:sz w:val="20"/>
        </w:rPr>
        <w:t>Parent Contract</w:t>
      </w:r>
      <w:r>
        <w:rPr>
          <w:rFonts w:ascii="Times New Roman" w:hAnsi="Times New Roman"/>
          <w:sz w:val="20"/>
        </w:rPr>
        <w:t xml:space="preserve">” means any Contract: (a) to which Parent is a party, (b) by which Parent or any Parent IP Rights or any other asset of Parent is or may become bound or under which Parent has, or may become subject to, any obligation or (c) under which Parent has or may acquire any right or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Parent Employee Plan</w:t>
      </w:r>
      <w:r>
        <w:rPr>
          <w:rFonts w:ascii="Times New Roman" w:hAnsi="Times New Roman"/>
          <w:sz w:val="20"/>
        </w:rPr>
        <w:t xml:space="preserve">”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 </w:t>
      </w:r>
    </w:p>
    <w:p>
      <w:pPr>
        <w:pStyle w:val="TextBody"/>
        <w:bidi w:val="0"/>
        <w:spacing w:before="240" w:after="0"/>
        <w:jc w:val="left"/>
        <w:rPr/>
      </w:pPr>
      <w:r>
        <w:rPr/>
        <w:t>“</w:t>
      </w:r>
      <w:r>
        <w:rPr>
          <w:rFonts w:ascii="Times New Roman" w:hAnsi="Times New Roman"/>
          <w:b/>
          <w:sz w:val="20"/>
        </w:rPr>
        <w:t>Parent ESPP</w:t>
      </w:r>
      <w:r>
        <w:rPr>
          <w:rFonts w:ascii="Times New Roman" w:hAnsi="Times New Roman"/>
          <w:sz w:val="20"/>
        </w:rPr>
        <w:t xml:space="preserve">” means the Parent 2024 Employee Stock Purchase Plan. </w:t>
      </w:r>
    </w:p>
    <w:p>
      <w:pPr>
        <w:pStyle w:val="TextBody"/>
        <w:bidi w:val="0"/>
        <w:spacing w:before="240" w:after="0"/>
        <w:jc w:val="left"/>
        <w:rPr/>
      </w:pPr>
      <w:r>
        <w:rPr/>
        <w:t>“</w:t>
      </w:r>
      <w:r>
        <w:rPr>
          <w:rFonts w:ascii="Times New Roman" w:hAnsi="Times New Roman"/>
          <w:b/>
          <w:sz w:val="20"/>
        </w:rPr>
        <w:t>Parent Fundamental Representations</w:t>
      </w:r>
      <w:r>
        <w:rPr>
          <w:rFonts w:ascii="Times New Roman" w:hAnsi="Times New Roman"/>
          <w:sz w:val="20"/>
        </w:rPr>
        <w:t xml:space="preserve">” means the representations and warranties of Parent and Merger Sub set forth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i/>
          <w:sz w:val="20"/>
        </w:rPr>
        <w:t>Due Organization; Subsidiaries</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i/>
          <w:sz w:val="20"/>
        </w:rPr>
        <w:t>Organizational Documents</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i/>
          <w:sz w:val="20"/>
        </w:rPr>
        <w:t>Authority; Binding Nature of Agreement</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w:t>
      </w:r>
      <w:r>
        <w:rPr>
          <w:rFonts w:ascii="Times New Roman" w:hAnsi="Times New Roman"/>
          <w:i/>
          <w:sz w:val="20"/>
        </w:rPr>
        <w:t>Vote Required</w:t>
      </w:r>
      <w:r>
        <w:rPr>
          <w:rFonts w:ascii="Times New Roman" w:hAnsi="Times New Roman"/>
          <w:sz w:val="20"/>
        </w:rPr>
        <w:t xml:space="preserve">), </w:t>
      </w:r>
      <w:r>
        <w:rPr>
          <w:rFonts w:ascii="Times New Roman" w:hAnsi="Times New Roman"/>
          <w:sz w:val="20"/>
          <w:u w:val="single"/>
        </w:rPr>
        <w:t>4.5(a)(i)</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r>
        <w:rPr>
          <w:rFonts w:ascii="Times New Roman" w:hAnsi="Times New Roman"/>
          <w:i/>
          <w:sz w:val="20"/>
        </w:rPr>
        <w:t>No Financial Advisors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IP Rights Agreement</w:t>
      </w:r>
      <w:r>
        <w:rPr>
          <w:rFonts w:ascii="Times New Roman" w:hAnsi="Times New Roman"/>
          <w:sz w:val="20"/>
        </w:rPr>
        <w:t xml:space="preserve">” means any Contract governing, related or pertaining to any Parent IP Rights that are exclusively in-licensed or out-licensed by Parent. </w:t>
      </w:r>
    </w:p>
    <w:p>
      <w:pPr>
        <w:pStyle w:val="TextBody"/>
        <w:bidi w:val="0"/>
        <w:spacing w:before="240" w:after="0"/>
        <w:jc w:val="left"/>
        <w:rPr/>
      </w:pPr>
      <w:r>
        <w:rPr/>
        <w:t>“</w:t>
      </w:r>
      <w:r>
        <w:rPr>
          <w:rFonts w:ascii="Times New Roman" w:hAnsi="Times New Roman"/>
          <w:b/>
          <w:sz w:val="20"/>
        </w:rPr>
        <w:t>Parent IP Rights</w:t>
      </w:r>
      <w:r>
        <w:rPr>
          <w:rFonts w:ascii="Times New Roman" w:hAnsi="Times New Roman"/>
          <w:sz w:val="20"/>
        </w:rPr>
        <w:t xml:space="preserve">” means all Intellectual Property owned, licensed or controlled by Parent that is necessary for, or used or held for use in, the operation of the business of Parent. </w:t>
      </w:r>
    </w:p>
    <w:p>
      <w:pPr>
        <w:pStyle w:val="TextBody"/>
        <w:bidi w:val="0"/>
        <w:spacing w:before="240" w:after="0"/>
        <w:jc w:val="left"/>
        <w:rPr/>
      </w:pPr>
      <w:r>
        <w:rPr/>
        <w:t>“</w:t>
      </w:r>
      <w:r>
        <w:rPr>
          <w:rFonts w:ascii="Times New Roman" w:hAnsi="Times New Roman"/>
          <w:b/>
          <w:sz w:val="20"/>
        </w:rPr>
        <w:t>Parent Key Employee</w:t>
      </w:r>
      <w:r>
        <w:rPr>
          <w:rFonts w:ascii="Times New Roman" w:hAnsi="Times New Roman"/>
          <w:sz w:val="20"/>
        </w:rPr>
        <w:t xml:space="preserve">” means (i) an executive officer of Parent; and (ii) any employee of Parent that reports directly to the Parent Board or to an executive officer of Parent. </w:t>
      </w:r>
    </w:p>
    <w:p>
      <w:pPr>
        <w:pStyle w:val="TextBody"/>
        <w:bidi w:val="0"/>
        <w:spacing w:before="240" w:after="0"/>
        <w:jc w:val="left"/>
        <w:rPr/>
      </w:pPr>
      <w:r>
        <w:rPr/>
        <w:t>“</w:t>
      </w:r>
      <w:r>
        <w:rPr>
          <w:rFonts w:ascii="Times New Roman" w:hAnsi="Times New Roman"/>
          <w:b/>
          <w:sz w:val="20"/>
        </w:rPr>
        <w:t>Parent Legacy Business</w:t>
      </w:r>
      <w:r>
        <w:rPr>
          <w:rFonts w:ascii="Times New Roman" w:hAnsi="Times New Roman"/>
          <w:sz w:val="20"/>
        </w:rPr>
        <w:t xml:space="preserve">” means the business of Parent as conducted at any time prior to the date of this Agreement, including but not limited to business related to the assets listed on </w:t>
      </w:r>
      <w:r>
        <w:rPr>
          <w:rFonts w:ascii="Times New Roman" w:hAnsi="Times New Roman"/>
          <w:sz w:val="20"/>
          <w:u w:val="single"/>
        </w:rPr>
        <w:t>Section 1.1(a)</w:t>
      </w:r>
      <w:r>
        <w:rPr>
          <w:rFonts w:ascii="Times New Roman" w:hAnsi="Times New Roman"/>
          <w:sz w:val="20"/>
        </w:rPr>
        <w:t xml:space="preserve"> of the Parent Disclosure Letter. </w:t>
      </w:r>
    </w:p>
    <w:p>
      <w:pPr>
        <w:pStyle w:val="TextBody"/>
        <w:bidi w:val="0"/>
        <w:spacing w:before="240" w:after="0"/>
        <w:jc w:val="left"/>
        <w:rPr/>
      </w:pPr>
      <w:r>
        <w:rPr/>
        <w:t>“</w:t>
      </w:r>
      <w:r>
        <w:rPr>
          <w:rFonts w:ascii="Times New Roman" w:hAnsi="Times New Roman"/>
          <w:b/>
          <w:sz w:val="20"/>
        </w:rPr>
        <w:t>Parent Material Adverse Effect</w:t>
      </w:r>
      <w:r>
        <w:rPr>
          <w:rFonts w:ascii="Times New Roman" w:hAnsi="Times New Roman"/>
          <w:sz w:val="20"/>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financial condition, assets, liabilities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alone or in combination, shall not be taken into account in determining whether there has been a Parent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is expressly required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and its Subsidiaries operate or (g) any failure of Parent to meet any projections, business plans or forecasts (provided that this </w:t>
      </w:r>
      <w:r>
        <w:rPr>
          <w:rFonts w:ascii="Times New Roman" w:hAnsi="Times New Roman"/>
          <w:sz w:val="20"/>
          <w:u w:val="single"/>
        </w:rPr>
        <w:t>clause (g)</w:t>
      </w:r>
      <w:r>
        <w:rPr>
          <w:rFonts w:ascii="Times New Roman" w:hAnsi="Times New Roman"/>
          <w:sz w:val="20"/>
        </w:rPr>
        <w:t xml:space="preserve"> shall not prevent a determination that any change or effect underlying such failure to meet projections, business plans or forecasts has resulted in a Parent Material Adverse Effect (to the extent such change or effect is not otherwise excluded from this definition of Parent Material Adverse Effect)); except, in each case with respect to </w:t>
      </w:r>
      <w:r>
        <w:rPr>
          <w:rFonts w:ascii="Times New Roman" w:hAnsi="Times New Roman"/>
          <w:sz w:val="20"/>
          <w:u w:val="single"/>
        </w:rPr>
        <w:t>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to the extent materially and disproportionately affecting Parent and its Subsidiaries, taken as a whole, relative to other similarly situated companies in the industries in which Parent or any of its Subsidiaries operate. Notwithstanding the above,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Delisting Event shall constitute a Parent Material Adverse Effect, provided that the Company has not refused or unreasonably delayed its consent to reasonable actions by Parent to maintain the listing of Parent Common Stock on Nasdaq. </w:t>
      </w:r>
    </w:p>
    <w:p>
      <w:pPr>
        <w:pStyle w:val="TextBody"/>
        <w:bidi w:val="0"/>
        <w:spacing w:before="240" w:after="0"/>
        <w:jc w:val="left"/>
        <w:rPr/>
      </w:pPr>
      <w:r>
        <w:rPr/>
        <w:t>“</w:t>
      </w:r>
      <w:r>
        <w:rPr>
          <w:rFonts w:ascii="Times New Roman" w:hAnsi="Times New Roman"/>
          <w:b/>
          <w:sz w:val="20"/>
        </w:rPr>
        <w:t>Parent Net Cash</w:t>
      </w:r>
      <w:r>
        <w:rPr>
          <w:rFonts w:ascii="Times New Roman" w:hAnsi="Times New Roman"/>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the Parent Legacy Transaction prior to the Calculation Date, </w:t>
      </w:r>
      <w:r>
        <w:rPr>
          <w:rFonts w:ascii="Times New Roman" w:hAnsi="Times New Roman"/>
          <w:sz w:val="20"/>
          <w:u w:val="single"/>
        </w:rPr>
        <w:t>plus</w:t>
      </w:r>
      <w:r>
        <w:rPr>
          <w:rFonts w:ascii="Times New Roman" w:hAnsi="Times New Roman"/>
          <w:sz w:val="20"/>
        </w:rPr>
        <w:t xml:space="preserve"> (b) all prepaid expenses, accounts, interests, other receivables and deposits (excluding, for the avoidance of doubt, any Tax refunds) set forth on </w:t>
      </w:r>
      <w:r>
        <w:rPr>
          <w:rFonts w:ascii="Times New Roman" w:hAnsi="Times New Roman"/>
          <w:sz w:val="20"/>
          <w:u w:val="single"/>
        </w:rPr>
        <w:t>Section 1.1(a)</w:t>
      </w:r>
      <w:r>
        <w:rPr>
          <w:rFonts w:ascii="Times New Roman" w:hAnsi="Times New Roman"/>
          <w:sz w:val="20"/>
        </w:rPr>
        <w:t xml:space="preserve"> of the Parent Disclosure Letter, </w:t>
      </w:r>
      <w:r>
        <w:rPr>
          <w:rFonts w:ascii="Times New Roman" w:hAnsi="Times New Roman"/>
          <w:sz w:val="20"/>
          <w:u w:val="single"/>
        </w:rPr>
        <w:t>minus</w:t>
      </w:r>
      <w:r>
        <w:rPr>
          <w:rFonts w:ascii="Times New Roman" w:hAnsi="Times New Roman"/>
          <w:sz w:val="20"/>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hAnsi="Times New Roman"/>
          <w:sz w:val="20"/>
          <w:u w:val="single"/>
        </w:rPr>
        <w:t>minus</w:t>
      </w:r>
      <w:r>
        <w:rPr>
          <w:rFonts w:ascii="Times New Roman" w:hAnsi="Times New Roman"/>
          <w:sz w:val="20"/>
        </w:rPr>
        <w:t xml:space="preserve"> (d) the aggregate amount (without duplication) of all fees and expenses incurred by Parent prior to the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 connection with the printing, mailing and distribution of the Proxy Statement and any amendments and supplements thereto; (iv) 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Parent Legacy Transaction, together with any payroll Taxes associated therewith; (v) the costs associated with obtaining the “D&amp;O tail policy” pursuant to </w:t>
      </w:r>
      <w:r>
        <w:rPr>
          <w:rFonts w:ascii="Times New Roman" w:hAnsi="Times New Roman"/>
          <w:sz w:val="20"/>
          <w:u w:val="single"/>
        </w:rPr>
        <w:t>Section 6.7</w:t>
      </w:r>
      <w:r>
        <w:rPr>
          <w:rFonts w:ascii="Times New Roman" w:hAnsi="Times New Roman"/>
          <w:sz w:val="20"/>
        </w:rPr>
        <w:t xml:space="preserve">, in each case, to the extent unpaid as of the Effective Time; and (vi) the dividend of any excess Parent Net Cash (to the extent declared and unpaid) and all costs and expenses associated therewith, </w:t>
      </w:r>
      <w:r>
        <w:rPr>
          <w:rFonts w:ascii="Times New Roman" w:hAnsi="Times New Roman"/>
          <w:sz w:val="20"/>
          <w:u w:val="single"/>
        </w:rPr>
        <w:t>minus</w:t>
      </w:r>
      <w:r>
        <w:rPr>
          <w:rFonts w:ascii="Times New Roman" w:hAnsi="Times New Roman"/>
          <w:sz w:val="20"/>
        </w:rPr>
        <w:t xml:space="preserve"> (e) all remaining rent payments and fees and expenses associated with terminating the Parent Real Estate Leases, </w:t>
      </w:r>
      <w:r>
        <w:rPr>
          <w:rFonts w:ascii="Times New Roman" w:hAnsi="Times New Roman"/>
          <w:sz w:val="20"/>
          <w:u w:val="single"/>
        </w:rPr>
        <w:t>minus</w:t>
      </w:r>
      <w:r>
        <w:rPr>
          <w:rFonts w:ascii="Times New Roman" w:hAnsi="Times New Roman"/>
          <w:sz w:val="20"/>
        </w:rPr>
        <w:t xml:space="preserve"> (f) the Accrued Pre-Closing Tax Amount, </w:t>
      </w:r>
      <w:r>
        <w:rPr>
          <w:rFonts w:ascii="Times New Roman" w:hAnsi="Times New Roman"/>
          <w:sz w:val="20"/>
          <w:u w:val="single"/>
        </w:rPr>
        <w:t>minus</w:t>
      </w:r>
      <w:r>
        <w:rPr>
          <w:rFonts w:ascii="Times New Roman" w:hAnsi="Times New Roman"/>
          <w:sz w:val="20"/>
        </w:rPr>
        <w:t xml:space="preserve"> (g) all costs and expenses relating to the winding down of the Parent Legacy Business, including the sale, license or other disposition of any or all of the Parent Legacy Business to the extent unpaid as of the Closing (including, without limitation, the Post-Closing Welfare Plan Continuation Expense, if any), </w:t>
      </w:r>
      <w:r>
        <w:rPr>
          <w:rFonts w:ascii="Times New Roman" w:hAnsi="Times New Roman"/>
          <w:sz w:val="20"/>
          <w:u w:val="single"/>
        </w:rPr>
        <w:t>minus</w:t>
      </w:r>
      <w:r>
        <w:rPr>
          <w:rFonts w:ascii="Times New Roman" w:hAnsi="Times New Roman"/>
          <w:sz w:val="20"/>
        </w:rPr>
        <w:t xml:space="preserve"> (h) to the extent not declared and paid prior to delivery of the Parent Net Cash Schedule and without double-counting, the Parent Pre-Closing Dividend Amount, </w:t>
      </w:r>
      <w:r>
        <w:rPr>
          <w:rFonts w:ascii="Times New Roman" w:hAnsi="Times New Roman"/>
          <w:sz w:val="20"/>
          <w:u w:val="single"/>
        </w:rPr>
        <w:t>plus</w:t>
      </w:r>
      <w:r>
        <w:rPr>
          <w:rFonts w:ascii="Times New Roman" w:hAnsi="Times New Roman"/>
          <w:sz w:val="20"/>
        </w:rPr>
        <w:t xml:space="preserve"> (i) $500,000 for each month, or portion thereof, after November 22, 2026 by which Closing is delayed primarily as a result of the Company’s failure to provide Company Required S-4 Information, which amount shall begin accruing on November 23, 2026;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portion of the fees and expenses described in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w:t>
      </w:r>
      <w:r>
        <w:rPr>
          <w:rFonts w:ascii="Times New Roman" w:hAnsi="Times New Roman"/>
          <w:sz w:val="20"/>
          <w:u w:val="single"/>
        </w:rPr>
        <w:t>clause (d)</w:t>
      </w:r>
      <w:r>
        <w:rPr>
          <w:rFonts w:ascii="Times New Roman" w:hAnsi="Times New Roman"/>
          <w:sz w:val="20"/>
        </w:rPr>
        <w:t xml:space="preserve"> have been paid by Parent prior to the Effective Time in an amount greater than Parent’s share of such fee and expense described in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then (x) such portion in excess of Parent’s shares of such fee and expense described in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shall not be deducted by reason of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w:t>
      </w:r>
      <w:r>
        <w:rPr>
          <w:rFonts w:ascii="Times New Roman" w:hAnsi="Times New Roman"/>
          <w:sz w:val="20"/>
          <w:u w:val="single"/>
        </w:rPr>
        <w:t>clause (d)</w:t>
      </w:r>
      <w:r>
        <w:rPr>
          <w:rFonts w:ascii="Times New Roman" w:hAnsi="Times New Roman"/>
          <w:sz w:val="20"/>
        </w:rPr>
        <w:t xml:space="preserve">, and (y) such portion shall be added to the calculation of Parent Net Cash. For avoidance of doubt, the calculation of Parent Net Cash may result in a number below $0. </w:t>
      </w:r>
    </w:p>
    <w:p>
      <w:pPr>
        <w:pStyle w:val="TextBody"/>
        <w:bidi w:val="0"/>
        <w:spacing w:before="240" w:after="0"/>
        <w:jc w:val="left"/>
        <w:rPr/>
      </w:pPr>
      <w:r>
        <w:rPr/>
        <w:t>“</w:t>
      </w:r>
      <w:r>
        <w:rPr>
          <w:rFonts w:ascii="Times New Roman" w:hAnsi="Times New Roman"/>
          <w:b/>
          <w:sz w:val="20"/>
        </w:rPr>
        <w:t>Parent Options</w:t>
      </w:r>
      <w:r>
        <w:rPr>
          <w:rFonts w:ascii="Times New Roman" w:hAnsi="Times New Roman"/>
          <w:sz w:val="20"/>
        </w:rPr>
        <w:t xml:space="preserve">” means options or other rights to purchase shares of Parent Common Stock granted by Parent, including pursuant to any Parent Stock Plan. </w:t>
      </w:r>
    </w:p>
    <w:p>
      <w:pPr>
        <w:pStyle w:val="TextBody"/>
        <w:bidi w:val="0"/>
        <w:spacing w:before="240" w:after="0"/>
        <w:jc w:val="left"/>
        <w:rPr/>
      </w:pPr>
      <w:r>
        <w:rPr/>
        <w:t>“</w:t>
      </w:r>
      <w:r>
        <w:rPr>
          <w:rFonts w:ascii="Times New Roman" w:hAnsi="Times New Roman"/>
          <w:b/>
          <w:sz w:val="20"/>
        </w:rPr>
        <w:t>Parent Preferred Stock</w:t>
      </w:r>
      <w:r>
        <w:rPr>
          <w:rFonts w:ascii="Times New Roman" w:hAnsi="Times New Roman"/>
          <w:sz w:val="20"/>
        </w:rPr>
        <w:t xml:space="preserve">” means the shares of Parent’s capital stock designated as preferred stock, par value $0.0001 per share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Parent Registered IP</w:t>
      </w:r>
      <w:r>
        <w:rPr>
          <w:rFonts w:ascii="Times New Roman" w:hAnsi="Times New Roman"/>
          <w:sz w:val="20"/>
        </w:rPr>
        <w:t xml:space="preserve">”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left"/>
        <w:rPr/>
      </w:pPr>
      <w:r>
        <w:rPr/>
        <w:t>“</w:t>
      </w:r>
      <w:r>
        <w:rPr>
          <w:rFonts w:ascii="Times New Roman" w:hAnsi="Times New Roman"/>
          <w:b/>
          <w:sz w:val="20"/>
        </w:rPr>
        <w:t>Parent Triggering Event</w:t>
      </w:r>
      <w:r>
        <w:rPr>
          <w:rFonts w:ascii="Times New Roman" w:hAnsi="Times New Roman"/>
          <w:sz w:val="20"/>
        </w:rPr>
        <w:t xml:space="preserve">” shall be deemed to have occurred if, prior to the approval of this Agreement and the Contemplated Transactions by Parent’s stockholders and subject to </w:t>
      </w:r>
      <w:r>
        <w:rPr>
          <w:rFonts w:ascii="Times New Roman" w:hAnsi="Times New Roman"/>
          <w:sz w:val="20"/>
          <w:u w:val="single"/>
        </w:rPr>
        <w:t>Section 6.3(c)</w:t>
      </w:r>
      <w:r>
        <w:rPr>
          <w:rFonts w:ascii="Times New Roman" w:hAnsi="Times New Roman"/>
          <w:sz w:val="20"/>
        </w:rPr>
        <w:t xml:space="preserve">: (a) Parent shall have failed to include in the Proxy Statement the Parent Board Recommendation, (b) the Parent Board or any committee thereof shall have made a Parent Board Adverse Recommendation Change or subject to </w:t>
      </w:r>
      <w:r>
        <w:rPr>
          <w:rFonts w:ascii="Times New Roman" w:hAnsi="Times New Roman"/>
          <w:sz w:val="20"/>
          <w:u w:val="single"/>
        </w:rPr>
        <w:t>Section 6.3(e)</w:t>
      </w:r>
      <w:r>
        <w:rPr>
          <w:rFonts w:ascii="Times New Roman" w:hAnsi="Times New Roman"/>
          <w:sz w:val="20"/>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Parent.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will be or have been made on the financial statements of the Company or the Parent Balance Sheet, as applicable,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(b) minor non-monetary liens that have arisen in the Ordinary Course of Business and that do not (in any case or in the aggregate)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means information that is considered “personally identifiable information,” “personal information,” “personal data,” “clinical trial data,” “consumer health data,” or any similar term by any applicable Privacy Laws.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Laws relating to privacy, data security, data breach notification, or the processing of Personal Information.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that certain registration rights agreement, dated as of the date hereof, by and among the Company and the several investors signatory thereto.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with respect to a Person, such Person’s directors, officers, employees, agents, attorneys, accountants, investment bankers, advisors and other representatives.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and any termination or break up fees and conditions to consummation), as well as any written offer by the other Party to this Agreement to amend the terms of this Agreement, and following consultation with its outside legal counsel and financial advisors, if any, are more favorable, from a financial point of view, to Parent’s stockholders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pPr>
      <w:r>
        <w:rPr/>
        <w:t>“</w:t>
      </w:r>
      <w:r>
        <w:rPr>
          <w:rFonts w:ascii="Times New Roman" w:hAnsi="Times New Roman"/>
          <w:b/>
          <w:sz w:val="20"/>
        </w:rPr>
        <w:t>Yoltech Warrant</w:t>
      </w:r>
      <w:r>
        <w:rPr>
          <w:rFonts w:ascii="Times New Roman" w:hAnsi="Times New Roman"/>
          <w:sz w:val="20"/>
        </w:rPr>
        <w:t xml:space="preserve">” means that certain Company Warrant, dated as of June 12, 2026, issued to YolTech Therapeutics Co., Ltd. in connection with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(a) Each of the following terms is defined in the Section set forth opposite such term: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79"/>
        <w:gridCol w:w="213"/>
        <w:gridCol w:w="913"/>
      </w:tblGrid>
      <w:tr>
        <w:trPr/>
        <w:tc>
          <w:tcPr>
            <w:tcW w:w="9079"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90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213" w:type="dxa"/>
            <w:tcBorders/>
            <w:vAlign w:val="bottom"/>
          </w:tcPr>
          <w:p>
            <w:pPr>
              <w:pStyle w:val="TableContents"/>
              <w:bidi w:val="0"/>
              <w:spacing w:before="0" w:after="283"/>
              <w:jc w:val="left"/>
              <w:rPr/>
            </w:pPr>
            <w:r>
              <w:rPr/>
              <w:t>  </w:t>
            </w:r>
          </w:p>
        </w:tc>
        <w:tc>
          <w:tcPr>
            <w:tcW w:w="9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9079" w:type="dxa"/>
            <w:tcBorders/>
          </w:tcPr>
          <w:p>
            <w:pPr>
              <w:pStyle w:val="TableContents"/>
              <w:bidi w:val="0"/>
              <w:spacing w:before="0" w:after="283"/>
              <w:jc w:val="left"/>
              <w:rPr/>
            </w:pPr>
            <w:r>
              <w:rPr/>
              <w:t>AAA</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2.8(f)</w:t>
            </w:r>
          </w:p>
        </w:tc>
      </w:tr>
      <w:tr>
        <w:trPr/>
        <w:tc>
          <w:tcPr>
            <w:tcW w:w="9079" w:type="dxa"/>
            <w:tcBorders/>
          </w:tcPr>
          <w:p>
            <w:pPr>
              <w:pStyle w:val="TableContents"/>
              <w:bidi w:val="0"/>
              <w:spacing w:before="0" w:after="283"/>
              <w:jc w:val="left"/>
              <w:rPr/>
            </w:pPr>
            <w:r>
              <w:rPr/>
              <w:t>Accounting Firm</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2.8(f)</w:t>
            </w:r>
          </w:p>
        </w:tc>
      </w:tr>
      <w:tr>
        <w:trPr/>
        <w:tc>
          <w:tcPr>
            <w:tcW w:w="9079" w:type="dxa"/>
            <w:tcBorders/>
          </w:tcPr>
          <w:p>
            <w:pPr>
              <w:pStyle w:val="TableContents"/>
              <w:bidi w:val="0"/>
              <w:spacing w:before="0" w:after="283"/>
              <w:jc w:val="left"/>
              <w:rPr/>
            </w:pPr>
            <w:r>
              <w:rPr/>
              <w:t>Agreement</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Preamble</w:t>
            </w:r>
          </w:p>
        </w:tc>
      </w:tr>
      <w:tr>
        <w:trPr/>
        <w:tc>
          <w:tcPr>
            <w:tcW w:w="9079" w:type="dxa"/>
            <w:tcBorders/>
          </w:tcPr>
          <w:p>
            <w:pPr>
              <w:pStyle w:val="TableContents"/>
              <w:bidi w:val="0"/>
              <w:spacing w:before="0" w:after="283"/>
              <w:jc w:val="left"/>
              <w:rPr/>
            </w:pPr>
            <w:r>
              <w:rPr/>
              <w:t>Allocation Certificate</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6.15</w:t>
            </w:r>
          </w:p>
        </w:tc>
      </w:tr>
      <w:tr>
        <w:trPr/>
        <w:tc>
          <w:tcPr>
            <w:tcW w:w="9079" w:type="dxa"/>
            <w:tcBorders/>
          </w:tcPr>
          <w:p>
            <w:pPr>
              <w:pStyle w:val="TableContents"/>
              <w:bidi w:val="0"/>
              <w:spacing w:before="0" w:after="283"/>
              <w:jc w:val="left"/>
              <w:rPr/>
            </w:pPr>
            <w:r>
              <w:rPr/>
              <w:t>Assumed Option</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6.5(a)</w:t>
            </w:r>
          </w:p>
        </w:tc>
      </w:tr>
      <w:tr>
        <w:trPr/>
        <w:tc>
          <w:tcPr>
            <w:tcW w:w="9079" w:type="dxa"/>
            <w:tcBorders/>
          </w:tcPr>
          <w:p>
            <w:pPr>
              <w:pStyle w:val="TableContents"/>
              <w:bidi w:val="0"/>
              <w:spacing w:before="0" w:after="283"/>
              <w:jc w:val="left"/>
              <w:rPr/>
            </w:pPr>
            <w:r>
              <w:rPr/>
              <w:t>Assumed Warrant</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6.5(b)</w:t>
            </w:r>
          </w:p>
        </w:tc>
      </w:tr>
      <w:tr>
        <w:trPr/>
        <w:tc>
          <w:tcPr>
            <w:tcW w:w="9079" w:type="dxa"/>
            <w:tcBorders/>
          </w:tcPr>
          <w:p>
            <w:pPr>
              <w:pStyle w:val="TableContents"/>
              <w:bidi w:val="0"/>
              <w:spacing w:before="0" w:after="283"/>
              <w:jc w:val="left"/>
              <w:rPr/>
            </w:pPr>
            <w:r>
              <w:rPr/>
              <w:t>Capitalization Date</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4.6(a)</w:t>
            </w:r>
          </w:p>
        </w:tc>
      </w:tr>
      <w:tr>
        <w:trPr/>
        <w:tc>
          <w:tcPr>
            <w:tcW w:w="9079" w:type="dxa"/>
            <w:tcBorders/>
          </w:tcPr>
          <w:p>
            <w:pPr>
              <w:pStyle w:val="TableContents"/>
              <w:bidi w:val="0"/>
              <w:spacing w:before="0" w:after="283"/>
              <w:jc w:val="left"/>
              <w:rPr/>
            </w:pPr>
            <w:r>
              <w:rPr/>
              <w:t>Cash Determination Time</w:t>
            </w:r>
          </w:p>
        </w:tc>
        <w:tc>
          <w:tcPr>
            <w:tcW w:w="213" w:type="dxa"/>
            <w:tcBorders/>
            <w:vAlign w:val="bottom"/>
          </w:tcPr>
          <w:p>
            <w:pPr>
              <w:pStyle w:val="TableContents"/>
              <w:bidi w:val="0"/>
              <w:spacing w:before="0" w:after="283"/>
              <w:jc w:val="left"/>
              <w:rPr/>
            </w:pPr>
            <w:r>
              <w:rPr/>
              <w:t>  </w:t>
            </w:r>
          </w:p>
        </w:tc>
        <w:tc>
          <w:tcPr>
            <w:tcW w:w="913" w:type="dxa"/>
            <w:tcBorders/>
          </w:tcPr>
          <w:p>
            <w:pPr>
              <w:pStyle w:val="TableContents"/>
              <w:bidi w:val="0"/>
              <w:spacing w:before="0" w:after="283"/>
              <w:jc w:val="left"/>
              <w:rPr/>
            </w:pPr>
            <w:r>
              <w:rPr/>
              <w:t>2.8(a)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87"/>
        <w:gridCol w:w="211"/>
        <w:gridCol w:w="907"/>
      </w:tblGrid>
      <w:tr>
        <w:trPr/>
        <w:tc>
          <w:tcPr>
            <w:tcW w:w="9087"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90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211" w:type="dxa"/>
            <w:tcBorders/>
            <w:vAlign w:val="bottom"/>
          </w:tcPr>
          <w:p>
            <w:pPr>
              <w:pStyle w:val="TableContents"/>
              <w:bidi w:val="0"/>
              <w:spacing w:before="0" w:after="283"/>
              <w:jc w:val="left"/>
              <w:rPr/>
            </w:pPr>
            <w:r>
              <w:rPr/>
              <w:t>  </w:t>
            </w:r>
          </w:p>
        </w:tc>
        <w:tc>
          <w:tcPr>
            <w:tcW w:w="9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9087" w:type="dxa"/>
            <w:tcBorders/>
          </w:tcPr>
          <w:p>
            <w:pPr>
              <w:pStyle w:val="TableContents"/>
              <w:bidi w:val="0"/>
              <w:spacing w:before="0" w:after="283"/>
              <w:jc w:val="left"/>
              <w:rPr/>
            </w:pPr>
            <w:r>
              <w:rPr/>
              <w:t>Certificate of Merger</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2.3</w:t>
            </w:r>
          </w:p>
        </w:tc>
      </w:tr>
      <w:tr>
        <w:trPr/>
        <w:tc>
          <w:tcPr>
            <w:tcW w:w="9087" w:type="dxa"/>
            <w:tcBorders/>
          </w:tcPr>
          <w:p>
            <w:pPr>
              <w:pStyle w:val="TableContents"/>
              <w:bidi w:val="0"/>
              <w:spacing w:before="0" w:after="283"/>
              <w:jc w:val="left"/>
              <w:rPr/>
            </w:pPr>
            <w:r>
              <w:rPr/>
              <w:t>Certifications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4.7(a)</w:t>
            </w:r>
          </w:p>
        </w:tc>
      </w:tr>
      <w:tr>
        <w:trPr/>
        <w:tc>
          <w:tcPr>
            <w:tcW w:w="9087" w:type="dxa"/>
            <w:tcBorders/>
          </w:tcPr>
          <w:p>
            <w:pPr>
              <w:pStyle w:val="TableContents"/>
              <w:bidi w:val="0"/>
              <w:spacing w:before="0" w:after="283"/>
              <w:jc w:val="left"/>
              <w:rPr/>
            </w:pPr>
            <w:r>
              <w:rPr/>
              <w:t>Closing Date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2.3</w:t>
            </w:r>
          </w:p>
        </w:tc>
      </w:tr>
      <w:tr>
        <w:trPr/>
        <w:tc>
          <w:tcPr>
            <w:tcW w:w="9087" w:type="dxa"/>
            <w:tcBorders/>
          </w:tcPr>
          <w:p>
            <w:pPr>
              <w:pStyle w:val="TableContents"/>
              <w:bidi w:val="0"/>
              <w:spacing w:before="0" w:after="283"/>
              <w:jc w:val="left"/>
              <w:rPr/>
            </w:pPr>
            <w:r>
              <w:rPr/>
              <w:t>Closing</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2.3</w:t>
            </w:r>
          </w:p>
        </w:tc>
      </w:tr>
      <w:tr>
        <w:trPr/>
        <w:tc>
          <w:tcPr>
            <w:tcW w:w="9087" w:type="dxa"/>
            <w:tcBorders/>
          </w:tcPr>
          <w:p>
            <w:pPr>
              <w:pStyle w:val="TableContents"/>
              <w:bidi w:val="0"/>
              <w:spacing w:before="0" w:after="283"/>
              <w:jc w:val="left"/>
              <w:rPr/>
            </w:pPr>
            <w:r>
              <w:rPr/>
              <w:t>Company 409A Plan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3.17(j)</w:t>
            </w:r>
          </w:p>
        </w:tc>
      </w:tr>
      <w:tr>
        <w:trPr/>
        <w:tc>
          <w:tcPr>
            <w:tcW w:w="9087" w:type="dxa"/>
            <w:tcBorders/>
          </w:tcPr>
          <w:p>
            <w:pPr>
              <w:pStyle w:val="TableContents"/>
              <w:bidi w:val="0"/>
              <w:spacing w:before="0" w:after="283"/>
              <w:jc w:val="left"/>
              <w:rPr/>
            </w:pPr>
            <w:r>
              <w:rPr/>
              <w:t>Company Board Adverse Recommendation Change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6.2(d)</w:t>
            </w:r>
          </w:p>
        </w:tc>
      </w:tr>
      <w:tr>
        <w:trPr/>
        <w:tc>
          <w:tcPr>
            <w:tcW w:w="9087" w:type="dxa"/>
            <w:tcBorders/>
          </w:tcPr>
          <w:p>
            <w:pPr>
              <w:pStyle w:val="TableContents"/>
              <w:bidi w:val="0"/>
              <w:spacing w:before="0" w:after="283"/>
              <w:jc w:val="left"/>
              <w:rPr/>
            </w:pPr>
            <w:r>
              <w:rPr/>
              <w:t>Company Board Recommendation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6.2(c)</w:t>
            </w:r>
          </w:p>
        </w:tc>
      </w:tr>
      <w:tr>
        <w:trPr/>
        <w:tc>
          <w:tcPr>
            <w:tcW w:w="9087" w:type="dxa"/>
            <w:tcBorders/>
          </w:tcPr>
          <w:p>
            <w:pPr>
              <w:pStyle w:val="TableContents"/>
              <w:bidi w:val="0"/>
              <w:spacing w:before="0" w:after="283"/>
              <w:jc w:val="left"/>
              <w:rPr/>
            </w:pPr>
            <w:r>
              <w:rPr/>
              <w:t>Company Disclosure Letter</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Section 3</w:t>
            </w:r>
          </w:p>
        </w:tc>
      </w:tr>
      <w:tr>
        <w:trPr/>
        <w:tc>
          <w:tcPr>
            <w:tcW w:w="9087" w:type="dxa"/>
            <w:tcBorders/>
          </w:tcPr>
          <w:p>
            <w:pPr>
              <w:pStyle w:val="TableContents"/>
              <w:bidi w:val="0"/>
              <w:spacing w:before="0" w:after="283"/>
              <w:jc w:val="left"/>
              <w:rPr/>
            </w:pPr>
            <w:r>
              <w:rPr/>
              <w:t>Company Material Contract</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3.13(a)</w:t>
            </w:r>
          </w:p>
        </w:tc>
      </w:tr>
      <w:tr>
        <w:trPr/>
        <w:tc>
          <w:tcPr>
            <w:tcW w:w="9087" w:type="dxa"/>
            <w:tcBorders/>
          </w:tcPr>
          <w:p>
            <w:pPr>
              <w:pStyle w:val="TableContents"/>
              <w:bidi w:val="0"/>
              <w:spacing w:before="0" w:after="283"/>
              <w:jc w:val="left"/>
              <w:rPr/>
            </w:pPr>
            <w:r>
              <w:rPr/>
              <w:t>Company Material Contracts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3.13(a)</w:t>
            </w:r>
          </w:p>
        </w:tc>
      </w:tr>
      <w:tr>
        <w:trPr/>
        <w:tc>
          <w:tcPr>
            <w:tcW w:w="9087" w:type="dxa"/>
            <w:tcBorders/>
          </w:tcPr>
          <w:p>
            <w:pPr>
              <w:pStyle w:val="TableContents"/>
              <w:bidi w:val="0"/>
              <w:spacing w:before="0" w:after="283"/>
              <w:jc w:val="left"/>
              <w:rPr/>
            </w:pPr>
            <w:r>
              <w:rPr/>
              <w:t>Company Permits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3.14(b)</w:t>
            </w:r>
          </w:p>
        </w:tc>
      </w:tr>
      <w:tr>
        <w:trPr/>
        <w:tc>
          <w:tcPr>
            <w:tcW w:w="9087" w:type="dxa"/>
            <w:tcBorders/>
          </w:tcPr>
          <w:p>
            <w:pPr>
              <w:pStyle w:val="TableContents"/>
              <w:bidi w:val="0"/>
              <w:spacing w:before="0" w:after="283"/>
              <w:jc w:val="left"/>
              <w:rPr/>
            </w:pPr>
            <w:r>
              <w:rPr/>
              <w:t>Company Product Candidates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3.14(d)</w:t>
            </w:r>
          </w:p>
        </w:tc>
      </w:tr>
      <w:tr>
        <w:trPr/>
        <w:tc>
          <w:tcPr>
            <w:tcW w:w="9087" w:type="dxa"/>
            <w:tcBorders/>
          </w:tcPr>
          <w:p>
            <w:pPr>
              <w:pStyle w:val="TableContents"/>
              <w:bidi w:val="0"/>
              <w:spacing w:before="0" w:after="283"/>
              <w:jc w:val="left"/>
              <w:rPr/>
            </w:pPr>
            <w:r>
              <w:rPr/>
              <w:t>Company Real Estate Leases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3.11</w:t>
            </w:r>
          </w:p>
        </w:tc>
      </w:tr>
      <w:tr>
        <w:trPr/>
        <w:tc>
          <w:tcPr>
            <w:tcW w:w="9087" w:type="dxa"/>
            <w:tcBorders/>
          </w:tcPr>
          <w:p>
            <w:pPr>
              <w:pStyle w:val="TableContents"/>
              <w:bidi w:val="0"/>
              <w:spacing w:before="0" w:after="283"/>
              <w:jc w:val="left"/>
              <w:rPr/>
            </w:pPr>
            <w:r>
              <w:rPr/>
              <w:t>Company Regulatory Permits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3.14(d)</w:t>
            </w:r>
          </w:p>
        </w:tc>
      </w:tr>
      <w:tr>
        <w:trPr/>
        <w:tc>
          <w:tcPr>
            <w:tcW w:w="9087" w:type="dxa"/>
            <w:tcBorders/>
          </w:tcPr>
          <w:p>
            <w:pPr>
              <w:pStyle w:val="TableContents"/>
              <w:bidi w:val="0"/>
              <w:spacing w:before="0" w:after="283"/>
              <w:jc w:val="left"/>
              <w:rPr/>
            </w:pPr>
            <w:r>
              <w:rPr/>
              <w:t>Company Required S-4 Information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6.1(d)</w:t>
            </w:r>
          </w:p>
        </w:tc>
      </w:tr>
      <w:tr>
        <w:trPr/>
        <w:tc>
          <w:tcPr>
            <w:tcW w:w="9087" w:type="dxa"/>
            <w:tcBorders/>
          </w:tcPr>
          <w:p>
            <w:pPr>
              <w:pStyle w:val="TableContents"/>
              <w:bidi w:val="0"/>
              <w:spacing w:before="0" w:after="283"/>
              <w:jc w:val="left"/>
              <w:rPr/>
            </w:pPr>
            <w:r>
              <w:rPr/>
              <w:t>Company Stockholder Support Agreement</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Recital</w:t>
            </w:r>
          </w:p>
        </w:tc>
      </w:tr>
      <w:tr>
        <w:trPr/>
        <w:tc>
          <w:tcPr>
            <w:tcW w:w="9087" w:type="dxa"/>
            <w:tcBorders/>
          </w:tcPr>
          <w:p>
            <w:pPr>
              <w:pStyle w:val="TableContents"/>
              <w:bidi w:val="0"/>
              <w:spacing w:before="0" w:after="283"/>
              <w:jc w:val="left"/>
              <w:rPr/>
            </w:pPr>
            <w:r>
              <w:rPr/>
              <w:t>Company Stockholder Written Consents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6.2(a)</w:t>
            </w:r>
          </w:p>
        </w:tc>
      </w:tr>
      <w:tr>
        <w:trPr/>
        <w:tc>
          <w:tcPr>
            <w:tcW w:w="9087" w:type="dxa"/>
            <w:tcBorders/>
          </w:tcPr>
          <w:p>
            <w:pPr>
              <w:pStyle w:val="TableContents"/>
              <w:bidi w:val="0"/>
              <w:spacing w:before="0" w:after="283"/>
              <w:jc w:val="left"/>
              <w:rPr/>
            </w:pPr>
            <w:r>
              <w:rPr/>
              <w:t>Company Termination Fee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10.3(b)</w:t>
            </w:r>
          </w:p>
        </w:tc>
      </w:tr>
      <w:tr>
        <w:trPr/>
        <w:tc>
          <w:tcPr>
            <w:tcW w:w="9087" w:type="dxa"/>
            <w:tcBorders/>
          </w:tcPr>
          <w:p>
            <w:pPr>
              <w:pStyle w:val="TableContents"/>
              <w:bidi w:val="0"/>
              <w:spacing w:before="0" w:after="283"/>
              <w:jc w:val="left"/>
              <w:rPr/>
            </w:pPr>
            <w:r>
              <w:rPr/>
              <w:t>Company Valuation Calculation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2.8(b)</w:t>
            </w:r>
          </w:p>
        </w:tc>
      </w:tr>
      <w:tr>
        <w:trPr/>
        <w:tc>
          <w:tcPr>
            <w:tcW w:w="9087" w:type="dxa"/>
            <w:tcBorders/>
          </w:tcPr>
          <w:p>
            <w:pPr>
              <w:pStyle w:val="TableContents"/>
              <w:bidi w:val="0"/>
              <w:spacing w:before="0" w:after="283"/>
              <w:jc w:val="left"/>
              <w:rPr/>
            </w:pPr>
            <w:r>
              <w:rPr/>
              <w:t>Company Valuation Delivery Date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2.8(b)</w:t>
            </w:r>
          </w:p>
        </w:tc>
      </w:tr>
      <w:tr>
        <w:trPr/>
        <w:tc>
          <w:tcPr>
            <w:tcW w:w="9087" w:type="dxa"/>
            <w:tcBorders/>
          </w:tcPr>
          <w:p>
            <w:pPr>
              <w:pStyle w:val="TableContents"/>
              <w:bidi w:val="0"/>
              <w:spacing w:before="0" w:after="283"/>
              <w:jc w:val="left"/>
              <w:rPr/>
            </w:pPr>
            <w:r>
              <w:rPr/>
              <w:t>Company Valuation Determination Time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2.8(b)</w:t>
            </w:r>
          </w:p>
        </w:tc>
      </w:tr>
      <w:tr>
        <w:trPr/>
        <w:tc>
          <w:tcPr>
            <w:tcW w:w="9087" w:type="dxa"/>
            <w:tcBorders/>
          </w:tcPr>
          <w:p>
            <w:pPr>
              <w:pStyle w:val="TableContents"/>
              <w:bidi w:val="0"/>
              <w:spacing w:before="0" w:after="283"/>
              <w:jc w:val="left"/>
              <w:rPr/>
            </w:pPr>
            <w:r>
              <w:rPr/>
              <w:t>Company Valuation Dispute Notice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2.8(c)</w:t>
            </w:r>
          </w:p>
        </w:tc>
      </w:tr>
      <w:tr>
        <w:trPr/>
        <w:tc>
          <w:tcPr>
            <w:tcW w:w="9087" w:type="dxa"/>
            <w:tcBorders/>
          </w:tcPr>
          <w:p>
            <w:pPr>
              <w:pStyle w:val="TableContents"/>
              <w:bidi w:val="0"/>
              <w:spacing w:before="0" w:after="283"/>
              <w:jc w:val="left"/>
              <w:rPr/>
            </w:pPr>
            <w:r>
              <w:rPr/>
              <w:t>Company Valuation Response Date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2.8(c)</w:t>
            </w:r>
          </w:p>
        </w:tc>
      </w:tr>
      <w:tr>
        <w:trPr/>
        <w:tc>
          <w:tcPr>
            <w:tcW w:w="9087" w:type="dxa"/>
            <w:tcBorders/>
          </w:tcPr>
          <w:p>
            <w:pPr>
              <w:pStyle w:val="TableContents"/>
              <w:bidi w:val="0"/>
              <w:spacing w:before="0" w:after="283"/>
              <w:jc w:val="left"/>
              <w:rPr/>
            </w:pPr>
            <w:r>
              <w:rPr/>
              <w:t>Company Valuation Schedule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2.8(b)</w:t>
            </w:r>
          </w:p>
        </w:tc>
      </w:tr>
      <w:tr>
        <w:trPr/>
        <w:tc>
          <w:tcPr>
            <w:tcW w:w="9087" w:type="dxa"/>
            <w:tcBorders/>
          </w:tcPr>
          <w:p>
            <w:pPr>
              <w:pStyle w:val="TableContents"/>
              <w:bidi w:val="0"/>
              <w:spacing w:before="0" w:after="283"/>
              <w:jc w:val="left"/>
              <w:rPr/>
            </w:pPr>
            <w:r>
              <w:rPr/>
              <w:t>Company</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Preamble</w:t>
            </w:r>
          </w:p>
        </w:tc>
      </w:tr>
      <w:tr>
        <w:trPr/>
        <w:tc>
          <w:tcPr>
            <w:tcW w:w="9087" w:type="dxa"/>
            <w:tcBorders/>
          </w:tcPr>
          <w:p>
            <w:pPr>
              <w:pStyle w:val="TableContents"/>
              <w:bidi w:val="0"/>
              <w:spacing w:before="0" w:after="283"/>
              <w:jc w:val="left"/>
              <w:rPr/>
            </w:pPr>
            <w:r>
              <w:rPr/>
              <w:t>Costs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6.7(a)</w:t>
            </w:r>
          </w:p>
        </w:tc>
      </w:tr>
      <w:tr>
        <w:trPr/>
        <w:tc>
          <w:tcPr>
            <w:tcW w:w="9087" w:type="dxa"/>
            <w:tcBorders/>
          </w:tcPr>
          <w:p>
            <w:pPr>
              <w:pStyle w:val="TableContents"/>
              <w:bidi w:val="0"/>
              <w:spacing w:before="0" w:after="283"/>
              <w:jc w:val="left"/>
              <w:rPr/>
            </w:pPr>
            <w:r>
              <w:rPr/>
              <w:t>D&amp;O Indemnified Parties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6.7(a)</w:t>
            </w:r>
          </w:p>
        </w:tc>
      </w:tr>
      <w:tr>
        <w:trPr/>
        <w:tc>
          <w:tcPr>
            <w:tcW w:w="9087" w:type="dxa"/>
            <w:tcBorders/>
          </w:tcPr>
          <w:p>
            <w:pPr>
              <w:pStyle w:val="TableContents"/>
              <w:bidi w:val="0"/>
              <w:spacing w:before="0" w:after="283"/>
              <w:jc w:val="left"/>
              <w:rPr/>
            </w:pPr>
            <w:r>
              <w:rPr/>
              <w:t>Dispute Notice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2.8(c)</w:t>
            </w:r>
          </w:p>
        </w:tc>
      </w:tr>
      <w:tr>
        <w:trPr/>
        <w:tc>
          <w:tcPr>
            <w:tcW w:w="9087" w:type="dxa"/>
            <w:tcBorders/>
          </w:tcPr>
          <w:p>
            <w:pPr>
              <w:pStyle w:val="TableContents"/>
              <w:bidi w:val="0"/>
              <w:spacing w:before="0" w:after="283"/>
              <w:jc w:val="left"/>
              <w:rPr/>
            </w:pPr>
            <w:r>
              <w:rPr/>
              <w:t>Drug/Device Regulatory Agency</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3.14(b)</w:t>
            </w:r>
          </w:p>
        </w:tc>
      </w:tr>
      <w:tr>
        <w:trPr/>
        <w:tc>
          <w:tcPr>
            <w:tcW w:w="9087" w:type="dxa"/>
            <w:tcBorders/>
          </w:tcPr>
          <w:p>
            <w:pPr>
              <w:pStyle w:val="TableContents"/>
              <w:bidi w:val="0"/>
              <w:spacing w:before="0" w:after="283"/>
              <w:jc w:val="left"/>
              <w:rPr/>
            </w:pPr>
            <w:r>
              <w:rPr/>
              <w:t>Effective Time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2.3</w:t>
            </w:r>
          </w:p>
        </w:tc>
      </w:tr>
      <w:tr>
        <w:trPr/>
        <w:tc>
          <w:tcPr>
            <w:tcW w:w="9087" w:type="dxa"/>
            <w:tcBorders/>
          </w:tcPr>
          <w:p>
            <w:pPr>
              <w:pStyle w:val="TableContents"/>
              <w:bidi w:val="0"/>
              <w:spacing w:before="0" w:after="283"/>
              <w:jc w:val="left"/>
              <w:rPr/>
            </w:pPr>
            <w:r>
              <w:rPr/>
              <w:t>Employment-Related Laws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3.17(k)</w:t>
            </w:r>
          </w:p>
        </w:tc>
      </w:tr>
      <w:tr>
        <w:trPr/>
        <w:tc>
          <w:tcPr>
            <w:tcW w:w="9087" w:type="dxa"/>
            <w:tcBorders/>
          </w:tcPr>
          <w:p>
            <w:pPr>
              <w:pStyle w:val="TableContents"/>
              <w:bidi w:val="0"/>
              <w:spacing w:before="0" w:after="283"/>
              <w:jc w:val="left"/>
              <w:rPr/>
            </w:pPr>
            <w:r>
              <w:rPr/>
              <w:t>End Date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10.1(b)</w:t>
            </w:r>
          </w:p>
        </w:tc>
      </w:tr>
      <w:tr>
        <w:trPr/>
        <w:tc>
          <w:tcPr>
            <w:tcW w:w="9087" w:type="dxa"/>
            <w:tcBorders/>
          </w:tcPr>
          <w:p>
            <w:pPr>
              <w:pStyle w:val="TableContents"/>
              <w:bidi w:val="0"/>
              <w:spacing w:before="0" w:after="283"/>
              <w:jc w:val="left"/>
              <w:rPr/>
            </w:pPr>
            <w:r>
              <w:rPr/>
              <w:t>Exchange Agent</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2.7(a)</w:t>
            </w:r>
          </w:p>
        </w:tc>
      </w:tr>
      <w:tr>
        <w:trPr/>
        <w:tc>
          <w:tcPr>
            <w:tcW w:w="9087" w:type="dxa"/>
            <w:tcBorders/>
          </w:tcPr>
          <w:p>
            <w:pPr>
              <w:pStyle w:val="TableContents"/>
              <w:bidi w:val="0"/>
              <w:spacing w:before="0" w:after="283"/>
              <w:jc w:val="left"/>
              <w:rPr/>
            </w:pPr>
            <w:r>
              <w:rPr/>
              <w:t>FDA</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3.14(b)</w:t>
            </w:r>
          </w:p>
        </w:tc>
      </w:tr>
      <w:tr>
        <w:trPr/>
        <w:tc>
          <w:tcPr>
            <w:tcW w:w="9087" w:type="dxa"/>
            <w:tcBorders/>
          </w:tcPr>
          <w:p>
            <w:pPr>
              <w:pStyle w:val="TableContents"/>
              <w:bidi w:val="0"/>
              <w:spacing w:before="0" w:after="283"/>
              <w:jc w:val="left"/>
              <w:rPr/>
            </w:pPr>
            <w:r>
              <w:rPr/>
              <w:t>FDCA</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3.14(c)</w:t>
            </w:r>
          </w:p>
        </w:tc>
      </w:tr>
      <w:tr>
        <w:trPr/>
        <w:tc>
          <w:tcPr>
            <w:tcW w:w="9087" w:type="dxa"/>
            <w:tcBorders/>
          </w:tcPr>
          <w:p>
            <w:pPr>
              <w:pStyle w:val="TableContents"/>
              <w:bidi w:val="0"/>
              <w:spacing w:before="0" w:after="283"/>
              <w:jc w:val="left"/>
              <w:rPr/>
            </w:pPr>
            <w:r>
              <w:rPr/>
              <w:t>Form S-4</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6.1(a)</w:t>
            </w:r>
          </w:p>
        </w:tc>
      </w:tr>
      <w:tr>
        <w:trPr/>
        <w:tc>
          <w:tcPr>
            <w:tcW w:w="9087" w:type="dxa"/>
            <w:tcBorders/>
          </w:tcPr>
          <w:p>
            <w:pPr>
              <w:pStyle w:val="TableContents"/>
              <w:bidi w:val="0"/>
              <w:spacing w:before="0" w:after="283"/>
              <w:jc w:val="left"/>
              <w:rPr/>
            </w:pPr>
            <w:r>
              <w:rPr/>
              <w:t>Intended Tax Treatment</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2.10</w:t>
            </w:r>
          </w:p>
        </w:tc>
      </w:tr>
      <w:tr>
        <w:trPr/>
        <w:tc>
          <w:tcPr>
            <w:tcW w:w="9087" w:type="dxa"/>
            <w:tcBorders/>
          </w:tcPr>
          <w:p>
            <w:pPr>
              <w:pStyle w:val="TableContents"/>
              <w:bidi w:val="0"/>
              <w:spacing w:before="0" w:after="283"/>
              <w:jc w:val="left"/>
              <w:rPr/>
            </w:pPr>
            <w:r>
              <w:rPr/>
              <w:t>Liability</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3.9</w:t>
            </w:r>
          </w:p>
        </w:tc>
      </w:tr>
      <w:tr>
        <w:trPr/>
        <w:tc>
          <w:tcPr>
            <w:tcW w:w="9087" w:type="dxa"/>
            <w:tcBorders/>
          </w:tcPr>
          <w:p>
            <w:pPr>
              <w:pStyle w:val="TableContents"/>
              <w:bidi w:val="0"/>
              <w:spacing w:before="0" w:after="283"/>
              <w:jc w:val="left"/>
              <w:rPr/>
            </w:pPr>
            <w:r>
              <w:rPr/>
              <w:t>Lock-Up Agreement</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Recital</w:t>
            </w:r>
          </w:p>
        </w:tc>
      </w:tr>
      <w:tr>
        <w:trPr/>
        <w:tc>
          <w:tcPr>
            <w:tcW w:w="9087" w:type="dxa"/>
            <w:tcBorders/>
          </w:tcPr>
          <w:p>
            <w:pPr>
              <w:pStyle w:val="TableContents"/>
              <w:bidi w:val="0"/>
              <w:spacing w:before="0" w:after="283"/>
              <w:jc w:val="left"/>
              <w:rPr/>
            </w:pPr>
            <w:r>
              <w:rPr/>
              <w:t>Lock-Up Agreements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Recital</w:t>
            </w:r>
          </w:p>
        </w:tc>
      </w:tr>
      <w:tr>
        <w:trPr/>
        <w:tc>
          <w:tcPr>
            <w:tcW w:w="9087" w:type="dxa"/>
            <w:tcBorders/>
          </w:tcPr>
          <w:p>
            <w:pPr>
              <w:pStyle w:val="TableContents"/>
              <w:bidi w:val="0"/>
              <w:spacing w:before="0" w:after="283"/>
              <w:jc w:val="left"/>
              <w:rPr/>
            </w:pPr>
            <w:r>
              <w:rPr/>
              <w:t>Merger Consideration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2.5(a)(ii)</w:t>
            </w:r>
          </w:p>
        </w:tc>
      </w:tr>
      <w:tr>
        <w:trPr/>
        <w:tc>
          <w:tcPr>
            <w:tcW w:w="9087" w:type="dxa"/>
            <w:tcBorders/>
          </w:tcPr>
          <w:p>
            <w:pPr>
              <w:pStyle w:val="TableContents"/>
              <w:bidi w:val="0"/>
              <w:spacing w:before="0" w:after="283"/>
              <w:jc w:val="left"/>
              <w:rPr/>
            </w:pPr>
            <w:r>
              <w:rPr/>
              <w:t>Merger Sub</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Preamble</w:t>
            </w:r>
          </w:p>
        </w:tc>
      </w:tr>
      <w:tr>
        <w:trPr/>
        <w:tc>
          <w:tcPr>
            <w:tcW w:w="9087" w:type="dxa"/>
            <w:tcBorders/>
          </w:tcPr>
          <w:p>
            <w:pPr>
              <w:pStyle w:val="TableContents"/>
              <w:bidi w:val="0"/>
              <w:spacing w:before="0" w:after="283"/>
              <w:jc w:val="left"/>
              <w:rPr/>
            </w:pPr>
            <w:r>
              <w:rPr/>
              <w:t>Merger</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Recital</w:t>
            </w:r>
          </w:p>
        </w:tc>
      </w:tr>
      <w:tr>
        <w:trPr/>
        <w:tc>
          <w:tcPr>
            <w:tcW w:w="9087" w:type="dxa"/>
            <w:tcBorders/>
          </w:tcPr>
          <w:p>
            <w:pPr>
              <w:pStyle w:val="TableContents"/>
              <w:bidi w:val="0"/>
              <w:spacing w:before="0" w:after="283"/>
              <w:jc w:val="left"/>
              <w:rPr/>
            </w:pPr>
            <w:r>
              <w:rPr/>
              <w:t>Nasdaq Fees</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6.9</w:t>
            </w:r>
          </w:p>
        </w:tc>
      </w:tr>
      <w:tr>
        <w:trPr/>
        <w:tc>
          <w:tcPr>
            <w:tcW w:w="9087" w:type="dxa"/>
            <w:tcBorders/>
          </w:tcPr>
          <w:p>
            <w:pPr>
              <w:pStyle w:val="TableContents"/>
              <w:bidi w:val="0"/>
              <w:spacing w:before="0" w:after="283"/>
              <w:jc w:val="left"/>
              <w:rPr/>
            </w:pPr>
            <w:r>
              <w:rPr/>
              <w:t>Nasdaq Listing Application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6.9</w:t>
            </w:r>
          </w:p>
        </w:tc>
      </w:tr>
      <w:tr>
        <w:trPr/>
        <w:tc>
          <w:tcPr>
            <w:tcW w:w="9087" w:type="dxa"/>
            <w:tcBorders/>
          </w:tcPr>
          <w:p>
            <w:pPr>
              <w:pStyle w:val="TableContents"/>
              <w:bidi w:val="0"/>
              <w:spacing w:before="0" w:after="283"/>
              <w:jc w:val="left"/>
              <w:rPr/>
            </w:pPr>
            <w:r>
              <w:rPr/>
              <w:t>Ordinary Course Agreement</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3.16(g)</w:t>
            </w:r>
          </w:p>
        </w:tc>
      </w:tr>
      <w:tr>
        <w:trPr/>
        <w:tc>
          <w:tcPr>
            <w:tcW w:w="9087" w:type="dxa"/>
            <w:tcBorders/>
          </w:tcPr>
          <w:p>
            <w:pPr>
              <w:pStyle w:val="TableContents"/>
              <w:bidi w:val="0"/>
              <w:spacing w:before="0" w:after="283"/>
              <w:jc w:val="left"/>
              <w:rPr/>
            </w:pPr>
            <w:r>
              <w:rPr/>
              <w:t>Parent 409A Plan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4.17(j)</w:t>
            </w:r>
          </w:p>
        </w:tc>
      </w:tr>
      <w:tr>
        <w:trPr/>
        <w:tc>
          <w:tcPr>
            <w:tcW w:w="9087" w:type="dxa"/>
            <w:tcBorders/>
          </w:tcPr>
          <w:p>
            <w:pPr>
              <w:pStyle w:val="TableContents"/>
              <w:bidi w:val="0"/>
              <w:spacing w:before="0" w:after="283"/>
              <w:jc w:val="left"/>
              <w:rPr/>
            </w:pPr>
            <w:r>
              <w:rPr/>
              <w:t>Parent Board Adverse Recommendation Change</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6.3(c)</w:t>
            </w:r>
          </w:p>
        </w:tc>
      </w:tr>
      <w:tr>
        <w:trPr/>
        <w:tc>
          <w:tcPr>
            <w:tcW w:w="9087" w:type="dxa"/>
            <w:tcBorders/>
          </w:tcPr>
          <w:p>
            <w:pPr>
              <w:pStyle w:val="TableContents"/>
              <w:bidi w:val="0"/>
              <w:spacing w:before="0" w:after="283"/>
              <w:jc w:val="left"/>
              <w:rPr/>
            </w:pPr>
            <w:r>
              <w:rPr/>
              <w:t>Parent Board Recommendation</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6.3(b)</w:t>
            </w:r>
          </w:p>
        </w:tc>
      </w:tr>
      <w:tr>
        <w:trPr/>
        <w:tc>
          <w:tcPr>
            <w:tcW w:w="9087" w:type="dxa"/>
            <w:tcBorders/>
          </w:tcPr>
          <w:p>
            <w:pPr>
              <w:pStyle w:val="TableContents"/>
              <w:bidi w:val="0"/>
              <w:spacing w:before="0" w:after="283"/>
              <w:jc w:val="left"/>
              <w:rPr/>
            </w:pPr>
            <w:r>
              <w:rPr/>
              <w:t>Parent Charter Amendment</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2.4(a)(iv)</w:t>
            </w:r>
          </w:p>
        </w:tc>
      </w:tr>
      <w:tr>
        <w:trPr/>
        <w:tc>
          <w:tcPr>
            <w:tcW w:w="9087" w:type="dxa"/>
            <w:tcBorders/>
          </w:tcPr>
          <w:p>
            <w:pPr>
              <w:pStyle w:val="TableContents"/>
              <w:bidi w:val="0"/>
              <w:spacing w:before="0" w:after="283"/>
              <w:jc w:val="left"/>
              <w:rPr/>
            </w:pPr>
            <w:r>
              <w:rPr/>
              <w:t>Parent Disclosure Letter</w:t>
            </w:r>
          </w:p>
        </w:tc>
        <w:tc>
          <w:tcPr>
            <w:tcW w:w="211"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left"/>
              <w:rPr/>
            </w:pPr>
            <w:r>
              <w:rPr/>
              <w:t>Section 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81"/>
        <w:gridCol w:w="213"/>
        <w:gridCol w:w="911"/>
      </w:tblGrid>
      <w:tr>
        <w:trPr/>
        <w:tc>
          <w:tcPr>
            <w:tcW w:w="908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90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213" w:type="dxa"/>
            <w:tcBorders/>
            <w:vAlign w:val="bottom"/>
          </w:tcPr>
          <w:p>
            <w:pPr>
              <w:pStyle w:val="TableContents"/>
              <w:bidi w:val="0"/>
              <w:spacing w:before="0" w:after="283"/>
              <w:jc w:val="left"/>
              <w:rPr/>
            </w:pPr>
            <w:r>
              <w:rPr/>
              <w:t>  </w:t>
            </w:r>
          </w:p>
        </w:tc>
        <w:tc>
          <w:tcPr>
            <w:tcW w:w="9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9081" w:type="dxa"/>
            <w:tcBorders/>
          </w:tcPr>
          <w:p>
            <w:pPr>
              <w:pStyle w:val="TableContents"/>
              <w:bidi w:val="0"/>
              <w:spacing w:before="0" w:after="283"/>
              <w:jc w:val="left"/>
              <w:rPr/>
            </w:pPr>
            <w:r>
              <w:rPr/>
              <w:t>Parent Intervening Event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6.3(c)</w:t>
            </w:r>
          </w:p>
        </w:tc>
      </w:tr>
      <w:tr>
        <w:trPr/>
        <w:tc>
          <w:tcPr>
            <w:tcW w:w="9081" w:type="dxa"/>
            <w:tcBorders/>
          </w:tcPr>
          <w:p>
            <w:pPr>
              <w:pStyle w:val="TableContents"/>
              <w:bidi w:val="0"/>
              <w:spacing w:before="0" w:after="283"/>
              <w:jc w:val="left"/>
              <w:rPr/>
            </w:pPr>
            <w:r>
              <w:rPr/>
              <w:t>Parent Legacy Transaction</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5.1(c)</w:t>
            </w:r>
          </w:p>
        </w:tc>
      </w:tr>
      <w:tr>
        <w:trPr/>
        <w:tc>
          <w:tcPr>
            <w:tcW w:w="9081" w:type="dxa"/>
            <w:tcBorders/>
          </w:tcPr>
          <w:p>
            <w:pPr>
              <w:pStyle w:val="TableContents"/>
              <w:bidi w:val="0"/>
              <w:spacing w:before="0" w:after="283"/>
              <w:jc w:val="left"/>
              <w:rPr/>
            </w:pPr>
            <w:r>
              <w:rPr/>
              <w:t>Parent Material Contract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4.13(a)</w:t>
            </w:r>
          </w:p>
        </w:tc>
      </w:tr>
      <w:tr>
        <w:trPr/>
        <w:tc>
          <w:tcPr>
            <w:tcW w:w="9081" w:type="dxa"/>
            <w:tcBorders/>
          </w:tcPr>
          <w:p>
            <w:pPr>
              <w:pStyle w:val="TableContents"/>
              <w:bidi w:val="0"/>
              <w:spacing w:before="0" w:after="283"/>
              <w:jc w:val="left"/>
              <w:rPr/>
            </w:pPr>
            <w:r>
              <w:rPr/>
              <w:t>Parent Material Contracts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4.13(a)</w:t>
            </w:r>
          </w:p>
        </w:tc>
      </w:tr>
      <w:tr>
        <w:trPr/>
        <w:tc>
          <w:tcPr>
            <w:tcW w:w="9081" w:type="dxa"/>
            <w:tcBorders/>
          </w:tcPr>
          <w:p>
            <w:pPr>
              <w:pStyle w:val="TableContents"/>
              <w:bidi w:val="0"/>
              <w:spacing w:before="0" w:after="283"/>
              <w:jc w:val="left"/>
              <w:rPr/>
            </w:pPr>
            <w:r>
              <w:rPr/>
              <w:t>Parent Net Cash Calculation</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2.8(a)</w:t>
            </w:r>
          </w:p>
        </w:tc>
      </w:tr>
      <w:tr>
        <w:trPr/>
        <w:tc>
          <w:tcPr>
            <w:tcW w:w="9081" w:type="dxa"/>
            <w:tcBorders/>
          </w:tcPr>
          <w:p>
            <w:pPr>
              <w:pStyle w:val="TableContents"/>
              <w:bidi w:val="0"/>
              <w:spacing w:before="0" w:after="283"/>
              <w:jc w:val="left"/>
              <w:rPr/>
            </w:pPr>
            <w:r>
              <w:rPr/>
              <w:t>Parent Net Cash Schedule</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2.8(a)</w:t>
            </w:r>
          </w:p>
        </w:tc>
      </w:tr>
      <w:tr>
        <w:trPr/>
        <w:tc>
          <w:tcPr>
            <w:tcW w:w="9081" w:type="dxa"/>
            <w:tcBorders/>
          </w:tcPr>
          <w:p>
            <w:pPr>
              <w:pStyle w:val="TableContents"/>
              <w:bidi w:val="0"/>
              <w:spacing w:before="0" w:after="283"/>
              <w:jc w:val="left"/>
              <w:rPr/>
            </w:pPr>
            <w:r>
              <w:rPr/>
              <w:t>Parent Notice Period</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6.3(c)</w:t>
            </w:r>
          </w:p>
        </w:tc>
      </w:tr>
      <w:tr>
        <w:trPr/>
        <w:tc>
          <w:tcPr>
            <w:tcW w:w="9081" w:type="dxa"/>
            <w:tcBorders/>
          </w:tcPr>
          <w:p>
            <w:pPr>
              <w:pStyle w:val="TableContents"/>
              <w:bidi w:val="0"/>
              <w:spacing w:before="0" w:after="283"/>
              <w:jc w:val="left"/>
              <w:rPr/>
            </w:pPr>
            <w:r>
              <w:rPr/>
              <w:t>Parent Permits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4.14(b)</w:t>
            </w:r>
          </w:p>
        </w:tc>
      </w:tr>
      <w:tr>
        <w:trPr/>
        <w:tc>
          <w:tcPr>
            <w:tcW w:w="9081" w:type="dxa"/>
            <w:tcBorders/>
          </w:tcPr>
          <w:p>
            <w:pPr>
              <w:pStyle w:val="TableContents"/>
              <w:bidi w:val="0"/>
              <w:spacing w:before="0" w:after="283"/>
              <w:jc w:val="left"/>
              <w:rPr/>
            </w:pPr>
            <w:r>
              <w:rPr/>
              <w:t>Parent Pre-Closing Dividend</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5.1(c)(ii)</w:t>
            </w:r>
          </w:p>
        </w:tc>
      </w:tr>
      <w:tr>
        <w:trPr/>
        <w:tc>
          <w:tcPr>
            <w:tcW w:w="9081" w:type="dxa"/>
            <w:tcBorders/>
          </w:tcPr>
          <w:p>
            <w:pPr>
              <w:pStyle w:val="TableContents"/>
              <w:bidi w:val="0"/>
              <w:spacing w:before="0" w:after="283"/>
              <w:jc w:val="left"/>
              <w:rPr/>
            </w:pPr>
            <w:r>
              <w:rPr/>
              <w:t>Parent Pre-Closing Dividend Amount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5.1(c)(ii)</w:t>
            </w:r>
          </w:p>
        </w:tc>
      </w:tr>
      <w:tr>
        <w:trPr/>
        <w:tc>
          <w:tcPr>
            <w:tcW w:w="9081" w:type="dxa"/>
            <w:tcBorders/>
          </w:tcPr>
          <w:p>
            <w:pPr>
              <w:pStyle w:val="TableContents"/>
              <w:bidi w:val="0"/>
              <w:spacing w:before="0" w:after="283"/>
              <w:jc w:val="left"/>
              <w:rPr/>
            </w:pPr>
            <w:r>
              <w:rPr/>
              <w:t>Parent Product Candidates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4.14(d)</w:t>
            </w:r>
          </w:p>
        </w:tc>
      </w:tr>
      <w:tr>
        <w:trPr/>
        <w:tc>
          <w:tcPr>
            <w:tcW w:w="9081" w:type="dxa"/>
            <w:tcBorders/>
          </w:tcPr>
          <w:p>
            <w:pPr>
              <w:pStyle w:val="TableContents"/>
              <w:bidi w:val="0"/>
              <w:spacing w:before="0" w:after="283"/>
              <w:jc w:val="left"/>
              <w:rPr/>
            </w:pPr>
            <w:r>
              <w:rPr/>
              <w:t>Parent Real Estate Leases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4.11</w:t>
            </w:r>
          </w:p>
        </w:tc>
      </w:tr>
      <w:tr>
        <w:trPr/>
        <w:tc>
          <w:tcPr>
            <w:tcW w:w="9081" w:type="dxa"/>
            <w:tcBorders/>
          </w:tcPr>
          <w:p>
            <w:pPr>
              <w:pStyle w:val="TableContents"/>
              <w:bidi w:val="0"/>
              <w:spacing w:before="0" w:after="283"/>
              <w:jc w:val="left"/>
              <w:rPr/>
            </w:pPr>
            <w:r>
              <w:rPr/>
              <w:t>Parent Regulatory Permits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4.14(d)</w:t>
            </w:r>
          </w:p>
        </w:tc>
      </w:tr>
      <w:tr>
        <w:trPr/>
        <w:tc>
          <w:tcPr>
            <w:tcW w:w="9081" w:type="dxa"/>
            <w:tcBorders/>
          </w:tcPr>
          <w:p>
            <w:pPr>
              <w:pStyle w:val="TableContents"/>
              <w:bidi w:val="0"/>
              <w:spacing w:before="0" w:after="283"/>
              <w:jc w:val="left"/>
              <w:rPr/>
            </w:pPr>
            <w:r>
              <w:rPr/>
              <w:t>Parent SEC Documents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4.7(a)</w:t>
            </w:r>
          </w:p>
        </w:tc>
      </w:tr>
      <w:tr>
        <w:trPr/>
        <w:tc>
          <w:tcPr>
            <w:tcW w:w="9081" w:type="dxa"/>
            <w:tcBorders/>
          </w:tcPr>
          <w:p>
            <w:pPr>
              <w:pStyle w:val="TableContents"/>
              <w:bidi w:val="0"/>
              <w:spacing w:before="0" w:after="283"/>
              <w:jc w:val="left"/>
              <w:rPr/>
            </w:pPr>
            <w:r>
              <w:rPr/>
              <w:t>Parent Stock Plans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4.6(c)</w:t>
            </w:r>
          </w:p>
        </w:tc>
      </w:tr>
      <w:tr>
        <w:trPr/>
        <w:tc>
          <w:tcPr>
            <w:tcW w:w="9081" w:type="dxa"/>
            <w:tcBorders/>
          </w:tcPr>
          <w:p>
            <w:pPr>
              <w:pStyle w:val="TableContents"/>
              <w:bidi w:val="0"/>
              <w:spacing w:before="0" w:after="283"/>
              <w:jc w:val="left"/>
              <w:rPr/>
            </w:pPr>
            <w:r>
              <w:rPr/>
              <w:t>Parent Stockholder Matters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6.3(a)</w:t>
            </w:r>
          </w:p>
        </w:tc>
      </w:tr>
      <w:tr>
        <w:trPr/>
        <w:tc>
          <w:tcPr>
            <w:tcW w:w="9081" w:type="dxa"/>
            <w:tcBorders/>
          </w:tcPr>
          <w:p>
            <w:pPr>
              <w:pStyle w:val="TableContents"/>
              <w:bidi w:val="0"/>
              <w:spacing w:before="0" w:after="283"/>
              <w:jc w:val="left"/>
              <w:rPr/>
            </w:pPr>
            <w:r>
              <w:rPr/>
              <w:t>Parent Stockholder Meeting</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6.3(a)</w:t>
            </w:r>
          </w:p>
        </w:tc>
      </w:tr>
      <w:tr>
        <w:trPr/>
        <w:tc>
          <w:tcPr>
            <w:tcW w:w="9081" w:type="dxa"/>
            <w:tcBorders/>
          </w:tcPr>
          <w:p>
            <w:pPr>
              <w:pStyle w:val="TableContents"/>
              <w:bidi w:val="0"/>
              <w:spacing w:before="0" w:after="283"/>
              <w:jc w:val="left"/>
              <w:rPr/>
            </w:pPr>
            <w:r>
              <w:rPr/>
              <w:t>Parent Stockholder Support Agreement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Recital</w:t>
            </w:r>
          </w:p>
        </w:tc>
      </w:tr>
      <w:tr>
        <w:trPr/>
        <w:tc>
          <w:tcPr>
            <w:tcW w:w="9081" w:type="dxa"/>
            <w:tcBorders/>
          </w:tcPr>
          <w:p>
            <w:pPr>
              <w:pStyle w:val="TableContents"/>
              <w:bidi w:val="0"/>
              <w:spacing w:before="0" w:after="283"/>
              <w:jc w:val="left"/>
              <w:rPr/>
            </w:pPr>
            <w:r>
              <w:rPr/>
              <w:t>Parent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Preamble</w:t>
            </w:r>
          </w:p>
        </w:tc>
      </w:tr>
      <w:tr>
        <w:trPr/>
        <w:tc>
          <w:tcPr>
            <w:tcW w:w="9081" w:type="dxa"/>
            <w:tcBorders/>
          </w:tcPr>
          <w:p>
            <w:pPr>
              <w:pStyle w:val="TableContents"/>
              <w:bidi w:val="0"/>
              <w:spacing w:before="0" w:after="283"/>
              <w:jc w:val="left"/>
              <w:rPr/>
            </w:pPr>
            <w:r>
              <w:rPr/>
              <w:t>Parent Termination Fee</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10.3(c)</w:t>
            </w:r>
          </w:p>
        </w:tc>
      </w:tr>
      <w:tr>
        <w:trPr/>
        <w:tc>
          <w:tcPr>
            <w:tcW w:w="9081" w:type="dxa"/>
            <w:tcBorders/>
          </w:tcPr>
          <w:p>
            <w:pPr>
              <w:pStyle w:val="TableContents"/>
              <w:bidi w:val="0"/>
              <w:spacing w:before="0" w:after="283"/>
              <w:jc w:val="left"/>
              <w:rPr/>
            </w:pPr>
            <w:r>
              <w:rPr/>
              <w:t>PHSA</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3.14(c)</w:t>
            </w:r>
          </w:p>
        </w:tc>
      </w:tr>
      <w:tr>
        <w:trPr/>
        <w:tc>
          <w:tcPr>
            <w:tcW w:w="9081" w:type="dxa"/>
            <w:tcBorders/>
          </w:tcPr>
          <w:p>
            <w:pPr>
              <w:pStyle w:val="TableContents"/>
              <w:bidi w:val="0"/>
              <w:spacing w:before="0" w:after="283"/>
              <w:jc w:val="left"/>
              <w:rPr/>
            </w:pPr>
            <w:r>
              <w:rPr/>
              <w:t>Post-Closing Welfare Plan</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6.6(b)</w:t>
            </w:r>
          </w:p>
        </w:tc>
      </w:tr>
      <w:tr>
        <w:trPr/>
        <w:tc>
          <w:tcPr>
            <w:tcW w:w="9081" w:type="dxa"/>
            <w:tcBorders/>
          </w:tcPr>
          <w:p>
            <w:pPr>
              <w:pStyle w:val="TableContents"/>
              <w:bidi w:val="0"/>
              <w:spacing w:before="0" w:after="283"/>
              <w:jc w:val="left"/>
              <w:rPr/>
            </w:pPr>
            <w:r>
              <w:rPr/>
              <w:t>Post-Closing Welfare Plan Continuation Expense</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6.6(b)</w:t>
            </w:r>
          </w:p>
        </w:tc>
      </w:tr>
      <w:tr>
        <w:trPr/>
        <w:tc>
          <w:tcPr>
            <w:tcW w:w="9081" w:type="dxa"/>
            <w:tcBorders/>
          </w:tcPr>
          <w:p>
            <w:pPr>
              <w:pStyle w:val="TableContents"/>
              <w:bidi w:val="0"/>
              <w:spacing w:before="0" w:after="283"/>
              <w:jc w:val="left"/>
              <w:rPr/>
            </w:pPr>
            <w:r>
              <w:rPr/>
              <w:t>Pre-Closing Period</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5.1(a)</w:t>
            </w:r>
          </w:p>
        </w:tc>
      </w:tr>
      <w:tr>
        <w:trPr/>
        <w:tc>
          <w:tcPr>
            <w:tcW w:w="9081" w:type="dxa"/>
            <w:tcBorders/>
          </w:tcPr>
          <w:p>
            <w:pPr>
              <w:pStyle w:val="TableContents"/>
              <w:bidi w:val="0"/>
              <w:spacing w:before="0" w:after="283"/>
              <w:jc w:val="left"/>
              <w:rPr/>
            </w:pPr>
            <w:r>
              <w:rPr/>
              <w:t>Proxy Statement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6.1(a)</w:t>
            </w:r>
          </w:p>
        </w:tc>
      </w:tr>
      <w:tr>
        <w:trPr/>
        <w:tc>
          <w:tcPr>
            <w:tcW w:w="9081" w:type="dxa"/>
            <w:tcBorders/>
          </w:tcPr>
          <w:p>
            <w:pPr>
              <w:pStyle w:val="TableContents"/>
              <w:bidi w:val="0"/>
              <w:spacing w:before="0" w:after="283"/>
              <w:jc w:val="left"/>
              <w:rPr/>
            </w:pPr>
            <w:r>
              <w:rPr/>
              <w:t>Registration Statement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6.1(a)</w:t>
            </w:r>
          </w:p>
        </w:tc>
      </w:tr>
      <w:tr>
        <w:trPr/>
        <w:tc>
          <w:tcPr>
            <w:tcW w:w="9081" w:type="dxa"/>
            <w:tcBorders/>
          </w:tcPr>
          <w:p>
            <w:pPr>
              <w:pStyle w:val="TableContents"/>
              <w:bidi w:val="0"/>
              <w:spacing w:before="0" w:after="283"/>
              <w:jc w:val="left"/>
              <w:rPr/>
            </w:pPr>
            <w:r>
              <w:rPr/>
              <w:t>Required Company Stockholder Vote</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3.4</w:t>
            </w:r>
          </w:p>
        </w:tc>
      </w:tr>
      <w:tr>
        <w:trPr/>
        <w:tc>
          <w:tcPr>
            <w:tcW w:w="9081" w:type="dxa"/>
            <w:tcBorders/>
          </w:tcPr>
          <w:p>
            <w:pPr>
              <w:pStyle w:val="TableContents"/>
              <w:bidi w:val="0"/>
              <w:spacing w:before="0" w:after="283"/>
              <w:jc w:val="left"/>
              <w:rPr/>
            </w:pPr>
            <w:r>
              <w:rPr/>
              <w:t>Required Parent Stockholder Vote</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4.4</w:t>
            </w:r>
          </w:p>
        </w:tc>
      </w:tr>
      <w:tr>
        <w:trPr/>
        <w:tc>
          <w:tcPr>
            <w:tcW w:w="9081" w:type="dxa"/>
            <w:tcBorders/>
          </w:tcPr>
          <w:p>
            <w:pPr>
              <w:pStyle w:val="TableContents"/>
              <w:bidi w:val="0"/>
              <w:spacing w:before="0" w:after="283"/>
              <w:jc w:val="left"/>
              <w:rPr/>
            </w:pPr>
            <w:r>
              <w:rPr/>
              <w:t>Response Date</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2.8(c)</w:t>
            </w:r>
          </w:p>
        </w:tc>
      </w:tr>
      <w:tr>
        <w:trPr/>
        <w:tc>
          <w:tcPr>
            <w:tcW w:w="9081" w:type="dxa"/>
            <w:tcBorders/>
          </w:tcPr>
          <w:p>
            <w:pPr>
              <w:pStyle w:val="TableContents"/>
              <w:bidi w:val="0"/>
              <w:spacing w:before="0" w:after="283"/>
              <w:jc w:val="left"/>
              <w:rPr/>
            </w:pPr>
            <w:r>
              <w:rPr/>
              <w:t>SEC Documents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6.16</w:t>
            </w:r>
          </w:p>
        </w:tc>
      </w:tr>
      <w:tr>
        <w:trPr/>
        <w:tc>
          <w:tcPr>
            <w:tcW w:w="9081" w:type="dxa"/>
            <w:tcBorders/>
          </w:tcPr>
          <w:p>
            <w:pPr>
              <w:pStyle w:val="TableContents"/>
              <w:bidi w:val="0"/>
              <w:spacing w:before="0" w:after="283"/>
              <w:jc w:val="left"/>
              <w:rPr/>
            </w:pPr>
            <w:r>
              <w:rPr/>
              <w:t>Series A Financing</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Recital</w:t>
            </w:r>
          </w:p>
        </w:tc>
      </w:tr>
      <w:tr>
        <w:trPr/>
        <w:tc>
          <w:tcPr>
            <w:tcW w:w="9081" w:type="dxa"/>
            <w:tcBorders/>
          </w:tcPr>
          <w:p>
            <w:pPr>
              <w:pStyle w:val="TableContents"/>
              <w:bidi w:val="0"/>
              <w:spacing w:before="0" w:after="283"/>
              <w:jc w:val="left"/>
              <w:rPr/>
            </w:pPr>
            <w:r>
              <w:rPr/>
              <w:t>Series A Financing Agreement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Recital</w:t>
            </w:r>
          </w:p>
        </w:tc>
      </w:tr>
      <w:tr>
        <w:trPr/>
        <w:tc>
          <w:tcPr>
            <w:tcW w:w="9081" w:type="dxa"/>
            <w:tcBorders/>
          </w:tcPr>
          <w:p>
            <w:pPr>
              <w:pStyle w:val="TableContents"/>
              <w:bidi w:val="0"/>
              <w:spacing w:before="0" w:after="283"/>
              <w:jc w:val="left"/>
              <w:rPr/>
            </w:pPr>
            <w:r>
              <w:rPr/>
              <w:t>Stockholder Notice</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6.2(b)</w:t>
            </w:r>
          </w:p>
        </w:tc>
      </w:tr>
      <w:tr>
        <w:trPr/>
        <w:tc>
          <w:tcPr>
            <w:tcW w:w="9081" w:type="dxa"/>
            <w:tcBorders/>
          </w:tcPr>
          <w:p>
            <w:pPr>
              <w:pStyle w:val="TableContents"/>
              <w:bidi w:val="0"/>
              <w:spacing w:before="0" w:after="283"/>
              <w:jc w:val="left"/>
              <w:rPr/>
            </w:pPr>
            <w:r>
              <w:rPr/>
              <w:t>Subscription Agreement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Recital</w:t>
            </w:r>
          </w:p>
        </w:tc>
      </w:tr>
      <w:tr>
        <w:trPr/>
        <w:tc>
          <w:tcPr>
            <w:tcW w:w="9081" w:type="dxa"/>
            <w:tcBorders/>
          </w:tcPr>
          <w:p>
            <w:pPr>
              <w:pStyle w:val="TableContents"/>
              <w:bidi w:val="0"/>
              <w:spacing w:before="0" w:after="283"/>
              <w:jc w:val="left"/>
              <w:rPr/>
            </w:pPr>
            <w:r>
              <w:rPr/>
              <w:t>Surviving Corporation</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Section 2</w:t>
            </w:r>
          </w:p>
        </w:tc>
      </w:tr>
      <w:tr>
        <w:trPr/>
        <w:tc>
          <w:tcPr>
            <w:tcW w:w="9081" w:type="dxa"/>
            <w:tcBorders/>
          </w:tcPr>
          <w:p>
            <w:pPr>
              <w:pStyle w:val="TableContents"/>
              <w:bidi w:val="0"/>
              <w:spacing w:before="0" w:after="283"/>
              <w:jc w:val="left"/>
              <w:rPr/>
            </w:pPr>
            <w:r>
              <w:rPr/>
              <w:t>Tax Certificates</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6.10(c)</w:t>
            </w:r>
          </w:p>
        </w:tc>
      </w:tr>
      <w:tr>
        <w:trPr/>
        <w:tc>
          <w:tcPr>
            <w:tcW w:w="9081" w:type="dxa"/>
            <w:tcBorders/>
          </w:tcPr>
          <w:p>
            <w:pPr>
              <w:pStyle w:val="TableContents"/>
              <w:bidi w:val="0"/>
              <w:spacing w:before="0" w:after="283"/>
              <w:jc w:val="left"/>
              <w:rPr/>
            </w:pPr>
            <w:r>
              <w:rPr/>
              <w:t>Transaction Litigation</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6.4(c)</w:t>
            </w:r>
          </w:p>
        </w:tc>
      </w:tr>
      <w:tr>
        <w:trPr/>
        <w:tc>
          <w:tcPr>
            <w:tcW w:w="9081" w:type="dxa"/>
            <w:tcBorders/>
          </w:tcPr>
          <w:p>
            <w:pPr>
              <w:pStyle w:val="TableContents"/>
              <w:bidi w:val="0"/>
              <w:spacing w:before="0" w:after="283"/>
              <w:jc w:val="left"/>
              <w:rPr/>
            </w:pPr>
            <w:r>
              <w:rPr/>
              <w:t>WARN Act</w:t>
            </w:r>
          </w:p>
        </w:tc>
        <w:tc>
          <w:tcPr>
            <w:tcW w:w="213" w:type="dxa"/>
            <w:tcBorders/>
            <w:vAlign w:val="bottom"/>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3.17(k)</w:t>
            </w:r>
          </w:p>
        </w:tc>
      </w:tr>
    </w:tbl>
    <w:p>
      <w:pPr>
        <w:pStyle w:val="TextBody"/>
        <w:bidi w:val="0"/>
        <w:spacing w:before="240" w:after="0"/>
        <w:jc w:val="left"/>
        <w:rPr>
          <w:rFonts w:ascii="Times New Roman" w:hAnsi="Times New Roman"/>
          <w:sz w:val="20"/>
        </w:rPr>
      </w:pPr>
      <w:bookmarkStart w:id="105" w:name="annextoc108148_3"/>
      <w:bookmarkEnd w:id="105"/>
      <w:r>
        <w:rPr>
          <w:rFonts w:ascii="Times New Roman" w:hAnsi="Times New Roman"/>
          <w:sz w:val="20"/>
        </w:rPr>
        <w:t xml:space="preserve">Section 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 (including Exhibit A to such Exhibit) is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or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and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Letter or the Parent Disclosure Letter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The inclusion of any information in the Company Disclosure Letter or the Parent Disclosure Letter (or any update thereto) shall not be deemed to be an admission or acknowledgement, in and of itself, that such information is required by the terms hereof to be disclosed, is material, has resulted in or would result in a Company Material Adverse Effect or Parent Material Adverse Effect, as the case may be, or is outside the Ordinary Course of Business. </w:t>
      </w:r>
    </w:p>
    <w:p>
      <w:pPr>
        <w:pStyle w:val="TextBody"/>
        <w:bidi w:val="0"/>
        <w:spacing w:before="480" w:after="0"/>
        <w:jc w:val="center"/>
        <w:rPr>
          <w:rFonts w:ascii="Times New Roman" w:hAnsi="Times New Roman"/>
          <w:sz w:val="20"/>
        </w:rPr>
      </w:pPr>
      <w:bookmarkStart w:id="106" w:name="annextoc108148_4"/>
      <w:bookmarkEnd w:id="106"/>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DESCRIPTION OF TRANSACTION </w:t>
      </w:r>
    </w:p>
    <w:p>
      <w:pPr>
        <w:pStyle w:val="TextBody"/>
        <w:bidi w:val="0"/>
        <w:spacing w:before="240" w:after="0"/>
        <w:jc w:val="left"/>
        <w:rPr>
          <w:rFonts w:ascii="Times New Roman" w:hAnsi="Times New Roman"/>
          <w:sz w:val="20"/>
        </w:rPr>
      </w:pPr>
      <w:bookmarkStart w:id="107" w:name="annextoc108148_5"/>
      <w:bookmarkEnd w:id="107"/>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8" w:name="annextoc108148_6"/>
      <w:bookmarkEnd w:id="108"/>
      <w:r>
        <w:rPr>
          <w:rFonts w:ascii="Times New Roman" w:hAnsi="Times New Roman"/>
          <w:sz w:val="20"/>
        </w:rPr>
        <w:t xml:space="preserve">Section 2.2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applicable provisions of the DGCL. As a result of the Merger, the Company will become a wholly owned subsidiary of Parent. </w:t>
      </w:r>
    </w:p>
    <w:p>
      <w:pPr>
        <w:pStyle w:val="TextBody"/>
        <w:bidi w:val="0"/>
        <w:spacing w:before="240" w:after="0"/>
        <w:jc w:val="left"/>
        <w:rPr>
          <w:rFonts w:ascii="Times New Roman" w:hAnsi="Times New Roman"/>
          <w:sz w:val="20"/>
        </w:rPr>
      </w:pPr>
      <w:bookmarkStart w:id="109" w:name="annextoc108148_7"/>
      <w:bookmarkEnd w:id="109"/>
      <w:r>
        <w:rPr>
          <w:rFonts w:ascii="Times New Roman" w:hAnsi="Times New Roman"/>
          <w:sz w:val="20"/>
        </w:rPr>
        <w:t xml:space="preserve">Section 2.3 </w:t>
      </w:r>
      <w:r>
        <w:rPr>
          <w:rFonts w:ascii="Times New Roman" w:hAnsi="Times New Roman"/>
          <w:sz w:val="20"/>
          <w:u w:val="single"/>
        </w:rPr>
        <w:t>Closing;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xml:space="preserve">.” At the Closing, (i) the Parties shall cause the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hAnsi="Times New Roman"/>
          <w:sz w:val="20"/>
          <w:u w:val="single"/>
        </w:rPr>
        <w:t>Exhibit D</w:t>
      </w:r>
      <w:r>
        <w:rPr>
          <w:rFonts w:ascii="Times New Roman" w:hAnsi="Times New Roman"/>
          <w:sz w:val="20"/>
        </w:rPr>
        <w:t xml:space="preserve"> and incorporated herein by reference (the “</w:t>
      </w:r>
      <w:r>
        <w:rPr>
          <w:rFonts w:ascii="Times New Roman" w:hAnsi="Times New Roman"/>
          <w:b/>
          <w:sz w:val="20"/>
        </w:rPr>
        <w:t>Certificate of Merger</w:t>
      </w:r>
      <w:r>
        <w:rPr>
          <w:rFonts w:ascii="Times New Roman" w:hAnsi="Times New Roman"/>
          <w:sz w:val="20"/>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0" w:name="annextoc108148_8"/>
      <w:bookmarkEnd w:id="110"/>
      <w:r>
        <w:rPr>
          <w:rFonts w:ascii="Times New Roman" w:hAnsi="Times New Roman"/>
          <w:sz w:val="20"/>
        </w:rPr>
        <w:t xml:space="preserve">Section 2.4 </w:t>
      </w:r>
      <w:r>
        <w:rPr>
          <w:rFonts w:ascii="Times New Roman" w:hAnsi="Times New Roman"/>
          <w:sz w:val="20"/>
          <w:u w:val="single"/>
        </w:rPr>
        <w:t>Organizational Documents;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incorporation of the Surviving Corporation shall be amended and restated in the Merger to read as set forth on Exhibit A to the Certificate of Merger, until thereafter amended as provided by the DGCL and such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(ii) The bylaws of the Surviving Corporation shall be identical to the bylaws of the Company as in effect immediately prior to the Effective Time, until thereafter amended as provided by the DGCL and such bylaws; and </w:t>
      </w:r>
    </w:p>
    <w:p>
      <w:pPr>
        <w:pStyle w:val="TextBody"/>
        <w:bidi w:val="0"/>
        <w:spacing w:before="120" w:after="0"/>
        <w:jc w:val="left"/>
        <w:rPr>
          <w:rFonts w:ascii="Times New Roman" w:hAnsi="Times New Roman"/>
          <w:sz w:val="20"/>
        </w:rPr>
      </w:pPr>
      <w:r>
        <w:rPr>
          <w:rFonts w:ascii="Times New Roman" w:hAnsi="Times New Roman"/>
          <w:sz w:val="20"/>
        </w:rPr>
        <w:t xml:space="preserve">(iii) The directors and officers of the Surviving Corporation, each to hold office in accordance with the certificate of incorporation and bylaws of the Surviving Corporation, shall be such persons as are designated by the Company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(iv) 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at the Effective Time, Parent shall file an amendment to its certificate of incorporation to (i) change the name of Parent to a name designated by the Company at least five days prior to the Effective Time, (ii) effect the Nasdaq Reverse Split (to the extent applicable and necessary), (iii) increase the number of shares of Parent Capital Stock that Parent is authorized to issue to a number determined by the Company, such amount to be sufficient to allow for consummation of the Contemplated Transactions, and (iv) make such other changes as are mutually agreeable to Parent and the Company (such amendment, the “</w:t>
      </w:r>
      <w:r>
        <w:rPr>
          <w:rFonts w:ascii="Times New Roman" w:hAnsi="Times New Roman"/>
          <w:b/>
          <w:sz w:val="20"/>
        </w:rPr>
        <w:t>Parent Charter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The directors and officers of Parent, each to hold office in accordance with the certificate of incorporation and bylaws of Parent, shall be as set forth in </w:t>
      </w:r>
      <w:r>
        <w:rPr>
          <w:rFonts w:ascii="Times New Roman" w:hAnsi="Times New Roman"/>
          <w:sz w:val="20"/>
          <w:u w:val="single"/>
        </w:rPr>
        <w:t>Section 6.12</w:t>
      </w:r>
      <w:r>
        <w:rPr>
          <w:rFonts w:ascii="Times New Roman" w:hAnsi="Times New Roman"/>
          <w:sz w:val="20"/>
        </w:rPr>
        <w:t xml:space="preserve">; and </w:t>
      </w:r>
    </w:p>
    <w:p>
      <w:pPr>
        <w:pStyle w:val="TextBody"/>
        <w:bidi w:val="0"/>
        <w:spacing w:before="240" w:after="0"/>
        <w:jc w:val="left"/>
        <w:rPr>
          <w:rFonts w:ascii="Times New Roman" w:hAnsi="Times New Roman"/>
          <w:sz w:val="20"/>
        </w:rPr>
      </w:pPr>
      <w:bookmarkStart w:id="111" w:name="annextoc108148_9"/>
      <w:bookmarkEnd w:id="111"/>
      <w:r>
        <w:rPr>
          <w:rFonts w:ascii="Times New Roman" w:hAnsi="Times New Roman"/>
          <w:sz w:val="20"/>
        </w:rPr>
        <w:t xml:space="preserve">Section 2.5 </w:t>
      </w:r>
      <w:r>
        <w:rPr>
          <w:rFonts w:ascii="Times New Roman" w:hAnsi="Times New Roman"/>
          <w:sz w:val="20"/>
          <w:u w:val="single"/>
        </w:rPr>
        <w:t>Conversion of Company, Merger Sub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further action on the part of Parent, Merger Sub, the Company or any stockholder of the Company or Parent: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(including any shares of Company Capital Stock issued pursuant to the Company Pre-Closing Financing or the Series A Financing) outstanding immediately prior to the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shall be converted solely into the right to receive a number of shares of Parent Common Stock equal to the Exchange Ratio (collectively,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outstanding immediately prior to the Effective Time shall be treated in accordance with </w:t>
      </w:r>
      <w:r>
        <w:rPr>
          <w:rFonts w:ascii="Times New Roman" w:hAnsi="Times New Roman"/>
          <w:sz w:val="20"/>
          <w:u w:val="single"/>
        </w:rPr>
        <w:t>Section 6.5(a)</w:t>
      </w:r>
      <w:r>
        <w:rPr>
          <w:rFonts w:ascii="Times New Roman" w:hAnsi="Times New Roman"/>
          <w:sz w:val="20"/>
        </w:rPr>
        <w:t xml:space="preserve">. All Company Warrants outstanding immediately prior to the Effective Time shall be treated in accordance with </w:t>
      </w:r>
      <w:r>
        <w:rPr>
          <w:rFonts w:ascii="Times New Roman" w:hAnsi="Times New Roman"/>
          <w:sz w:val="20"/>
          <w:u w:val="single"/>
        </w:rPr>
        <w:t>Section 6.5(b)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$0.001 par value per share, of Merger Sub issued and outstanding immediately prior to the Effective Time shall be converted into and exchanged for one validly issued, fully paid and nonassessable share of common stock, $0.001 par value per share, of the Surviving Corporation. Each book entry share of Merger Sub evidencing ownership of any such shares shall, as of the Effective Time, evidence ownership of such shares of common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240" w:after="0"/>
        <w:jc w:val="left"/>
        <w:rPr>
          <w:rFonts w:ascii="Times New Roman" w:hAnsi="Times New Roman"/>
          <w:sz w:val="20"/>
        </w:rPr>
      </w:pPr>
      <w:bookmarkStart w:id="112" w:name="annextoc108148_10"/>
      <w:bookmarkEnd w:id="112"/>
      <w:r>
        <w:rPr>
          <w:rFonts w:ascii="Times New Roman" w:hAnsi="Times New Roman"/>
          <w:sz w:val="20"/>
        </w:rPr>
        <w:t xml:space="preserve">Section 2.6 </w:t>
      </w:r>
      <w:r>
        <w:rPr>
          <w:rFonts w:ascii="Times New Roman" w:hAnsi="Times New Roman"/>
          <w:sz w:val="20"/>
          <w:u w:val="single"/>
        </w:rPr>
        <w:t>Closing of the Company’s Transfer Books</w:t>
      </w:r>
      <w:r>
        <w:rPr>
          <w:rFonts w:ascii="Times New Roman" w:hAnsi="Times New Roman"/>
          <w:sz w:val="20"/>
        </w:rPr>
        <w:t xml:space="preserve">. At the Effective Time: (a) all Company Capital Stock outstanding immediately prior to the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Effective Time shall cease to have any rights as stockholders of the Company and (b) the stock transfer books of the Company shall be closed with respect to all Company Capital Stock outstanding immediately prior to the Effective Time. No further transfer of any such Company Capital Stock shall be made on such stock transfer books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3" w:name="annextoc108148_11"/>
      <w:bookmarkEnd w:id="113"/>
      <w:r>
        <w:rPr>
          <w:rFonts w:ascii="Times New Roman" w:hAnsi="Times New Roman"/>
          <w:sz w:val="20"/>
        </w:rPr>
        <w:t xml:space="preserve">Section 2.7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Parent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Effective Time, Parent shall deposit with the Exchange Agent evidence of book-entry shares representing the shares of Parent Capital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(b) 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hAnsi="Times New Roman"/>
          <w:b/>
          <w:sz w:val="20"/>
        </w:rPr>
        <w:t>Company Stock Certificates</w:t>
      </w:r>
      <w:r>
        <w:rPr>
          <w:rFonts w:ascii="Times New Roman" w:hAnsi="Times New Roman"/>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w:t>
      </w:r>
      <w:r>
        <w:rPr>
          <w:rFonts w:ascii="Times New Roman" w:hAnsi="Times New Roman"/>
          <w:sz w:val="20"/>
          <w:u w:val="single"/>
        </w:rPr>
        <w:t>Section 2.5(c)</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2.7(b)</w:t>
      </w:r>
      <w:r>
        <w:rPr>
          <w:rFonts w:ascii="Times New Roman" w:hAnsi="Times New Roman"/>
          <w:sz w:val="20"/>
        </w:rPr>
        <w:t xml:space="preserve">, each Company Stock Certificate or uncertificated shares of Company Capital Stock shall be deemed, from and after the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Capital Stock with a record date after the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2.7</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hAnsi="Times New Roman"/>
          <w:sz w:val="20"/>
          <w:u w:val="single"/>
        </w:rPr>
        <w:t>Section 2.7</w:t>
      </w:r>
      <w:r>
        <w:rPr>
          <w:rFonts w:ascii="Times New Roman" w:hAnsi="Times New Roman"/>
          <w:sz w:val="20"/>
        </w:rPr>
        <w:t xml:space="preserve"> shall thereafter look only to Parent for satisfaction of their claims for Parent Capital Stock and any dividends or distributions with respect to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4" w:name="annextoc108148_12"/>
      <w:bookmarkEnd w:id="114"/>
      <w:r>
        <w:rPr>
          <w:rFonts w:ascii="Times New Roman" w:hAnsi="Times New Roman"/>
          <w:sz w:val="20"/>
        </w:rPr>
        <w:t xml:space="preserve">Section 2.8 </w:t>
      </w:r>
      <w:r>
        <w:rPr>
          <w:rFonts w:ascii="Times New Roman" w:hAnsi="Times New Roman"/>
          <w:sz w:val="20"/>
          <w:u w:val="single"/>
        </w:rPr>
        <w:t>Calculation of Net Cash and Company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seven Business Days prior to the earlier of (i) the anticipated date for the Parent Stockholder Meeting or (ii) the intended declaration of the Parent Pre-Closing Dividend, in each case as mutually agreed in good faith by Parent and the Company (the “</w:t>
      </w:r>
      <w:r>
        <w:rPr>
          <w:rFonts w:ascii="Times New Roman" w:hAnsi="Times New Roman"/>
          <w:b/>
          <w:sz w:val="20"/>
        </w:rPr>
        <w:t>Calculation Date</w:t>
      </w:r>
      <w:r>
        <w:rPr>
          <w:rFonts w:ascii="Times New Roman" w:hAnsi="Times New Roman"/>
          <w:sz w:val="20"/>
        </w:rPr>
        <w:t>”), Parent will deliver to the Company a schedule (the “</w:t>
      </w:r>
      <w:r>
        <w:rPr>
          <w:rFonts w:ascii="Times New Roman" w:hAnsi="Times New Roman"/>
          <w:b/>
          <w:sz w:val="20"/>
        </w:rPr>
        <w:t>Parent Net Cash Schedule</w:t>
      </w:r>
      <w:r>
        <w:rPr>
          <w:rFonts w:ascii="Times New Roman" w:hAnsi="Times New Roman"/>
          <w:sz w:val="20"/>
        </w:rPr>
        <w:t>”) setting forth, in reasonable detail, Parent’s good faith, estimated calculation of the components of Parent Net Cash (the “</w:t>
      </w:r>
      <w:r>
        <w:rPr>
          <w:rFonts w:ascii="Times New Roman" w:hAnsi="Times New Roman"/>
          <w:b/>
          <w:sz w:val="20"/>
        </w:rPr>
        <w:t>Parent Net Cash Calculation</w:t>
      </w:r>
      <w:r>
        <w:rPr>
          <w:rFonts w:ascii="Times New Roman" w:hAnsi="Times New Roman"/>
          <w:sz w:val="20"/>
        </w:rPr>
        <w:t>,” and the date of delivery of such schedule being the “</w:t>
      </w:r>
      <w:r>
        <w:rPr>
          <w:rFonts w:ascii="Times New Roman" w:hAnsi="Times New Roman"/>
          <w:b/>
          <w:sz w:val="20"/>
        </w:rPr>
        <w:t>Parent Net Cash Schedule</w:t>
      </w:r>
      <w:r>
        <w:rPr>
          <w:rFonts w:ascii="Times New Roman" w:hAnsi="Times New Roman"/>
          <w:sz w:val="20"/>
        </w:rPr>
        <w:t> </w:t>
      </w:r>
      <w:r>
        <w:rPr>
          <w:rFonts w:ascii="Times New Roman" w:hAnsi="Times New Roman"/>
          <w:b/>
          <w:sz w:val="20"/>
        </w:rPr>
        <w:t>Delivery Date</w:t>
      </w:r>
      <w:r>
        <w:rPr>
          <w:rFonts w:ascii="Times New Roman" w:hAnsi="Times New Roman"/>
          <w:sz w:val="20"/>
        </w:rPr>
        <w:t>”) as of 11:59 p.m. on the Business Day prior to the Anticipated Closing Date (the “</w:t>
      </w:r>
      <w:r>
        <w:rPr>
          <w:rFonts w:ascii="Times New Roman" w:hAnsi="Times New Roman"/>
          <w:b/>
          <w:sz w:val="20"/>
        </w:rPr>
        <w:t>Cash Determination Time</w:t>
      </w:r>
      <w:r>
        <w:rPr>
          <w:rFonts w:ascii="Times New Roman" w:hAnsi="Times New Roman"/>
          <w:sz w:val="20"/>
        </w:rPr>
        <w:t xml:space="preserve">”)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at reasonable times during Parent’s normal business hours and upon reasonably advanced written notice. The Parent Net Cash Calculation shall include Parent’s determination, as of the Cash Determination Time, of the defined terms in </w:t>
      </w:r>
      <w:r>
        <w:rPr>
          <w:rFonts w:ascii="Times New Roman" w:hAnsi="Times New Roman"/>
          <w:sz w:val="20"/>
          <w:u w:val="single"/>
        </w:rPr>
        <w:t>Section 1.1(a)</w:t>
      </w:r>
      <w:r>
        <w:rPr>
          <w:rFonts w:ascii="Times New Roman" w:hAnsi="Times New Roman"/>
          <w:sz w:val="20"/>
        </w:rPr>
        <w:t xml:space="preserve">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w:t>
      </w:r>
      <w:r>
        <w:rPr>
          <w:rFonts w:ascii="Times New Roman" w:hAnsi="Times New Roman"/>
          <w:sz w:val="20"/>
          <w:u w:val="single"/>
        </w:rPr>
        <w:t>provided</w:t>
      </w:r>
      <w:r>
        <w:rPr>
          <w:rFonts w:ascii="Times New Roman" w:hAnsi="Times New Roman"/>
          <w:sz w:val="20"/>
        </w:rPr>
        <w:t xml:space="preserve"> that this shall in no way limit or otherwise affect the Company’s remedies under this Agreement or otherwise, or constitute an acknowledgement by the Company of the accuracy of the amounts reflected therein. Notwithstanding anything else in this Agreement, either Parent or the Company may require Parent to deliver a new Parent Net Cash Schedule if the Closing Date is more than 30 days after the Calculation Date, which date of delivery shall be deemed the “Calculation Date” hereunder. </w:t>
      </w:r>
    </w:p>
    <w:p>
      <w:pPr>
        <w:pStyle w:val="TextBody"/>
        <w:bidi w:val="0"/>
        <w:spacing w:before="240" w:after="0"/>
        <w:jc w:val="left"/>
        <w:rPr>
          <w:rFonts w:ascii="Times New Roman" w:hAnsi="Times New Roman"/>
          <w:sz w:val="20"/>
        </w:rPr>
      </w:pPr>
      <w:r>
        <w:rPr>
          <w:rFonts w:ascii="Times New Roman" w:hAnsi="Times New Roman"/>
          <w:sz w:val="20"/>
        </w:rPr>
        <w:t>(b) No later than five Business Days before the Closing, the Company will deliver to Parent a schedule (the “</w:t>
      </w:r>
      <w:r>
        <w:rPr>
          <w:rFonts w:ascii="Times New Roman" w:hAnsi="Times New Roman"/>
          <w:b/>
          <w:sz w:val="20"/>
        </w:rPr>
        <w:t>Company Valuation Schedule</w:t>
      </w:r>
      <w:r>
        <w:rPr>
          <w:rFonts w:ascii="Times New Roman" w:hAnsi="Times New Roman"/>
          <w:sz w:val="20"/>
        </w:rPr>
        <w:t>”) setting forth, in reasonable detail, the Company’s good faith, estimated calculation of the Company Valuation, the Company Pre-Closing Financing Proceeds and the Company Outstanding Shares (the “</w:t>
      </w:r>
      <w:r>
        <w:rPr>
          <w:rFonts w:ascii="Times New Roman" w:hAnsi="Times New Roman"/>
          <w:b/>
          <w:sz w:val="20"/>
        </w:rPr>
        <w:t>Company Valuation Calculation</w:t>
      </w:r>
      <w:r>
        <w:rPr>
          <w:rFonts w:ascii="Times New Roman" w:hAnsi="Times New Roman"/>
          <w:sz w:val="20"/>
        </w:rPr>
        <w:t>,” and the date of delivery of such schedule being the “</w:t>
      </w:r>
      <w:r>
        <w:rPr>
          <w:rFonts w:ascii="Times New Roman" w:hAnsi="Times New Roman"/>
          <w:b/>
          <w:sz w:val="20"/>
        </w:rPr>
        <w:t>Company Valuation Delivery Date</w:t>
      </w:r>
      <w:r>
        <w:rPr>
          <w:rFonts w:ascii="Times New Roman" w:hAnsi="Times New Roman"/>
          <w:sz w:val="20"/>
        </w:rPr>
        <w:t>”) as of 11:59 p.m. on the last Business Day prior to the Anticipated Closing Date (the “</w:t>
      </w:r>
      <w:r>
        <w:rPr>
          <w:rFonts w:ascii="Times New Roman" w:hAnsi="Times New Roman"/>
          <w:b/>
          <w:sz w:val="20"/>
        </w:rPr>
        <w:t>Company Valuation Determination Time</w:t>
      </w:r>
      <w:r>
        <w:rPr>
          <w:rFonts w:ascii="Times New Roman" w:hAnsi="Times New Roman"/>
          <w:sz w:val="20"/>
        </w:rPr>
        <w:t xml:space="preserve">”), in the form set forth on Schedule 2.8(b) to the Company Disclosure Letter.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at reasonable times during the Company’s normal business hours and upon reasonably advanced written notice. During the period beginning on the Company Valuation Delivery Date and ending on the Company Valuation Response Date, Parent shall have an opportunity to review the Company Valuation Schedule and the Company shall reasonably cooperate with Parent in good faith to respond to any questions regarding the Company Valuation Schedule raised by Parent; </w:t>
      </w:r>
      <w:r>
        <w:rPr>
          <w:rFonts w:ascii="Times New Roman" w:hAnsi="Times New Roman"/>
          <w:sz w:val="20"/>
          <w:u w:val="single"/>
        </w:rPr>
        <w:t>provided</w:t>
      </w:r>
      <w:r>
        <w:rPr>
          <w:rFonts w:ascii="Times New Roman" w:hAnsi="Times New Roman"/>
          <w:sz w:val="20"/>
        </w:rPr>
        <w:t xml:space="preserve"> that this shall in no way limit or otherwise affect Parent’s remedies under this Agreement or otherwise, or constitute an acknowledgement by Parent of the accuracy of the amounts reflected therein. </w:t>
      </w:r>
    </w:p>
    <w:p>
      <w:pPr>
        <w:pStyle w:val="TextBody"/>
        <w:bidi w:val="0"/>
        <w:spacing w:before="240" w:after="0"/>
        <w:jc w:val="left"/>
        <w:rPr>
          <w:rFonts w:ascii="Times New Roman" w:hAnsi="Times New Roman"/>
          <w:sz w:val="20"/>
        </w:rPr>
      </w:pPr>
      <w:r>
        <w:rPr>
          <w:rFonts w:ascii="Times New Roman" w:hAnsi="Times New Roman"/>
          <w:sz w:val="20"/>
        </w:rPr>
        <w:t>(c) No later than three Business Days after the Parent Net Cash Schedule Delivery Date (the last day of such period, the “</w:t>
      </w:r>
      <w:r>
        <w:rPr>
          <w:rFonts w:ascii="Times New Roman" w:hAnsi="Times New Roman"/>
          <w:b/>
          <w:sz w:val="20"/>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b/>
          <w:sz w:val="20"/>
        </w:rPr>
        <w:t>Dispute Notice</w:t>
      </w:r>
      <w:r>
        <w:rPr>
          <w:rFonts w:ascii="Times New Roman" w:hAnsi="Times New Roman"/>
          <w:sz w:val="20"/>
        </w:rPr>
        <w:t>”). Any Dispute Notice shall identify in reasonable detail and to the extent known the nature and amounts of any proposed revisions to the Parent Net Cash Calculation and will be accompanied by reasonably detailed materials supporting the basis for such revisions. No later than three Business Days after the Company Valuation Delivery Date (the last day of such period, the “</w:t>
      </w:r>
      <w:r>
        <w:rPr>
          <w:rFonts w:ascii="Times New Roman" w:hAnsi="Times New Roman"/>
          <w:b/>
          <w:sz w:val="20"/>
        </w:rPr>
        <w:t>Company Valuation Response Date</w:t>
      </w:r>
      <w:r>
        <w:rPr>
          <w:rFonts w:ascii="Times New Roman" w:hAnsi="Times New Roman"/>
          <w:sz w:val="20"/>
        </w:rPr>
        <w:t>”), Parent shall have the right to dispute any part of the Company Valuation Calculation by delivering a written notice to that effect to the Company (a “</w:t>
      </w:r>
      <w:r>
        <w:rPr>
          <w:rFonts w:ascii="Times New Roman" w:hAnsi="Times New Roman"/>
          <w:b/>
          <w:sz w:val="20"/>
        </w:rPr>
        <w:t>Company Valuation Dispute Notice</w:t>
      </w:r>
      <w:r>
        <w:rPr>
          <w:rFonts w:ascii="Times New Roman" w:hAnsi="Times New Roman"/>
          <w:sz w:val="20"/>
        </w:rPr>
        <w:t xml:space="preserve">”) and any Company Valuation Dispute Notice shall identify in reasonable detail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known the nature and amounts of any proposed revisions to the Company Valuation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(d) If, on or prior to the Response Date, the Company notifies Parent in writing that it has no objections to the Parent Net Cash Calculation or, if on the Response Date, the Company fails to deliver a Dispute Notice as provided in </w:t>
      </w:r>
      <w:r>
        <w:rPr>
          <w:rFonts w:ascii="Times New Roman" w:hAnsi="Times New Roman"/>
          <w:sz w:val="20"/>
          <w:u w:val="single"/>
        </w:rPr>
        <w:t>Section 2.8(c)</w:t>
      </w:r>
      <w:r>
        <w:rPr>
          <w:rFonts w:ascii="Times New Roman" w:hAnsi="Times New Roman"/>
          <w:sz w:val="20"/>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hAnsi="Times New Roman"/>
          <w:sz w:val="20"/>
          <w:u w:val="single"/>
        </w:rPr>
        <w:t>Section 2.8(c)</w:t>
      </w:r>
      <w:r>
        <w:rPr>
          <w:rFonts w:ascii="Times New Roman" w:hAnsi="Times New Roman"/>
          <w:sz w:val="20"/>
        </w:rPr>
        <w:t xml:space="preserve">, then the Company Valuation Calculation as set forth in the Company Valuation Schedule shall be deemed to have been finally determined for purposes of this Agreement and to represent the Company Valuation at the Company Valuation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the Company delivers a Dispute Notice on or prior to the Response Date, then Representatives of Parent and the Company shall promptly meet and attempt in good faith to resolve the disputed item(s) and negotiate an agreed-upon determination of Parent Net Cash, which agreed upon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Company Valuation Calculation, which agreed upon Company Valuation Calculation shall be deemed to have been finally determined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Representatives of Parent and the Company are unable to negotiate an agreed-upon determination of Parent Net Cash as of the Cash Determination Time or the Company Valuation Calculation as of the Company Valuation Determination Time, in each case pursuant to </w:t>
      </w:r>
      <w:r>
        <w:rPr>
          <w:rFonts w:ascii="Times New Roman" w:hAnsi="Times New Roman"/>
          <w:sz w:val="20"/>
          <w:u w:val="single"/>
        </w:rPr>
        <w:t>Section 2.8(e)</w:t>
      </w:r>
      <w:r>
        <w:rPr>
          <w:rFonts w:ascii="Times New Roman" w:hAnsi="Times New Roman"/>
          <w:sz w:val="20"/>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the Company Valuation Calculation shall be referred to an independent auditor of recognized national standing jointly selected by Parent and the Company. If the parties are unable to select an independent auditor within five days, then either Parent or the Company may thereafter request that the New York, New York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Business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Company Valuation Calculation made by the Accounting Firm shall be made in writing delivered to each of Parent and the Company, shall be final and binding on Parent and the Company and shall (absent manifest error) be deemed to have been finally determined for purposes of this Agreement. The Parties shall delay the Closing until the resolution of the matters described in this </w:t>
      </w:r>
      <w:r>
        <w:rPr>
          <w:rFonts w:ascii="Times New Roman" w:hAnsi="Times New Roman"/>
          <w:sz w:val="20"/>
          <w:u w:val="single"/>
        </w:rPr>
        <w:t>Section 2.8(f)</w:t>
      </w:r>
      <w:r>
        <w:rPr>
          <w:rFonts w:ascii="Times New Roman" w:hAnsi="Times New Roman"/>
          <w:sz w:val="20"/>
        </w:rPr>
        <w:t xml:space="preserve">. The fees and expenses of the Accounting Firm shall be allocated between Parent and the Company in the same proportion that the disputed amount of the Parent Net Cash or the Company Valuation Calculation that was unsuccessfully disputed by such Party (as finally determined by the Accounting Firm) bears to the total disputed amount of the Parent Net Cash or the Company Valuation Calculation. If this </w:t>
      </w:r>
      <w:r>
        <w:rPr>
          <w:rFonts w:ascii="Times New Roman" w:hAnsi="Times New Roman"/>
          <w:sz w:val="20"/>
          <w:u w:val="single"/>
        </w:rPr>
        <w:t>Section 2.8(f)</w:t>
      </w:r>
      <w:r>
        <w:rPr>
          <w:rFonts w:ascii="Times New Roman" w:hAnsi="Times New Roman"/>
          <w:sz w:val="20"/>
        </w:rPr>
        <w:t xml:space="preserve"> applies as to the determination of the Parent Net Cash at the Cash Determination Time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determination of the Company Valuation Calculation as of the Company Valuation Determination Time, as applicable, upon resolution of the matter in accordance with this </w:t>
      </w:r>
      <w:r>
        <w:rPr>
          <w:rFonts w:ascii="Times New Roman" w:hAnsi="Times New Roman"/>
          <w:sz w:val="20"/>
          <w:u w:val="single"/>
        </w:rPr>
        <w:t>Section 2.8(f)</w:t>
      </w:r>
      <w:r>
        <w:rPr>
          <w:rFonts w:ascii="Times New Roman" w:hAnsi="Times New Roman"/>
          <w:sz w:val="20"/>
        </w:rPr>
        <w:t xml:space="preserve">, the Parties shall not be required to determine Parent Net Cash or the Company Valuation Calculation again even though the Closing may occur later than the Anticipated Closing Date. </w:t>
      </w:r>
    </w:p>
    <w:p>
      <w:pPr>
        <w:pStyle w:val="TextBody"/>
        <w:bidi w:val="0"/>
        <w:spacing w:before="240" w:after="0"/>
        <w:jc w:val="left"/>
        <w:rPr>
          <w:rFonts w:ascii="Times New Roman" w:hAnsi="Times New Roman"/>
          <w:sz w:val="20"/>
        </w:rPr>
      </w:pPr>
      <w:bookmarkStart w:id="115" w:name="annextoc108148_13"/>
      <w:bookmarkEnd w:id="115"/>
      <w:r>
        <w:rPr>
          <w:rFonts w:ascii="Times New Roman" w:hAnsi="Times New Roman"/>
          <w:sz w:val="20"/>
        </w:rPr>
        <w:t xml:space="preserve">Section 2.9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 </w:t>
      </w:r>
    </w:p>
    <w:p>
      <w:pPr>
        <w:pStyle w:val="TextBody"/>
        <w:bidi w:val="0"/>
        <w:spacing w:before="240" w:after="0"/>
        <w:jc w:val="left"/>
        <w:rPr>
          <w:rFonts w:ascii="Times New Roman" w:hAnsi="Times New Roman"/>
          <w:sz w:val="20"/>
        </w:rPr>
      </w:pPr>
      <w:bookmarkStart w:id="116" w:name="annextoc108148_14"/>
      <w:bookmarkEnd w:id="116"/>
      <w:r>
        <w:rPr>
          <w:rFonts w:ascii="Times New Roman" w:hAnsi="Times New Roman"/>
          <w:sz w:val="20"/>
        </w:rPr>
        <w:t xml:space="preserve">Section 2.10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the Merger is intended to qualify as a reorganization within the meaning of Section 368(a) of the Code and/or a transfer within the meaning of Section 351(a) of the Code (the “</w:t>
      </w:r>
      <w:r>
        <w:rPr>
          <w:rFonts w:ascii="Times New Roman" w:hAnsi="Times New Roman"/>
          <w:b/>
          <w:sz w:val="20"/>
        </w:rPr>
        <w:t>Intended Tax Treatment</w:t>
      </w:r>
      <w:r>
        <w:rPr>
          <w:rFonts w:ascii="Times New Roman" w:hAnsi="Times New Roman"/>
          <w:sz w:val="20"/>
        </w:rPr>
        <w:t xml:space="preserve">”). The Parties adopt this Agreement as a “plan of reorganization” within the meaning of Treasury Regulations Sections 1.368-2(g) and 1.368-3. </w:t>
      </w:r>
    </w:p>
    <w:p>
      <w:pPr>
        <w:pStyle w:val="TextBody"/>
        <w:bidi w:val="0"/>
        <w:spacing w:before="240" w:after="0"/>
        <w:jc w:val="left"/>
        <w:rPr>
          <w:rFonts w:ascii="Times New Roman" w:hAnsi="Times New Roman"/>
          <w:sz w:val="20"/>
        </w:rPr>
      </w:pPr>
      <w:bookmarkStart w:id="117" w:name="annextoc108148_15"/>
      <w:bookmarkEnd w:id="117"/>
      <w:r>
        <w:rPr>
          <w:rFonts w:ascii="Times New Roman" w:hAnsi="Times New Roman"/>
          <w:sz w:val="20"/>
        </w:rPr>
        <w:t xml:space="preserve">Section 2.11 </w:t>
      </w:r>
      <w:r>
        <w:rPr>
          <w:rFonts w:ascii="Times New Roman" w:hAnsi="Times New Roman"/>
          <w:sz w:val="20"/>
          <w:u w:val="single"/>
        </w:rPr>
        <w:t>Withholding</w:t>
      </w:r>
      <w:r>
        <w:rPr>
          <w:rFonts w:ascii="Times New Roman" w:hAnsi="Times New Roman"/>
          <w:sz w:val="20"/>
        </w:rPr>
        <w:t xml:space="preserve">. Each of the Exchange Agent, Parent, Merger Sub and the Surviving Corporation shall be entitled to deduct and withhold from any consideration deliverable pursuant to this Agreement to any Person such amounts as are required to be deducted or withheld from such consideration under the Code or under any other applicable Law; provided that, with respect to any non-compensatory amounts, the Exchange Agent, Parent, Merger Sub and the Surviving Corporation shall use commercially reasonable efforts to (i) promptly notify such Persons of any intention to withhold any portion of such consideration and (ii)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Corporation or Parent, as applicable. </w:t>
      </w:r>
    </w:p>
    <w:p>
      <w:pPr>
        <w:pStyle w:val="TextBody"/>
        <w:bidi w:val="0"/>
        <w:spacing w:before="480" w:after="0"/>
        <w:jc w:val="center"/>
        <w:rPr>
          <w:rFonts w:ascii="Times New Roman" w:hAnsi="Times New Roman"/>
          <w:sz w:val="20"/>
        </w:rPr>
      </w:pPr>
      <w:bookmarkStart w:id="118" w:name="annextoc108148_16"/>
      <w:bookmarkEnd w:id="118"/>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written disclosure document delivered by the Company to Parent (the “</w:t>
      </w:r>
      <w:r>
        <w:rPr>
          <w:rFonts w:ascii="Times New Roman" w:hAnsi="Times New Roman"/>
          <w:b/>
          <w:sz w:val="20"/>
        </w:rPr>
        <w:t>Company Disclosure Letter</w:t>
      </w:r>
      <w:r>
        <w:rPr>
          <w:rFonts w:ascii="Times New Roman" w:hAnsi="Times New Roman"/>
          <w:sz w:val="20"/>
        </w:rPr>
        <w:t xml:space="preserve">”) concurrently with the execution of this Agreement, the Company represents and warrants to Parent and Merger Sub as follows: </w:t>
      </w:r>
    </w:p>
    <w:p>
      <w:pPr>
        <w:pStyle w:val="TextBody"/>
        <w:bidi w:val="0"/>
        <w:spacing w:before="240" w:after="0"/>
        <w:jc w:val="left"/>
        <w:rPr>
          <w:rFonts w:ascii="Times New Roman" w:hAnsi="Times New Roman"/>
          <w:sz w:val="20"/>
        </w:rPr>
      </w:pPr>
      <w:bookmarkStart w:id="119" w:name="annextoc108148_17"/>
      <w:bookmarkEnd w:id="119"/>
      <w:r>
        <w:rPr>
          <w:rFonts w:ascii="Times New Roman" w:hAnsi="Times New Roman"/>
          <w:sz w:val="20"/>
        </w:rPr>
        <w:t xml:space="preserve">Section 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controls directly 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120" w:name="annextoc108148_18"/>
      <w:bookmarkEnd w:id="120"/>
      <w:r>
        <w:rPr>
          <w:rFonts w:ascii="Times New Roman" w:hAnsi="Times New Roman"/>
          <w:sz w:val="20"/>
        </w:rPr>
        <w:t xml:space="preserve">Section 3.2 </w:t>
      </w:r>
      <w:r>
        <w:rPr>
          <w:rFonts w:ascii="Times New Roman" w:hAnsi="Times New Roman"/>
          <w:sz w:val="20"/>
          <w:u w:val="single"/>
        </w:rPr>
        <w:t>Organizational Documents</w:t>
      </w:r>
      <w:r>
        <w:rPr>
          <w:rFonts w:ascii="Times New Roman" w:hAnsi="Times New Roman"/>
          <w:sz w:val="20"/>
        </w:rPr>
        <w:t xml:space="preserve">. The Company has delivered to Parent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121" w:name="annextoc108148_19"/>
      <w:bookmarkEnd w:id="121"/>
      <w:r>
        <w:rPr>
          <w:rFonts w:ascii="Times New Roman" w:hAnsi="Times New Roman"/>
          <w:sz w:val="20"/>
        </w:rPr>
        <w:t xml:space="preserve">Section 3.3 </w:t>
      </w:r>
      <w:r>
        <w:rPr>
          <w:rFonts w:ascii="Times New Roman" w:hAnsi="Times New Roman"/>
          <w:sz w:val="20"/>
          <w:u w:val="single"/>
        </w:rPr>
        <w:t>Authority; Binding Nature of Agreement</w:t>
      </w:r>
      <w:r>
        <w:rPr>
          <w:rFonts w:ascii="Times New Roman" w:hAnsi="Times New Roman"/>
          <w:b/>
          <w:sz w:val="20"/>
        </w:rPr>
        <w:t>.</w:t>
      </w:r>
      <w:r>
        <w:rPr>
          <w:rFonts w:ascii="Times New Roman" w:hAnsi="Times New Roman"/>
          <w:sz w:val="20"/>
        </w:rPr>
        <w:t xml:space="preserve"> The Company has all necessary corporate power and authority to enter into and to perform its obligations under this Agreement and to consummate the Contemplated Transactions, subject to obtaining the Required Company Stockholder Vote.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122" w:name="annextoc108148_20"/>
      <w:bookmarkEnd w:id="122"/>
      <w:r>
        <w:rPr>
          <w:rFonts w:ascii="Times New Roman" w:hAnsi="Times New Roman"/>
          <w:sz w:val="20"/>
        </w:rPr>
        <w:t xml:space="preserve">Section 3.4 </w:t>
      </w:r>
      <w:r>
        <w:rPr>
          <w:rFonts w:ascii="Times New Roman" w:hAnsi="Times New Roman"/>
          <w:sz w:val="20"/>
          <w:u w:val="single"/>
        </w:rPr>
        <w:t>Vote Required</w:t>
      </w:r>
      <w:r>
        <w:rPr>
          <w:rFonts w:ascii="Times New Roman" w:hAnsi="Times New Roman"/>
          <w:sz w:val="20"/>
        </w:rPr>
        <w:t>. The affirmative vote (or written consent) of (a) the holders of a majority of the shares of Company Capital Stock outstanding on the record date, voting as a single class on an as-converted basis, and (b) the holders of a majority of the shares of Company Series A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No interest in the Company is subject to any appraisal or dissenters’ rights in connection with the Contemplated Transactions. </w:t>
      </w:r>
    </w:p>
    <w:p>
      <w:pPr>
        <w:pStyle w:val="TextBody"/>
        <w:bidi w:val="0"/>
        <w:spacing w:before="240" w:after="0"/>
        <w:jc w:val="left"/>
        <w:rPr>
          <w:rFonts w:ascii="Times New Roman" w:hAnsi="Times New Roman"/>
          <w:sz w:val="20"/>
        </w:rPr>
      </w:pPr>
      <w:bookmarkStart w:id="123" w:name="annextoc108148_21"/>
      <w:bookmarkEnd w:id="123"/>
      <w:r>
        <w:rPr>
          <w:rFonts w:ascii="Times New Roman" w:hAnsi="Times New Roman"/>
          <w:sz w:val="20"/>
        </w:rPr>
        <w:t xml:space="preserve">Section 3.5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Company Material Contract, or give any Person the right to: (A) declare a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the Company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the State of Delaware pursuant to the DGCL, (iii) such consents, waivers, approvals, orders, authorizations, registrations, declarations and filings as may be required under applicable federal and state securities laws, and (iv) the filing of the pre-merger notification report under the HSR Act, the Company was not, is not, nor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 state takeover statute or similar Law applies or purports to apply to the Merger, this Agreement, the Company Stockholder Support Agreements or any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w:t>
      </w:r>
    </w:p>
    <w:p>
      <w:pPr>
        <w:pStyle w:val="TextBody"/>
        <w:bidi w:val="0"/>
        <w:spacing w:before="240" w:after="0"/>
        <w:jc w:val="left"/>
        <w:rPr>
          <w:rFonts w:ascii="Times New Roman" w:hAnsi="Times New Roman"/>
          <w:sz w:val="20"/>
        </w:rPr>
      </w:pPr>
      <w:bookmarkStart w:id="124" w:name="annextoc108148_22"/>
      <w:bookmarkEnd w:id="124"/>
      <w:r>
        <w:rPr>
          <w:rFonts w:ascii="Times New Roman" w:hAnsi="Times New Roman"/>
          <w:sz w:val="20"/>
        </w:rPr>
        <w:t xml:space="preserve">Section 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the Company consists of 100,000,000 shares of Company Common Stock, 35,000,000 shares of Series A Preferred Stock, and 25,000,000 shares of Series A-1 Preferred Stock, of which 6,100,000, 30,668,708 and no shares respectively have been issued and are outstanding as of the date hereof. The Company does not hold any shares of its capital stock in its treasury. As of the date of this Agreement, the Company’s capital stock is held by the Persons and in the amounts set forth in </w:t>
      </w:r>
      <w:r>
        <w:rPr>
          <w:rFonts w:ascii="Times New Roman" w:hAnsi="Times New Roman"/>
          <w:sz w:val="20"/>
          <w:u w:val="single"/>
        </w:rPr>
        <w:t>Section 3.6(a)</w:t>
      </w:r>
      <w:r>
        <w:rPr>
          <w:rFonts w:ascii="Times New Roman" w:hAnsi="Times New Roman"/>
          <w:sz w:val="20"/>
        </w:rPr>
        <w:t xml:space="preserve"> of the Company Disclosure Letter, which further sets forth for each such Person (i) the name of such Person and the number of shares held, (ii) the class and series of such shares, and (iii) whether such Person is or has ever been an employee. Each share of Company Preferred Stock is convertible into one share of Company Common Stock. There are no declared or accrued but unpaid dividends with respect to any shares of the Company’s capital stock and the Company has never declared or paid any dividend or other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of the Company Disclosure Letter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entered into an employment agreement pursuant to which the Company will reserve a number of shares equal to 5% of the fully-diluted issued and outstanding Company Capital Stock through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closing of the Pre-Closing Financing, which awards will be issued under the Company’s 2026 Equity Incentive Plan (the “</w:t>
      </w:r>
      <w:r>
        <w:rPr>
          <w:rFonts w:ascii="Times New Roman" w:hAnsi="Times New Roman"/>
          <w:b/>
          <w:sz w:val="20"/>
        </w:rPr>
        <w:t>Stock Plan</w:t>
      </w:r>
      <w:r>
        <w:rPr>
          <w:rFonts w:ascii="Times New Roman" w:hAnsi="Times New Roman"/>
          <w:sz w:val="20"/>
        </w:rPr>
        <w:t xml:space="preserve">”). As of the date hereof, there are no other Company Options or other equity awards issued, outstanding or subject to executed employment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3.6(d)</w:t>
      </w:r>
      <w:r>
        <w:rPr>
          <w:rFonts w:ascii="Times New Roman" w:hAnsi="Times New Roman"/>
          <w:sz w:val="20"/>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Company Capital Stock, Company Options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125" w:name="annextoc108148_23"/>
      <w:bookmarkEnd w:id="125"/>
      <w:r>
        <w:rPr>
          <w:rFonts w:ascii="Times New Roman" w:hAnsi="Times New Roman"/>
          <w:sz w:val="20"/>
        </w:rPr>
        <w:t xml:space="preserve">Section 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3.7(b)</w:t>
      </w:r>
      <w:r>
        <w:rPr>
          <w:rFonts w:ascii="Times New Roman" w:hAnsi="Times New Roman"/>
          <w:sz w:val="20"/>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126" w:name="annextoc108148_24"/>
      <w:bookmarkEnd w:id="126"/>
      <w:r>
        <w:rPr>
          <w:rFonts w:ascii="Times New Roman" w:hAnsi="Times New Roman"/>
          <w:sz w:val="20"/>
        </w:rPr>
        <w:t xml:space="preserve">Section 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Letter, between the date of its incorporation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127" w:name="annextoc108148_25"/>
      <w:bookmarkEnd w:id="127"/>
      <w:r>
        <w:rPr>
          <w:rFonts w:ascii="Times New Roman" w:hAnsi="Times New Roman"/>
          <w:sz w:val="20"/>
        </w:rPr>
        <w:t xml:space="preserve">Section 3.9 </w:t>
      </w:r>
      <w:r>
        <w:rPr>
          <w:rFonts w:ascii="Times New Roman" w:hAnsi="Times New Roman"/>
          <w:sz w:val="20"/>
          <w:u w:val="single"/>
        </w:rPr>
        <w:t>Absence of Undisclosed Liabilities</w:t>
      </w:r>
      <w:r>
        <w:rPr>
          <w:rFonts w:ascii="Times New Roman" w:hAnsi="Times New Roman"/>
          <w:sz w:val="20"/>
        </w:rPr>
        <w:t>. Since the date of its incorporation, the Company does not have any liability, indebtedness, obligation, expense, claim, deficiency, guaranty or endorsement of any kind, whether accrued, absolute, contingent, matured, unmatured or otherwise (each a “</w:t>
      </w:r>
      <w:r>
        <w:rPr>
          <w:rFonts w:ascii="Times New Roman" w:hAnsi="Times New Roman"/>
          <w:b/>
          <w:sz w:val="20"/>
        </w:rPr>
        <w:t>Liability</w:t>
      </w:r>
      <w:r>
        <w:rPr>
          <w:rFonts w:ascii="Times New Roman" w:hAnsi="Times New Roman"/>
          <w:sz w:val="20"/>
        </w:rPr>
        <w:t xml:space="preserve">”), whether or not required to be reflected or reserved for on a balance sheet prepared in accordance with GAAP, except for: (a) Liabilities disclosed, reflected or reserved against (or to be disclosed, reflected or reserved against) in the financial statements of the Company,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 w:hAnsi="Times New Roman"/>
          <w:sz w:val="20"/>
          <w:u w:val="single"/>
        </w:rPr>
        <w:t>Section 3.9</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128" w:name="annextoc108148_26"/>
      <w:bookmarkEnd w:id="128"/>
      <w:r>
        <w:rPr>
          <w:rFonts w:ascii="Times New Roman" w:hAnsi="Times New Roman"/>
          <w:sz w:val="20"/>
        </w:rPr>
        <w:t xml:space="preserve">Section 3.10 </w:t>
      </w:r>
      <w:r>
        <w:rPr>
          <w:rFonts w:ascii="Times New Roman" w:hAnsi="Times New Roman"/>
          <w:sz w:val="20"/>
          <w:u w:val="single"/>
        </w:rPr>
        <w:t>Title to Assets</w:t>
      </w:r>
      <w:r>
        <w:rPr>
          <w:rFonts w:ascii="Times New Roman" w:hAnsi="Times New Roman"/>
          <w:sz w:val="20"/>
        </w:rPr>
        <w:t xml:space="preserve">.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129" w:name="annextoc108148_27"/>
      <w:bookmarkEnd w:id="129"/>
      <w:r>
        <w:rPr>
          <w:rFonts w:ascii="Times New Roman" w:hAnsi="Times New Roman"/>
          <w:sz w:val="20"/>
        </w:rPr>
        <w:t xml:space="preserve">Section 3.11 </w:t>
      </w:r>
      <w:r>
        <w:rPr>
          <w:rFonts w:ascii="Times New Roman" w:hAnsi="Times New Roman"/>
          <w:sz w:val="20"/>
          <w:u w:val="single"/>
        </w:rPr>
        <w:t>Real Property; Leasehold</w:t>
      </w:r>
      <w:r>
        <w:rPr>
          <w:rFonts w:ascii="Times New Roman" w:hAnsi="Times New Roman"/>
          <w:sz w:val="20"/>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 Real Estate Leases</w:t>
      </w:r>
      <w:r>
        <w:rPr>
          <w:rFonts w:ascii="Times New Roman" w:hAnsi="Times New Roman"/>
          <w:sz w:val="20"/>
        </w:rPr>
        <w:t xml:space="preserve">”), each of which is in full force and effect, with no existing material default thereunder by the Company or to the Company’s Knowledge, the other party thereto. </w:t>
      </w:r>
    </w:p>
    <w:p>
      <w:pPr>
        <w:pStyle w:val="TextBody"/>
        <w:bidi w:val="0"/>
        <w:spacing w:before="240" w:after="0"/>
        <w:jc w:val="left"/>
        <w:rPr>
          <w:rFonts w:ascii="Times New Roman" w:hAnsi="Times New Roman"/>
          <w:sz w:val="20"/>
        </w:rPr>
      </w:pPr>
      <w:bookmarkStart w:id="130" w:name="annextoc108148_28"/>
      <w:bookmarkEnd w:id="130"/>
      <w:r>
        <w:rPr>
          <w:rFonts w:ascii="Times New Roman" w:hAnsi="Times New Roman"/>
          <w:sz w:val="20"/>
        </w:rPr>
        <w:t xml:space="preserve">Section 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Letter is an accurate, true and complete listing of all Company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3.12(b)</w:t>
      </w:r>
      <w:r>
        <w:rPr>
          <w:rFonts w:ascii="Times New Roman" w:hAnsi="Times New Roman"/>
          <w:sz w:val="20"/>
        </w:rPr>
        <w:t xml:space="preserve"> of the Company Disclosure Letter accurately identifies (i) all Company Contracts pursuant to which any Company IP Rights are licensed to the Company (other than Excepted Contracts) and (ii) whether the license or licenses granted to the Company are exclusive or nonexclusive.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not bound by, and no Company IP Rights are subject to, any Contract containing any covenant or other provision that in any way limits or restricts the ability of the Company to use, exploit, assert or enforce any Company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exclusively owns or licenses all right, title and interest to and in Company IP Rights (other than Excepted Contracts),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Company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has taken reasonable steps to maintain the confidentiality of and otherwise protect and enforce its rights in all proprietary information that the Company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not assigned or otherwise transferred ownership of, or agreed to assign or otherwise transfer ownership of, any Company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the Company, 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the Company or its licensor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or its licensor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 </w:t>
      </w:r>
    </w:p>
    <w:p>
      <w:pPr>
        <w:pStyle w:val="TextBody"/>
        <w:bidi w:val="0"/>
        <w:spacing w:before="240" w:after="0"/>
        <w:jc w:val="left"/>
        <w:rPr>
          <w:rFonts w:ascii="Times New Roman" w:hAnsi="Times New Roman"/>
          <w:sz w:val="20"/>
        </w:rPr>
      </w:pPr>
      <w:r>
        <w:rPr>
          <w:rFonts w:ascii="Times New Roman" w:hAnsi="Times New Roman"/>
          <w:sz w:val="20"/>
        </w:rPr>
        <w:t xml:space="preserve">(h) 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All Company Registered IP is subsisting, and to the Knowledge of the Company, all Company Registered IP that is issued or granted is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To the Knowledge of the Company, no registered trademark or trade name owned, used or applied for by the Company conflicts or interferes with any registered trademark or trade name owned, used or applied for by any other Person. None of the goodwill associated with or inherent in any registered trademark in which the Company has or purports to have an ownership interest has been impaired as determined by the Company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(j) Except as set forth in </w:t>
      </w:r>
      <w:r>
        <w:rPr>
          <w:rFonts w:ascii="Times New Roman" w:hAnsi="Times New Roman"/>
          <w:sz w:val="20"/>
          <w:u w:val="single"/>
        </w:rPr>
        <w:t>Sections 3.12(b)</w:t>
      </w:r>
      <w:r>
        <w:rPr>
          <w:rFonts w:ascii="Times New Roman" w:hAnsi="Times New Roman"/>
          <w:sz w:val="20"/>
        </w:rPr>
        <w:t xml:space="preserve">, </w:t>
      </w:r>
      <w:r>
        <w:rPr>
          <w:rFonts w:ascii="Times New Roman" w:hAnsi="Times New Roman"/>
          <w:sz w:val="20"/>
          <w:u w:val="single"/>
        </w:rPr>
        <w:t>3.12(c)</w:t>
      </w:r>
      <w:r>
        <w:rPr>
          <w:rFonts w:ascii="Times New Roman" w:hAnsi="Times New Roman"/>
          <w:sz w:val="20"/>
        </w:rPr>
        <w:t xml:space="preserve"> or </w:t>
      </w:r>
      <w:r>
        <w:rPr>
          <w:rFonts w:ascii="Times New Roman" w:hAnsi="Times New Roman"/>
          <w:sz w:val="20"/>
          <w:u w:val="single"/>
        </w:rPr>
        <w:t>3.12(k)</w:t>
      </w:r>
      <w:r>
        <w:rPr>
          <w:rFonts w:ascii="Times New Roman" w:hAnsi="Times New Roman"/>
          <w:sz w:val="20"/>
        </w:rPr>
        <w:t xml:space="preserve"> of the Company Disclosure Letter or as contained in license, distribution or service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Notwithstanding any other provisions of this Agreement, Parent acknowledges and agrees that the representations and warranties contained in this Section 3.12 are the only representations or warranties made by Company with respect to Intellectual Property, and no other provisions of this Agreement shall be interpreted as containing any representation or warranty with respect thereto. </w:t>
      </w:r>
    </w:p>
    <w:p>
      <w:pPr>
        <w:pStyle w:val="TextBody"/>
        <w:bidi w:val="0"/>
        <w:spacing w:before="240" w:after="0"/>
        <w:jc w:val="left"/>
        <w:rPr>
          <w:rFonts w:ascii="Times New Roman" w:hAnsi="Times New Roman"/>
          <w:sz w:val="20"/>
        </w:rPr>
      </w:pPr>
      <w:bookmarkStart w:id="131" w:name="annextoc108148_29"/>
      <w:bookmarkEnd w:id="131"/>
      <w:r>
        <w:rPr>
          <w:rFonts w:ascii="Times New Roman" w:hAnsi="Times New Roman"/>
          <w:sz w:val="20"/>
        </w:rPr>
        <w:t xml:space="preserve">Section 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Excepted Contracts, </w:t>
      </w:r>
      <w:r>
        <w:rPr>
          <w:rFonts w:ascii="Times New Roman" w:hAnsi="Times New Roman"/>
          <w:sz w:val="20"/>
          <w:u w:val="single"/>
        </w:rPr>
        <w:t>Section 3.13(a)</w:t>
      </w:r>
      <w:r>
        <w:rPr>
          <w:rFonts w:ascii="Times New Roman" w:hAnsi="Times New Roman"/>
          <w:sz w:val="20"/>
        </w:rPr>
        <w:t xml:space="preserve"> of the Company Disclosure Letter lists the following Company Contracts in effect as of the date of this Agreement other than the Series A Financing Agreement and the Subscription Agreement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Contract containing (A) any covenant limiting the freedom of the Company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Contract (A) pursuant to which any Person granted the Company an exclusive license under any Intellectual Property, or (B) pursuant to which the Company granted any Person an exclusive license under any Company IP Rights; </w:t>
      </w:r>
    </w:p>
    <w:p>
      <w:pPr>
        <w:pStyle w:val="TextBody"/>
        <w:bidi w:val="0"/>
        <w:spacing w:before="120" w:after="0"/>
        <w:jc w:val="left"/>
        <w:rPr>
          <w:rFonts w:ascii="Times New Roman" w:hAnsi="Times New Roman"/>
          <w:sz w:val="20"/>
        </w:rPr>
      </w:pPr>
      <w:r>
        <w:rPr>
          <w:rFonts w:ascii="Times New Roman" w:hAnsi="Times New Roman"/>
          <w:sz w:val="20"/>
        </w:rPr>
        <w:t xml:space="preserve">(iv) each Company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 each Company Contract containing any royalty, dividend or similar arrangement based on the revenues or profits of the Company, any of its Subsidiaries,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Company Contract relating to the disposition or acquisition of material assets or any ownership interest in any Entity, in each case, involving payments in excess of $100,000 after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each Company Contract with any Person, including any financial advisor, broker, finder, investment banker or other Person, providing advisory services to the Company in connection with the Contemplated Transactions and requiring payments by Company after the date of this Agreement in excess of $100,000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 each Company Contract to which the Company is a party or by which any of its assets and properties is currently bound, which involves annual obligations of payment by, or annual payments to, the Company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Company Contract entered into in settlement of any Legal Proceeding or other dispute pursuant to which the Company or any of its Subsidiaries has outstanding obligations to pay consideration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Company Contract that is not terminable at will (with no penalty or payment)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 or </w:t>
      </w:r>
    </w:p>
    <w:p>
      <w:pPr>
        <w:pStyle w:val="TextBody"/>
        <w:bidi w:val="0"/>
        <w:spacing w:before="120" w:after="0"/>
        <w:jc w:val="left"/>
        <w:rPr>
          <w:rFonts w:ascii="Times New Roman" w:hAnsi="Times New Roman"/>
          <w:sz w:val="20"/>
        </w:rPr>
      </w:pPr>
      <w:r>
        <w:rPr>
          <w:rFonts w:ascii="Times New Roman" w:hAnsi="Times New Roman"/>
          <w:sz w:val="20"/>
        </w:rPr>
        <w:t xml:space="preserve">(xiii) Company Real Estate Leases.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(c) On or prior to the date of this Agreement, the Company entered into the Series A Financing Agreement and certain other agreements and side letters set forth on </w:t>
      </w:r>
      <w:r>
        <w:rPr>
          <w:rFonts w:ascii="Times New Roman" w:hAnsi="Times New Roman"/>
          <w:sz w:val="20"/>
          <w:u w:val="single"/>
        </w:rPr>
        <w:t>Section 3.13</w:t>
      </w:r>
      <w:r>
        <w:rPr>
          <w:rFonts w:ascii="Times New Roman" w:hAnsi="Times New Roman"/>
          <w:sz w:val="20"/>
        </w:rPr>
        <w:t xml:space="preserve"> of the Company Disclosure Letter (collectively, the “</w:t>
      </w:r>
      <w:r>
        <w:rPr>
          <w:rFonts w:ascii="Times New Roman" w:hAnsi="Times New Roman"/>
          <w:b/>
          <w:sz w:val="20"/>
        </w:rPr>
        <w:t>Series A Financing Agreements</w:t>
      </w:r>
      <w:r>
        <w:rPr>
          <w:rFonts w:ascii="Times New Roman" w:hAnsi="Times New Roman"/>
          <w:sz w:val="20"/>
        </w:rPr>
        <w:t xml:space="preserve">”) with certain investors in the Series A Financing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Series A Investors</w:t>
      </w:r>
      <w:r>
        <w:rPr>
          <w:rFonts w:ascii="Times New Roman" w:hAnsi="Times New Roman"/>
          <w:sz w:val="20"/>
        </w:rPr>
        <w:t xml:space="preserve">”), true and executed copies of which have been made available to Parent, pursuant to which, and on the terms and subject to the conditions of which, such Series A Investors have agreed to invest in a private placement of the Company Series A Preferred Stock for an aggregate amount of $138,000,000. Such Series A Financing Agreements are in full force and effect with respect to, and binding on, the Company and, to the Knowledge of the Company, on each Series A Investor party thereto, in accordance with its terms. Other than the Series A Financing Agreements, there are no other Contracts, including side letters, entered into by the Company in connection with the Series A Financing. </w:t>
      </w:r>
    </w:p>
    <w:p>
      <w:pPr>
        <w:pStyle w:val="TextBody"/>
        <w:bidi w:val="0"/>
        <w:spacing w:before="240" w:after="0"/>
        <w:jc w:val="left"/>
        <w:rPr>
          <w:rFonts w:ascii="Times New Roman" w:hAnsi="Times New Roman"/>
          <w:sz w:val="20"/>
        </w:rPr>
      </w:pPr>
      <w:bookmarkStart w:id="132" w:name="annextoc108148_30"/>
      <w:bookmarkEnd w:id="132"/>
      <w:r>
        <w:rPr>
          <w:rFonts w:ascii="Times New Roman" w:hAnsi="Times New Roman"/>
          <w:sz w:val="20"/>
        </w:rPr>
        <w:t xml:space="preserve">Section 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since April 2, 2026, has been in compliance with all applicable Laws, except where the failure to so comply would not, whether individually or in the aggregate, reasonably be expected to have a Company Material Adverse Effect. No investigation, claim, suit, proceeding, audit, Order or other Legal Proceeding or action by any Governmental Authority is pending or, to the Knowledge of the Company, threatened against the Company, which if determined unfavorably to the Company would reasonably be expected to have a Company Material Adverse Effect. There is no agreement or Order binding upon the Company which (i)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U.S. Food and Drug Administration (or any successor agency thereto) (“</w:t>
      </w:r>
      <w:r>
        <w:rPr>
          <w:rFonts w:ascii="Times New Roman" w:hAnsi="Times New Roman"/>
          <w:b/>
          <w:sz w:val="20"/>
        </w:rPr>
        <w:t>FDA</w:t>
      </w:r>
      <w:r>
        <w:rPr>
          <w:rFonts w:ascii="Times New Roman" w:hAnsi="Times New Roman"/>
          <w:sz w:val="20"/>
        </w:rPr>
        <w:t>”) or other comparable Governmental Authority responsible for regulation of the development, testing, manufacturing, processing, storage, labeling, sale, marketing, advertising, distribution and importation or exportation of drug, biological or medical device products (“</w:t>
      </w:r>
      <w:r>
        <w:rPr>
          <w:rFonts w:ascii="Times New Roman" w:hAnsi="Times New Roman"/>
          <w:b/>
          <w:sz w:val="20"/>
        </w:rPr>
        <w:t>Drug/Device Regulatory Agency</w:t>
      </w:r>
      <w:r>
        <w:rPr>
          <w:rFonts w:ascii="Times New Roman" w:hAnsi="Times New Roman"/>
          <w:sz w:val="20"/>
        </w:rPr>
        <w:t>”), the Company holds all required Governmental Authorizations for the operation of the business of the Company as currently conducted (the “</w:t>
      </w:r>
      <w:r>
        <w:rPr>
          <w:rFonts w:ascii="Times New Roman" w:hAnsi="Times New Roman"/>
          <w:b/>
          <w:sz w:val="20"/>
        </w:rPr>
        <w:t>Company 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as of the date of this Agreement and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(c) There are no Legal Proceedings pending or, to the Knowledge of the Company, threatened with respect to an alleged violation by the Company of the Federal Food, Drug, and Cosmetic Act (21 U.S.C. §§ 301 et seq.) and the regulations promulgated thereunder (“</w:t>
      </w:r>
      <w:r>
        <w:rPr>
          <w:rFonts w:ascii="Times New Roman" w:hAnsi="Times New Roman"/>
          <w:b/>
          <w:sz w:val="20"/>
        </w:rPr>
        <w:t>FDCA</w:t>
      </w:r>
      <w:r>
        <w:rPr>
          <w:rFonts w:ascii="Times New Roman" w:hAnsi="Times New Roman"/>
          <w:sz w:val="20"/>
        </w:rPr>
        <w:t>”), the Public Health Service Act and the regulations promulgated thereunder (42 U.S.C. § 262 et seq.) (“</w:t>
      </w:r>
      <w:r>
        <w:rPr>
          <w:rFonts w:ascii="Times New Roman" w:hAnsi="Times New Roman"/>
          <w:b/>
          <w:sz w:val="20"/>
        </w:rPr>
        <w:t>PHSA</w:t>
      </w:r>
      <w:r>
        <w:rPr>
          <w:rFonts w:ascii="Times New Roman" w:hAnsi="Times New Roman"/>
          <w:sz w:val="20"/>
        </w:rPr>
        <w:t xml:space="preserve">”),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The Company holds all required material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in each case as currently conducted, of any of its product candidates (the “</w:t>
      </w:r>
      <w:r>
        <w:rPr>
          <w:rFonts w:ascii="Times New Roman" w:hAnsi="Times New Roman"/>
          <w:b/>
          <w:sz w:val="20"/>
        </w:rPr>
        <w:t>Company Product Candidates</w:t>
      </w:r>
      <w:r>
        <w:rPr>
          <w:rFonts w:ascii="Times New Roman" w:hAnsi="Times New Roman"/>
          <w:sz w:val="20"/>
        </w:rPr>
        <w:t>” and collectively, the “</w:t>
      </w:r>
      <w:r>
        <w:rPr>
          <w:rFonts w:ascii="Times New Roman" w:hAnsi="Times New Roman"/>
          <w:b/>
          <w:sz w:val="20"/>
        </w:rPr>
        <w:t>Company Regulatory Permits</w:t>
      </w:r>
      <w:r>
        <w:rPr>
          <w:rFonts w:ascii="Times New Roman" w:hAnsi="Times New Roman"/>
          <w:sz w:val="20"/>
        </w:rPr>
        <w:t xml:space="preserve">”) and since April 2, 2026 (and from January 1, 2024 through April 1, 2026, to the Company’s Knowledge) no such Company Regulatory Permit has been (i) revoked, withdrawn, suspended, cancelled or terminated or (ii) modified in any adverse manner, other than immaterial adverse modifications. The Company has maintained and is in compliance in all material respects with the terms of such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Company Regulatory Permit or (B) any revocation, withdrawal, suspension, cancellation, termination or material modification of any Company Regulatory Permit. </w:t>
      </w:r>
    </w:p>
    <w:p>
      <w:pPr>
        <w:pStyle w:val="TextBody"/>
        <w:bidi w:val="0"/>
        <w:spacing w:before="240" w:after="0"/>
        <w:jc w:val="left"/>
        <w:rPr>
          <w:rFonts w:ascii="Times New Roman" w:hAnsi="Times New Roman"/>
          <w:sz w:val="20"/>
        </w:rPr>
      </w:pPr>
      <w:r>
        <w:rPr>
          <w:rFonts w:ascii="Times New Roman" w:hAnsi="Times New Roman"/>
          <w:sz w:val="20"/>
        </w:rPr>
        <w:t>(e) All clinical, preclinical and other studies and tests conducted by or on behalf of, or sponsored by, the Company, in which the Company or its current product candidates, including the Company Product Candidates, have participated (collectively “</w:t>
      </w:r>
      <w:r>
        <w:rPr>
          <w:rFonts w:ascii="Times New Roman" w:hAnsi="Times New Roman"/>
          <w:b/>
          <w:sz w:val="20"/>
        </w:rPr>
        <w:t>Company Studies</w:t>
      </w:r>
      <w:r>
        <w:rPr>
          <w:rFonts w:ascii="Times New Roman" w:hAnsi="Times New Roman"/>
          <w:sz w:val="20"/>
        </w:rPr>
        <w:t xml:space="preserve">”), were since April 2, 2026 (and from January 1, 2024 through April 1, 2026, to the Company’s Knowledge), and, if still pending, are being conducted in accordance in all material respects with any applicable regulations of the Drug/Device Regulatory Agencies and other applicable Laws to which such Company Studies are or were subject.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such Company Studies, other than ordinary course communications regarding the design and implementation of such Company Studies. Further, no clinical investigator, researcher or clinical staff participating in any Company Study has been disqualified from participating in studies involving the Company Product Candidates, and to the Knowledge of the Company,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(f) 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 Reg. 46191 (September 10, 1991) and any amendments thereto (the “</w:t>
      </w:r>
      <w:r>
        <w:rPr>
          <w:rFonts w:ascii="Times New Roman" w:hAnsi="Times New Roman"/>
          <w:b/>
          <w:sz w:val="20"/>
        </w:rPr>
        <w:t>Application Integrity Policy</w:t>
      </w:r>
      <w:r>
        <w:rPr>
          <w:rFonts w:ascii="Times New Roman" w:hAnsi="Times New Roman"/>
          <w:sz w:val="20"/>
        </w:rPr>
        <w:t xml:space="preserve">”) or by any other Drug/Device Regulatory Agency under a comparable policy. Since April 2, 2026 (and from January 1, 2024 through April 1, 2026, to the Company’s Knowledge), neither the Company, nor any of its officers, directors, employees or, to the Knowledge of the Company, agents have been debarred or excluded from participation in any federal healthcare programs. Since April 2, 2026 (and from January 1, 2024 through April 1, 2026, to the Company’s Knowledge), none of the Company or, to the Knowledge of the Company, any of their respective officers, employees, agents or contract manufacturers, with respect to any Company Product Candidate has committed any acts, made any statement or failed to make any statement, in each case in respect of its business or products that would violate the Application Integrity Policy or a comparable policy of any other Drug/Device Regulatory Agency. Since April 2, 2026 (and from January 1, 2024 through April 1, 2026, to the Company’s Knowledge), none of the Company, and to the Knowledge of the Company, any of their respective officers, employees, agents, or contract manufacturer with respect to any Company Product Candidate is currently or has been debarred, convicted of any crime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nor to the Knowledge of the Company, any of their respective officers, employees or agents, or contract manufacturers with respect to any Company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the Company, for the benefit of the Company in connection with any Company Product Candidate since April 2, 2026 (and from January 1, 2024 through April 1, 2026, to the Company’s Knowledge) have been and are being conducted in compliance in all material respects with applicable Laws, including, to the extent applicable, the FDCA, PHSA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to the Knowledge of the Company, any manufacturing site of a contract manufacturer or laboratory, in each case with respect such parties’ or site’s activities conducted with respect to any Company Product Candidate, (i) is subject to a Drug/Device Regulatory Agency shutdown or import or export prohibition or (ii) has since April 2, 2026 (and from January 1, 2024 through April 1, 2026, to the Company’s Knowledge) received any Form FDA 483, notice of violation, warning letter, untitled letter or similar correspondence or notice from the FDA or other Drug/Device Regulatory Agency alleging or asserting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noncompliance with any applicable Law, and in each case, that have not been complied with or closed to the satisfaction of the relevant Drug/Device Regulatory Agency, and, to the Knowledge of the Company, neither the FDA nor any other Drug/Device Regulatory Agency has threatened such action. </w:t>
      </w:r>
    </w:p>
    <w:p>
      <w:pPr>
        <w:pStyle w:val="TextBody"/>
        <w:bidi w:val="0"/>
        <w:spacing w:before="240" w:after="0"/>
        <w:jc w:val="left"/>
        <w:rPr>
          <w:rFonts w:ascii="Times New Roman" w:hAnsi="Times New Roman"/>
          <w:sz w:val="20"/>
        </w:rPr>
      </w:pPr>
      <w:bookmarkStart w:id="133" w:name="annextoc108148_31"/>
      <w:bookmarkEnd w:id="133"/>
      <w:r>
        <w:rPr>
          <w:rFonts w:ascii="Times New Roman" w:hAnsi="Times New Roman"/>
          <w:sz w:val="20"/>
        </w:rPr>
        <w:t xml:space="preserve">Section 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used by the Company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 </w:t>
      </w:r>
    </w:p>
    <w:p>
      <w:pPr>
        <w:pStyle w:val="TextBody"/>
        <w:bidi w:val="0"/>
        <w:spacing w:before="240" w:after="0"/>
        <w:jc w:val="left"/>
        <w:rPr>
          <w:rFonts w:ascii="Times New Roman" w:hAnsi="Times New Roman"/>
          <w:sz w:val="20"/>
        </w:rPr>
      </w:pPr>
      <w:bookmarkStart w:id="134" w:name="annextoc108148_32"/>
      <w:bookmarkEnd w:id="134"/>
      <w:r>
        <w:rPr>
          <w:rFonts w:ascii="Times New Roman" w:hAnsi="Times New Roman"/>
          <w:sz w:val="20"/>
        </w:rPr>
        <w:t xml:space="preserve">Section 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or any of its Subsidiaries does not file Tax Returns that the Company or any of its Subsidiaries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the Company and each of its Subsidiaries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Company and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than Encumbrances described in </w:t>
      </w:r>
      <w:r>
        <w:rPr>
          <w:rFonts w:ascii="Times New Roman" w:hAnsi="Times New Roman"/>
          <w:sz w:val="20"/>
          <w:u w:val="single"/>
        </w:rPr>
        <w:t>clause (i)</w:t>
      </w:r>
      <w:r>
        <w:rPr>
          <w:rFonts w:ascii="Times New Roman" w:hAnsi="Times New Roman"/>
          <w:sz w:val="20"/>
        </w:rPr>
        <w:t xml:space="preserve"> of the definition of “Permitted Encumbrances”) upon any of the assets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the Company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or any of its Subsidiaries. Neither the Company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been a United States real property holding corporation within the meaning of Section 897(c)(2) of the Code in the last five years. </w:t>
      </w:r>
    </w:p>
    <w:p>
      <w:pPr>
        <w:pStyle w:val="TextBody"/>
        <w:bidi w:val="0"/>
        <w:spacing w:before="240" w:after="0"/>
        <w:jc w:val="left"/>
        <w:rPr>
          <w:rFonts w:ascii="Times New Roman" w:hAnsi="Times New Roman"/>
          <w:sz w:val="20"/>
        </w:rPr>
      </w:pPr>
      <w:r>
        <w:rPr>
          <w:rFonts w:ascii="Times New Roman" w:hAnsi="Times New Roman"/>
          <w:sz w:val="20"/>
        </w:rPr>
        <w:t>(g) Neither the Company nor any of its Subsidiaries is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hAnsi="Times New Roman"/>
          <w:b/>
          <w:sz w:val="20"/>
        </w:rPr>
        <w:t>Ordinary Course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any of its Subsidiaries has been a member of an affiliated group filing a consolidated U.S. federal income Tax Return (other than a group the common parent of which is the Company). Neither the Company nor any of its Subsidiaries has any material Liability for the Taxes of any Person (other than the Company or its Subsidiaries)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of its Subsidiaries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(k) Neither the Company nor any of its Subsidiaries is aware of any facts or circumstances or has taken or agreed to take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135" w:name="annextoc108148_33"/>
      <w:bookmarkEnd w:id="135"/>
      <w:r>
        <w:rPr>
          <w:rFonts w:ascii="Times New Roman" w:hAnsi="Times New Roman"/>
          <w:sz w:val="20"/>
        </w:rPr>
        <w:t xml:space="preserve">Section 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made available to Parent a list (on an anonymized basis) setting forth, for each Company Associate who is an employee of the Company or any of its Subsidiaries, whether full- or part-time, such employee’s annual salary (or if hourly, hourly rate), most recent annual bonus received, and current annual bonus opportunity. No Company Key Employee has indicated to the Company, or any of its Subsidiaries,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the Company’s and each of its Subsidiaries’ employees is terminable by the Company and/or its applicable Subsidiary at will. The Company has made available to Parent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Subsidiaries is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3.17(d)</w:t>
      </w:r>
      <w:r>
        <w:rPr>
          <w:rFonts w:ascii="Times New Roman" w:hAnsi="Times New Roman"/>
          <w:sz w:val="20"/>
        </w:rPr>
        <w:t xml:space="preserve"> of the Company Disclosure Letter lists all material Company Employee Plans (other than employment arrangements which are terminable “at will” without any contractual obligation on the part of the Company or any of its Subsidiaries to make any severance, termination, change in control, retention or similar payment and that are substantively identical to the employment arrangements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has been established, maintained and operated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Neither the Company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Company Employee Plan provides for, and neither the Company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Company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Company Employee Plan that constitutes in any part a “nonqualified deferred compensation plan” (as such term is defined under Section 409A(d)(1) of the Code and the guidance thereunder) (each, a “</w:t>
      </w:r>
      <w:r>
        <w:rPr>
          <w:rFonts w:ascii="Times New Roman" w:hAnsi="Times New Roman"/>
          <w:b/>
          <w:sz w:val="20"/>
        </w:rPr>
        <w:t>Company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(k) The Company and each of its Subsidiaries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hAnsi="Times New Roman"/>
          <w:b/>
          <w:sz w:val="20"/>
        </w:rPr>
        <w:t>WARN Act</w:t>
      </w:r>
      <w:r>
        <w:rPr>
          <w:rFonts w:ascii="Times New Roman" w:hAnsi="Times New Roman"/>
          <w:sz w:val="20"/>
        </w:rPr>
        <w:t>”), labor practices or disputes, restrictive covenants, employment agreements, workers’ compensation and long-term disability policies, leaves of absence and worker privacy (collectively, “</w:t>
      </w:r>
      <w:r>
        <w:rPr>
          <w:rFonts w:ascii="Times New Roman" w:hAnsi="Times New Roman"/>
          <w:b/>
          <w:sz w:val="20"/>
        </w:rPr>
        <w:t>Employment-Related Laws</w:t>
      </w:r>
      <w:r>
        <w:rPr>
          <w:rFonts w:ascii="Times New Roman" w:hAnsi="Times New Roman"/>
          <w:sz w:val="20"/>
        </w:rPr>
        <w:t xml:space="preserve">”), and in each case, with respect to employees of the Company and any of its Subsidiaries: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of its Subsidiaries or any trustee of the Company or any of its Subsidiaries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any trustee or any trustee of any Subsidiary of the Company under any workers’ compensation policy or long-term disability policy. The Company is not a party to a conciliation agreement, consent decree or other agreement or Order with any federal, state or local agency or Governmental Authority with respect to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issued any notification of a plant closing or mass layoff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WARN Act (nor has the Company or any of its Subsidiaries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any of its Subsidiaries is, nor has the Company nor any of its Subsidiaries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or any of its Subsidiaries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the Company or any of its Subsidiaries is a party or by which it is bound to compensate any of its employees or other service providers for any income or excise taxes paid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Neither the Company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or any of its Subsidiaries. </w:t>
      </w:r>
    </w:p>
    <w:p>
      <w:pPr>
        <w:pStyle w:val="TextBody"/>
        <w:bidi w:val="0"/>
        <w:spacing w:before="240" w:after="0"/>
        <w:jc w:val="left"/>
        <w:rPr>
          <w:rFonts w:ascii="Times New Roman" w:hAnsi="Times New Roman"/>
          <w:sz w:val="20"/>
        </w:rPr>
      </w:pPr>
      <w:bookmarkStart w:id="136" w:name="annextoc108148_34"/>
      <w:bookmarkEnd w:id="136"/>
      <w:r>
        <w:rPr>
          <w:rFonts w:ascii="Times New Roman" w:hAnsi="Times New Roman"/>
          <w:sz w:val="20"/>
        </w:rPr>
        <w:t xml:space="preserve">Section 3.18 </w:t>
      </w:r>
      <w:r>
        <w:rPr>
          <w:rFonts w:ascii="Times New Roman" w:hAnsi="Times New Roman"/>
          <w:sz w:val="20"/>
          <w:u w:val="single"/>
        </w:rPr>
        <w:t>Environmental Matters</w:t>
      </w:r>
      <w:r>
        <w:rPr>
          <w:rFonts w:ascii="Times New Roman" w:hAnsi="Times New Roman"/>
          <w:sz w:val="20"/>
        </w:rPr>
        <w:t xml:space="preserve">. Since the date of its incorporation,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Since the date of its incorporation,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 </w:t>
      </w:r>
    </w:p>
    <w:p>
      <w:pPr>
        <w:pStyle w:val="TextBody"/>
        <w:bidi w:val="0"/>
        <w:spacing w:before="240" w:after="0"/>
        <w:jc w:val="left"/>
        <w:rPr>
          <w:rFonts w:ascii="Times New Roman" w:hAnsi="Times New Roman"/>
          <w:sz w:val="20"/>
        </w:rPr>
      </w:pPr>
      <w:bookmarkStart w:id="137" w:name="annextoc108148_35"/>
      <w:bookmarkEnd w:id="137"/>
      <w:r>
        <w:rPr>
          <w:rFonts w:ascii="Times New Roman" w:hAnsi="Times New Roman"/>
          <w:sz w:val="20"/>
        </w:rPr>
        <w:t xml:space="preserve">Section 3.19 </w:t>
      </w:r>
      <w:r>
        <w:rPr>
          <w:rFonts w:ascii="Times New Roman" w:hAnsi="Times New Roman"/>
          <w:sz w:val="20"/>
          <w:u w:val="single"/>
        </w:rPr>
        <w:t>Insurance</w:t>
      </w:r>
      <w:r>
        <w:rPr>
          <w:rFonts w:ascii="Times New Roman" w:hAnsi="Times New Roman"/>
          <w:sz w:val="20"/>
        </w:rPr>
        <w:t xml:space="preserve">.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138" w:name="annextoc108148_36"/>
      <w:bookmarkEnd w:id="138"/>
      <w:r>
        <w:rPr>
          <w:rFonts w:ascii="Times New Roman" w:hAnsi="Times New Roman"/>
          <w:sz w:val="20"/>
        </w:rPr>
        <w:t xml:space="preserve">Section 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139" w:name="annextoc108148_37"/>
      <w:bookmarkEnd w:id="139"/>
      <w:r>
        <w:rPr>
          <w:rFonts w:ascii="Times New Roman" w:hAnsi="Times New Roman"/>
          <w:sz w:val="20"/>
        </w:rPr>
        <w:t xml:space="preserve">Section 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140" w:name="annextoc108148_38"/>
      <w:bookmarkEnd w:id="140"/>
      <w:r>
        <w:rPr>
          <w:rFonts w:ascii="Times New Roman" w:hAnsi="Times New Roman"/>
          <w:sz w:val="20"/>
        </w:rPr>
        <w:t xml:space="preserve">Section 3.22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April 2, 2026, each of Company and its Subsidiaries have complied with: (i) applicable Privacy Laws; (ii) Company’s and its Subsidiaries’ published and posted policies relating to Company and its Subsidiaries’ processing of Personal Information, as applicable to each of Company and any of its Subsidiaries; and (iii) applicable terms of any Company Contracts relating to privacy, security, collection or use of Personal Information (collectively, </w:t>
      </w:r>
      <w:r>
        <w:rPr>
          <w:rFonts w:ascii="Times New Roman" w:hAnsi="Times New Roman"/>
          <w:sz w:val="20"/>
          <w:u w:val="single"/>
        </w:rPr>
        <w:t>(i) – (iii)</w:t>
      </w:r>
      <w:r>
        <w:rPr>
          <w:rFonts w:ascii="Times New Roman" w:hAnsi="Times New Roman"/>
          <w:sz w:val="20"/>
        </w:rPr>
        <w:t>,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Data Protection Requirements</w:t>
      </w:r>
      <w:r>
        <w:rPr>
          <w:rFonts w:ascii="Times New Roman" w:hAnsi="Times New Roman"/>
          <w:sz w:val="20"/>
        </w:rPr>
        <w:t xml:space="preserve">”), except for such noncompliance as has not had, and would not reasonably be expected to have, individually or in the aggregate, a Company Material Adverse Effect. To the Knowledge of Company, since April 2, 2026, no claims have been asserted or threatened in writing against Company or any Subsidiary by any Person alleging a material violation of the Company Data Protection Requirements. To the Knowledge of Company, since April 2, 2026 (and from January 1, 2024 through April 1, 2026, to the Company’s Knowledge), there have been no personal data breaches compromising Personal Information in the custody or control of Company or its Subsidiaries or any service provider acting on behalf of Company or its Subsidiaries,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information technology assets and equipment of Company and its Subsidiaries (collectively, “</w:t>
      </w:r>
      <w:r>
        <w:rPr>
          <w:rFonts w:ascii="Times New Roman" w:hAnsi="Times New Roman"/>
          <w:b/>
          <w:sz w:val="20"/>
        </w:rPr>
        <w:t>Company IT Systems</w:t>
      </w:r>
      <w:r>
        <w:rPr>
          <w:rFonts w:ascii="Times New Roman" w:hAnsi="Times New Roman"/>
          <w:sz w:val="20"/>
        </w:rPr>
        <w:t xml:space="preserve">”) are adequate for, and operate and perform in all material respects as required in connection with the operation of the business of Company and its Subsidiaries as currently conducted, and to the Knowledge of Company, free and clear of all material bugs, errors, defects, Trojan horses, time bombs, malware and other corruptants. Company and its Subsidiaries have implemented and maintain commercially reasonable physical, technical and administrative safeguards to protect Personal Information processed by the Company and its Subsidiaries, any other material confidential information and the integrity and security of Company IT Systems used in connection with their businesses, and since April 2, 2026, there have been no breaches, violations, outages or unauthorized uses of or accesses to same, except for those that have been remedied without material cost or Liability or the duty to notify any other Person. </w:t>
      </w:r>
    </w:p>
    <w:p>
      <w:pPr>
        <w:pStyle w:val="TextBody"/>
        <w:bidi w:val="0"/>
        <w:spacing w:before="240" w:after="0"/>
        <w:jc w:val="left"/>
        <w:rPr>
          <w:rFonts w:ascii="Times New Roman" w:hAnsi="Times New Roman"/>
          <w:sz w:val="20"/>
        </w:rPr>
      </w:pPr>
      <w:bookmarkStart w:id="141" w:name="annextoc108148_39"/>
      <w:bookmarkEnd w:id="141"/>
      <w:r>
        <w:rPr>
          <w:rFonts w:ascii="Times New Roman" w:hAnsi="Times New Roman"/>
          <w:sz w:val="20"/>
        </w:rPr>
        <w:t xml:space="preserve">Section 3.23 </w:t>
      </w:r>
      <w:r>
        <w:rPr>
          <w:rFonts w:ascii="Times New Roman" w:hAnsi="Times New Roman"/>
          <w:sz w:val="20"/>
          <w:u w:val="single"/>
        </w:rPr>
        <w:t>Certain Payments</w:t>
      </w:r>
      <w:r>
        <w:rPr>
          <w:rFonts w:ascii="Times New Roman" w:hAnsi="Times New Roman"/>
          <w:sz w:val="20"/>
        </w:rPr>
        <w:t xml:space="preserve">. Since the Company’s incorporation, neither the Company nor any of its Subsidiaries nor, to the Knowledge of the Company, any of their respective directors, executives, Representatives, agents or employees (a) has used or is using any corporate funds for any illegal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 </w:t>
      </w:r>
    </w:p>
    <w:p>
      <w:pPr>
        <w:pStyle w:val="TextBody"/>
        <w:bidi w:val="0"/>
        <w:spacing w:before="240" w:after="0"/>
        <w:jc w:val="left"/>
        <w:rPr>
          <w:rFonts w:ascii="Times New Roman" w:hAnsi="Times New Roman"/>
          <w:sz w:val="20"/>
        </w:rPr>
      </w:pPr>
      <w:bookmarkStart w:id="142" w:name="annextoc108148_40"/>
      <w:bookmarkEnd w:id="142"/>
      <w:r>
        <w:rPr>
          <w:rFonts w:ascii="Times New Roman" w:hAnsi="Times New Roman"/>
          <w:sz w:val="20"/>
        </w:rPr>
        <w:t xml:space="preserve">Section 3.24 </w:t>
      </w:r>
      <w:r>
        <w:rPr>
          <w:rFonts w:ascii="Times New Roman" w:hAnsi="Times New Roman"/>
          <w:sz w:val="20"/>
          <w:u w:val="single"/>
        </w:rPr>
        <w:t>Trade Control Laws</w:t>
      </w:r>
      <w:r>
        <w:rPr>
          <w:rFonts w:ascii="Times New Roman" w:hAnsi="Times New Roman"/>
          <w:sz w:val="20"/>
        </w:rPr>
        <w:t>. Since the Company’s incorporation, the Company and its Subsidiaries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hAnsi="Times New Roman"/>
          <w:b/>
          <w:sz w:val="20"/>
        </w:rPr>
        <w:t>Trade Laws</w:t>
      </w:r>
      <w:r>
        <w:rPr>
          <w:rFonts w:ascii="Times New Roman" w:hAnsi="Times New Roman"/>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hAnsi="Times New Roman"/>
          <w:b/>
          <w:sz w:val="20"/>
        </w:rPr>
        <w:t>Trade Approvals</w:t>
      </w:r>
      <w:r>
        <w:rPr>
          <w:rFonts w:ascii="Times New Roman" w:hAnsi="Times New Roman"/>
          <w:sz w:val="20"/>
        </w:rPr>
        <w:t xml:space="preserve">”). There are no pending or threatened claims against the Company or its Subsidiaries,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43" w:name="annextoc108148_41"/>
      <w:bookmarkEnd w:id="143"/>
      <w:r>
        <w:rPr>
          <w:rFonts w:ascii="Times New Roman" w:hAnsi="Times New Roman"/>
          <w:sz w:val="20"/>
        </w:rPr>
        <w:t xml:space="preserve">Section 3.25 </w:t>
      </w:r>
      <w:r>
        <w:rPr>
          <w:rFonts w:ascii="Times New Roman" w:hAnsi="Times New Roman"/>
          <w:sz w:val="20"/>
          <w:u w:val="single"/>
        </w:rPr>
        <w:t>Ownership of Parent Capital Stock</w:t>
      </w:r>
      <w:r>
        <w:rPr>
          <w:rFonts w:ascii="Times New Roman" w:hAnsi="Times New Roman"/>
          <w:sz w:val="20"/>
        </w:rPr>
        <w:t xml:space="preserve">. None of the Company, their directors or, to the Knowledge of the Company, any of its officers, Affiliates, or employees of the Company or any of its controlled Affiliates (a) has owned any shares of Parent’s capital stock; or (b) has been an “interested stockholder” (as defined in Section 203 of the DGCL) of Parent, in each case during the three years prior to the date hereof. </w:t>
      </w:r>
    </w:p>
    <w:p>
      <w:pPr>
        <w:pStyle w:val="TextBody"/>
        <w:bidi w:val="0"/>
        <w:spacing w:before="240" w:after="0"/>
        <w:jc w:val="left"/>
        <w:rPr>
          <w:rFonts w:ascii="Times New Roman" w:hAnsi="Times New Roman"/>
          <w:sz w:val="20"/>
        </w:rPr>
      </w:pPr>
      <w:bookmarkStart w:id="144" w:name="annextoc108148_42"/>
      <w:bookmarkEnd w:id="144"/>
      <w:r>
        <w:rPr>
          <w:rFonts w:ascii="Times New Roman" w:hAnsi="Times New Roman"/>
          <w:sz w:val="20"/>
        </w:rPr>
        <w:t xml:space="preserve">Section 3.26 </w:t>
      </w:r>
      <w:r>
        <w:rPr>
          <w:rFonts w:ascii="Times New Roman" w:hAnsi="Times New Roman"/>
          <w:sz w:val="20"/>
          <w:u w:val="single"/>
        </w:rPr>
        <w:t>Company Pre-Closing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delivered to Parent true, correct and complete copies of all definitive agreements related to the Company Pre-Closing Financing, including the Subscription Agreement, pursuant to which the purchasers party thereto have agreed, subject to the terms and conditions set forth therein, to purchase the shares of Company Capital Stock set forth therein in connection with the Contemplated Transactions. The Subscription Agreement has not been amended or modified prior to the date of this Agreement and, as of the date hereof, no such amendment or modification is contemplated, and the respective obligations and commitments contained in the Subscription Agreement have not been withdrawn or rescinded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other party thereto. There are no conditions precedent or other contingencies related to the funding of the full amount of the Company Pre-Closing Financing,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other party under the Subscription Agreement, and the Company has no reason to believe that any of the conditions to the Company Pre-Closing Financing will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Pre-Closing Financing has been structured and is being conducted in compliance with applicable exemptions from registration under the Securities Act, including Rule 506(b) or Rule 506(c) of Regulation D promulgated thereunder, and no “general solicitation” (within the meaning of Rule 502(c) of Regulation D) has occurred in connection with the Company Pre-Closing Financing. The structure of the Company Pre-Closing Financing does not create any integration risk (within the meaning of SEC Release No. 33-4552 or any successor guidance) with the issuance of shares of Parent Common Stock registered on the Registration Statement that would reasonably be expected to impair, delay or prevent the Registration Statement from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5" w:name="annextoc108148_43"/>
      <w:bookmarkEnd w:id="145"/>
      <w:r>
        <w:rPr>
          <w:rFonts w:ascii="Times New Roman" w:hAnsi="Times New Roman"/>
          <w:sz w:val="20"/>
        </w:rPr>
        <w:t xml:space="preserve">Section 3.27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hAnsi="Times New Roman"/>
          <w:sz w:val="20"/>
          <w:u w:val="single"/>
        </w:rPr>
        <w:t>Section 4</w:t>
      </w:r>
      <w:r>
        <w:rPr>
          <w:rFonts w:ascii="Times New Roman" w:hAnsi="Times New Roman"/>
          <w:sz w:val="20"/>
        </w:rPr>
        <w:t xml:space="preserve"> (in each case as qualified and limited by the Parent Disclosure Letter)) none of the Company, or any of its Representatives or stockholders, has relied on any such information (including the accuracy or completeness thereof). </w:t>
      </w:r>
    </w:p>
    <w:p>
      <w:pPr>
        <w:pStyle w:val="TextBody"/>
        <w:bidi w:val="0"/>
        <w:spacing w:before="480" w:after="0"/>
        <w:jc w:val="center"/>
        <w:rPr>
          <w:rFonts w:ascii="Times New Roman" w:hAnsi="Times New Roman"/>
          <w:sz w:val="20"/>
        </w:rPr>
      </w:pPr>
      <w:bookmarkStart w:id="146" w:name="annextoc108148_44"/>
      <w:bookmarkEnd w:id="146"/>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document delivered by Parent to the Company (the “</w:t>
      </w:r>
      <w:r>
        <w:rPr>
          <w:rFonts w:ascii="Times New Roman" w:hAnsi="Times New Roman"/>
          <w:b/>
          <w:sz w:val="20"/>
        </w:rPr>
        <w:t>Parent Disclosure Letter</w:t>
      </w:r>
      <w:r>
        <w:rPr>
          <w:rFonts w:ascii="Times New Roman" w:hAnsi="Times New Roman"/>
          <w:sz w:val="20"/>
        </w:rPr>
        <w:t xml:space="preserve">”)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and Merger Sub represent and warrant to the Company as follows: </w:t>
      </w:r>
    </w:p>
    <w:p>
      <w:pPr>
        <w:pStyle w:val="TextBody"/>
        <w:bidi w:val="0"/>
        <w:spacing w:before="240" w:after="0"/>
        <w:jc w:val="left"/>
        <w:rPr>
          <w:rFonts w:ascii="Times New Roman" w:hAnsi="Times New Roman"/>
          <w:sz w:val="20"/>
        </w:rPr>
      </w:pPr>
      <w:bookmarkStart w:id="147" w:name="annextoc108148_45"/>
      <w:bookmarkEnd w:id="147"/>
      <w:r>
        <w:rPr>
          <w:rFonts w:ascii="Times New Roman" w:hAnsi="Times New Roman"/>
          <w:sz w:val="20"/>
        </w:rPr>
        <w:t xml:space="preserve">Section 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is a corporation duly incorporated or formed, as applicable, validly existing and in good standing under the Laws of the jurisdiction of its incorporation or formation, as applicable,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Parent has no Subsidiaries other than Merger Sub and except as set forth on </w:t>
      </w:r>
      <w:r>
        <w:rPr>
          <w:rFonts w:ascii="Times New Roman" w:hAnsi="Times New Roman"/>
          <w:sz w:val="20"/>
          <w:u w:val="single"/>
        </w:rPr>
        <w:t>Section 4.1(c)</w:t>
      </w:r>
      <w:r>
        <w:rPr>
          <w:rFonts w:ascii="Times New Roman" w:hAnsi="Times New Roman"/>
          <w:sz w:val="20"/>
        </w:rPr>
        <w:t xml:space="preserve"> of the Parent Disclosure Letter, Parent does not own any capital stock of, or any equity ownership or profit sharing interest of any nature in, or control directly or indirectly, any other Entity other than Merger Sub. Except as set forth on </w:t>
      </w:r>
      <w:r>
        <w:rPr>
          <w:rFonts w:ascii="Times New Roman" w:hAnsi="Times New Roman"/>
          <w:sz w:val="20"/>
          <w:u w:val="single"/>
        </w:rPr>
        <w:t>Section 4.1(c)</w:t>
      </w:r>
      <w:r>
        <w:rPr>
          <w:rFonts w:ascii="Times New Roman" w:hAnsi="Times New Roman"/>
          <w:sz w:val="20"/>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8" w:name="annextoc108148_46"/>
      <w:bookmarkEnd w:id="148"/>
      <w:r>
        <w:rPr>
          <w:rFonts w:ascii="Times New Roman" w:hAnsi="Times New Roman"/>
          <w:sz w:val="20"/>
        </w:rPr>
        <w:t xml:space="preserve">Section 4.2 </w:t>
      </w:r>
      <w:r>
        <w:rPr>
          <w:rFonts w:ascii="Times New Roman" w:hAnsi="Times New Roman"/>
          <w:sz w:val="20"/>
          <w:u w:val="single"/>
        </w:rPr>
        <w:t>Organizational Documents</w:t>
      </w:r>
      <w:r>
        <w:rPr>
          <w:rFonts w:ascii="Times New Roman" w:hAnsi="Times New Roman"/>
          <w:sz w:val="20"/>
        </w:rPr>
        <w:t xml:space="preserve">. Parent has delivered to the Company accurate and complete copies of Parent’s Organizational Documents. Parent is not in breach or violation of its Organizational Documents in any material respect. </w:t>
      </w:r>
    </w:p>
    <w:p>
      <w:pPr>
        <w:pStyle w:val="TextBody"/>
        <w:bidi w:val="0"/>
        <w:spacing w:before="240" w:after="0"/>
        <w:jc w:val="left"/>
        <w:rPr>
          <w:rFonts w:ascii="Times New Roman" w:hAnsi="Times New Roman"/>
          <w:sz w:val="20"/>
        </w:rPr>
      </w:pPr>
      <w:bookmarkStart w:id="149" w:name="annextoc108148_47"/>
      <w:bookmarkEnd w:id="149"/>
      <w:r>
        <w:rPr>
          <w:rFonts w:ascii="Times New Roman" w:hAnsi="Times New Roman"/>
          <w:sz w:val="20"/>
        </w:rPr>
        <w:t xml:space="preserve">Section 4.3 </w:t>
      </w:r>
      <w:r>
        <w:rPr>
          <w:rFonts w:ascii="Times New Roman" w:hAnsi="Times New Roman"/>
          <w:sz w:val="20"/>
          <w:u w:val="single"/>
        </w:rPr>
        <w:t>Authority; Binding Nature of Agreement</w:t>
      </w:r>
      <w:r>
        <w:rPr>
          <w:rFonts w:ascii="Times New Roman" w:hAnsi="Times New Roman"/>
          <w:sz w:val="20"/>
        </w:rPr>
        <w:t xml:space="preserve">. Each of Parent and Merger Sub has all necessary corporate power and authority to enter into and to perform its obligations under this Agreement and to consummate the Contemplated Transactions, subject to obtaining the Required Parent Stockholder Vote. The Parent Board has: (a) determined that the Contemplated Transactions are fair to, advisable and in the best interests of Parent and its stockholders, (b)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amendment to the certificate of incorporation of the Parent to (i) approve the Parent Charter Amendment, (ii) effect the Nasdaq Reverse Split, and (iii) make such other changes as are mutually agreeable to Parent and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Parent and Merger Sub and, assuming the due authorization, execution and delivery by the Company and the accuracy of the representation in </w:t>
      </w:r>
      <w:r>
        <w:rPr>
          <w:rFonts w:ascii="Times New Roman" w:hAnsi="Times New Roman"/>
          <w:sz w:val="20"/>
          <w:u w:val="single"/>
        </w:rPr>
        <w:t>Section 3.24</w:t>
      </w:r>
      <w:r>
        <w:rPr>
          <w:rFonts w:ascii="Times New Roman" w:hAnsi="Times New Roman"/>
          <w:sz w:val="20"/>
        </w:rPr>
        <w:t xml:space="preserve">, constitutes the legal, valid and binding obligation of Parent and Merger Sub, enforceable against each of Parent and Merger Sub in accordance with its terms, subject to the Enforceability Exceptions. </w:t>
      </w:r>
    </w:p>
    <w:p>
      <w:pPr>
        <w:pStyle w:val="TextBody"/>
        <w:bidi w:val="0"/>
        <w:spacing w:before="240" w:after="0"/>
        <w:jc w:val="left"/>
        <w:rPr>
          <w:rFonts w:ascii="Times New Roman" w:hAnsi="Times New Roman"/>
          <w:sz w:val="20"/>
        </w:rPr>
      </w:pPr>
      <w:bookmarkStart w:id="150" w:name="annextoc108148_48"/>
      <w:bookmarkEnd w:id="150"/>
      <w:r>
        <w:rPr>
          <w:rFonts w:ascii="Times New Roman" w:hAnsi="Times New Roman"/>
          <w:sz w:val="20"/>
        </w:rPr>
        <w:t xml:space="preserve">Section 4.4 </w:t>
      </w:r>
      <w:r>
        <w:rPr>
          <w:rFonts w:ascii="Times New Roman" w:hAnsi="Times New Roman"/>
          <w:sz w:val="20"/>
          <w:u w:val="single"/>
        </w:rPr>
        <w:t>Vote Required</w:t>
      </w:r>
      <w:r>
        <w:rPr>
          <w:rFonts w:ascii="Times New Roman" w:hAnsi="Times New Roman"/>
          <w:sz w:val="20"/>
        </w:rPr>
        <w:t>. (i) The affirmative vote of a majority of the shares of Parent Common Stock properly cast is the only vote of the holders of any class or series of Parent’s capital stock necessary to approve (a)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(b)</w:t>
      </w:r>
      <w:r>
        <w:rPr>
          <w:rFonts w:ascii="Times New Roman" w:hAnsi="Times New Roman"/>
          <w:sz w:val="20"/>
          <w:u w:val="single"/>
        </w:rPr>
        <w:t> clause (ii)</w:t>
      </w:r>
      <w:r>
        <w:rPr>
          <w:rFonts w:ascii="Times New Roman" w:hAnsi="Times New Roman"/>
          <w:sz w:val="20"/>
        </w:rPr>
        <w:t xml:space="preserve"> (</w:t>
      </w:r>
      <w:r>
        <w:rPr>
          <w:rFonts w:ascii="Times New Roman" w:hAnsi="Times New Roman"/>
          <w:i/>
          <w:sz w:val="20"/>
        </w:rPr>
        <w:t>Nasdaq Reverse Split</w:t>
      </w:r>
      <w:r>
        <w:rPr>
          <w:rFonts w:ascii="Times New Roman" w:hAnsi="Times New Roman"/>
          <w:sz w:val="20"/>
        </w:rPr>
        <w:t xml:space="preserve">) of the definition of “Parent Charter Amendment” and (ii) the affirmative vote of a majority of the shares of Parent Common Stock outstanding and entitled to vote thereon is the only vote of the holders of any class or series of Parent’s capital stock necessary to approve </w:t>
      </w:r>
      <w:r>
        <w:rPr>
          <w:rFonts w:ascii="Times New Roman" w:hAnsi="Times New Roman"/>
          <w:sz w:val="20"/>
          <w:u w:val="single"/>
        </w:rPr>
        <w:t>clause (iii)</w:t>
      </w:r>
      <w:r>
        <w:rPr>
          <w:rFonts w:ascii="Times New Roman" w:hAnsi="Times New Roman"/>
          <w:sz w:val="20"/>
        </w:rPr>
        <w:t xml:space="preserve"> (</w:t>
      </w:r>
      <w:r>
        <w:rPr>
          <w:rFonts w:ascii="Times New Roman" w:hAnsi="Times New Roman"/>
          <w:i/>
          <w:sz w:val="20"/>
        </w:rPr>
        <w:t>Increase in Authorized Shares</w:t>
      </w:r>
      <w:r>
        <w:rPr>
          <w:rFonts w:ascii="Times New Roman" w:hAnsi="Times New Roman"/>
          <w:sz w:val="20"/>
        </w:rPr>
        <w:t>) of the definition of “Parent Charter Amendment” (collectively, the “</w:t>
      </w:r>
      <w:r>
        <w:rPr>
          <w:rFonts w:ascii="Times New Roman" w:hAnsi="Times New Roman"/>
          <w:b/>
          <w:sz w:val="20"/>
        </w:rPr>
        <w:t>Required Parent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1" w:name="annextoc108148_49"/>
      <w:bookmarkEnd w:id="151"/>
      <w:r>
        <w:rPr>
          <w:rFonts w:ascii="Times New Roman" w:hAnsi="Times New Roman"/>
          <w:sz w:val="20"/>
        </w:rPr>
        <w:t xml:space="preserve">Section 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Parent Stockholder Vote and the filing of the Certificate of Merger required by the DGCL, and assuming the accuracy of the representation in </w:t>
      </w:r>
      <w:r>
        <w:rPr>
          <w:rFonts w:ascii="Times New Roman" w:hAnsi="Times New Roman"/>
          <w:sz w:val="20"/>
          <w:u w:val="single"/>
        </w:rPr>
        <w:t>Section 3.24</w:t>
      </w:r>
      <w:r>
        <w:rPr>
          <w:rFonts w:ascii="Times New Roman" w:hAnsi="Times New Roman"/>
          <w:sz w:val="20"/>
        </w:rPr>
        <w:t xml:space="preserve">, neither (x) the execution, delivery or performance of this Agreement by Parent or Merger Sub,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Authorization that is held by Parent or its Subsidiaries or that otherwise relates to the business of Parent, or any of the assets owned, leased or used by Parent;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Parent or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4.5(a)</w:t>
      </w:r>
      <w:r>
        <w:rPr>
          <w:rFonts w:ascii="Times New Roman" w:hAnsi="Times New Roman"/>
          <w:sz w:val="20"/>
        </w:rPr>
        <w:t xml:space="preserve"> of the Parent Disclosure Letter under any Parent Contract, (ii) the Required Parent Stockholder Vote, (iii) the filing of the Certificate of Merger with the Secretary of State of the State of Delaware pursuant to the DGCL, (iv) such consents, waivers, approvals, orders, authorizations, registrations, declarations and filings as may be required under applicable federal and state securities laws, and (v) the filing of the pre-merger notification report under the HSR Act, and assuming the accuracy of the representation in </w:t>
      </w:r>
      <w:r>
        <w:rPr>
          <w:rFonts w:ascii="Times New Roman" w:hAnsi="Times New Roman"/>
          <w:sz w:val="20"/>
          <w:u w:val="single"/>
        </w:rPr>
        <w:t>Section 3.24</w:t>
      </w:r>
      <w:r>
        <w:rPr>
          <w:rFonts w:ascii="Times New Roman" w:hAnsi="Times New Roman"/>
          <w:sz w:val="20"/>
        </w:rPr>
        <w:t xml:space="preserve">,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Assuming the accuracy of the representation in </w:t>
      </w:r>
      <w:r>
        <w:rPr>
          <w:rFonts w:ascii="Times New Roman" w:hAnsi="Times New Roman"/>
          <w:sz w:val="20"/>
          <w:u w:val="single"/>
        </w:rPr>
        <w:t>Section 3.24</w:t>
      </w:r>
      <w:r>
        <w:rPr>
          <w:rFonts w:ascii="Times New Roman" w:hAnsi="Times New Roman"/>
          <w:sz w:val="20"/>
        </w:rPr>
        <w:t xml:space="preserve">,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152" w:name="annextoc108148_50"/>
      <w:bookmarkEnd w:id="152"/>
      <w:r>
        <w:rPr>
          <w:rFonts w:ascii="Times New Roman" w:hAnsi="Times New Roman"/>
          <w:sz w:val="20"/>
        </w:rPr>
        <w:t xml:space="preserve">Section 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(i) 700,000,000 shares of Parent Common Stock of which 22,474,777 shares have been issued and are outstanding as of June 15, 2026 (the “</w:t>
      </w:r>
      <w:r>
        <w:rPr>
          <w:rFonts w:ascii="Times New Roman" w:hAnsi="Times New Roman"/>
          <w:b/>
          <w:sz w:val="20"/>
        </w:rPr>
        <w:t>Capitalization Date</w:t>
      </w:r>
      <w:r>
        <w:rPr>
          <w:rFonts w:ascii="Times New Roman" w:hAnsi="Times New Roman"/>
          <w:sz w:val="20"/>
        </w:rPr>
        <w:t xml:space="preserve">”) and (ii) 70,000,000 shares of Parent Preferred Stock, par value $0.0001 per share, of which none have been designated and none are issued and outstanding as of the Capitalization Date. Parent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hAnsi="Times New Roman"/>
          <w:sz w:val="20"/>
          <w:u w:val="single"/>
        </w:rPr>
        <w:t>Section 4.6(b)</w:t>
      </w:r>
      <w:r>
        <w:rPr>
          <w:rFonts w:ascii="Times New Roman" w:hAnsi="Times New Roman"/>
          <w:sz w:val="20"/>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(c) Except for Parent’s 2024 Incentive Award Plan, Parent’s 2018 Equity Incentive Plan and the Parent ESPP (each as amended from time to time, collectively, the “</w:t>
      </w:r>
      <w:r>
        <w:rPr>
          <w:rFonts w:ascii="Times New Roman" w:hAnsi="Times New Roman"/>
          <w:b/>
          <w:sz w:val="20"/>
        </w:rPr>
        <w:t>Parent Stock Plans</w:t>
      </w:r>
      <w:r>
        <w:rPr>
          <w:rFonts w:ascii="Times New Roman" w:hAnsi="Times New Roman"/>
          <w:sz w:val="20"/>
        </w:rPr>
        <w:t xml:space="preserve">”), and except as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4.6(c)</w:t>
      </w:r>
      <w:r>
        <w:rPr>
          <w:rFonts w:ascii="Times New Roman" w:hAnsi="Times New Roman"/>
          <w:sz w:val="20"/>
        </w:rPr>
        <w:t xml:space="preserve"> of the Parent Disclosure Letter, Parent does not have any stock option plan or any other plan, program, agreement or arrangement providing for any equity-based compensation for any Person. As of the Capitalization Date, Parent has reserved 8,134,149 shares of Parent Common Stock for issuance to officers, directors, employees and consultants of Parent pursuant to the Parent Stock Plans. As of the Capitalization Date, except for the outstanding Parent Options, there are no other equity awards in issuance and 3,199,292 shares of Parent Common Stock remain available for future issuance pursuant to the Parent Stock Plans. Section 4.6(c) of the Parent Disclosure Letter sets forth the following information with respect to each Parent Option outstanding as of the Capitalization Date, as applicable: (i) the name of the holder, (ii) the number of shares of Parent Common Stock subject to such Parent Option as of the Capitalization Date, (iii) the exercise price of such Parent Option, (iv) the date on which such Parent Option was granted, (v) the applicable vesting schedule, including any acceleration provisions, (vi) whether such Parent Option is intended to be an “incentive stock option” (as defined in the Code) or a nonqualified stock option, and (vii) the plan pursuant to which such Parent Option was granted. </w:t>
      </w:r>
    </w:p>
    <w:p>
      <w:pPr>
        <w:pStyle w:val="TextBody"/>
        <w:bidi w:val="0"/>
        <w:spacing w:before="240" w:after="0"/>
        <w:jc w:val="left"/>
        <w:rPr>
          <w:rFonts w:ascii="Times New Roman" w:hAnsi="Times New Roman"/>
          <w:sz w:val="20"/>
        </w:rPr>
      </w:pPr>
      <w:r>
        <w:rPr>
          <w:rFonts w:ascii="Times New Roman" w:hAnsi="Times New Roman"/>
          <w:sz w:val="20"/>
        </w:rPr>
        <w:t xml:space="preserve">(d) Except for the outstanding Parent Options, or as set forth on </w:t>
      </w:r>
      <w:r>
        <w:rPr>
          <w:rFonts w:ascii="Times New Roman" w:hAnsi="Times New Roman"/>
          <w:sz w:val="20"/>
          <w:u w:val="single"/>
        </w:rPr>
        <w:t>Section 4.6(d)</w:t>
      </w:r>
      <w:r>
        <w:rPr>
          <w:rFonts w:ascii="Times New Roman" w:hAnsi="Times New Roman"/>
          <w:sz w:val="20"/>
        </w:rPr>
        <w:t xml:space="preserve"> of the Parent Disclosure Letter, there is no: (i) outstanding subscription, option, call, warrant or right (whether or not currently exercisable) to acquire any shares of the capital stock or other securities of Parent, (ii) outstanding security, instrument or obligation that is or may become convertible into or exchangeable for any shares of the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There are no outstanding or authorized stock appreciation, phantom stock, profit participation or other similar rights with respect to Parent.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Parent Common Stock, Parent Options, and other securities of Parent have been issued and granted in compliance in all material respects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(f) With respect to Parent Options granted pursuant to the Parent Stock Plans, (i) each grant of a Parent Option was duly authorized no later than the date on which the grant of such Parent Option was by its terms to be effective (the “</w:t>
      </w:r>
      <w:r>
        <w:rPr>
          <w:rFonts w:ascii="Times New Roman" w:hAnsi="Times New Roman"/>
          <w:b/>
          <w:sz w:val="20"/>
        </w:rPr>
        <w:t>Parent Grant Date</w:t>
      </w:r>
      <w:r>
        <w:rPr>
          <w:rFonts w:ascii="Times New Roman" w:hAnsi="Times New Roman"/>
          <w:sz w:val="20"/>
        </w:rPr>
        <w:t xml:space="preserv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 </w:t>
      </w:r>
    </w:p>
    <w:p>
      <w:pPr>
        <w:pStyle w:val="TextBody"/>
        <w:bidi w:val="0"/>
        <w:spacing w:before="240" w:after="0"/>
        <w:jc w:val="left"/>
        <w:rPr>
          <w:rFonts w:ascii="Times New Roman" w:hAnsi="Times New Roman"/>
          <w:sz w:val="20"/>
        </w:rPr>
      </w:pPr>
      <w:bookmarkStart w:id="153" w:name="annextoc108148_51"/>
      <w:bookmarkEnd w:id="153"/>
      <w:r>
        <w:rPr>
          <w:rFonts w:ascii="Times New Roman" w:hAnsi="Times New Roman"/>
          <w:sz w:val="20"/>
        </w:rPr>
        <w:t xml:space="preserve">Section 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has filed or furnished, as applicable, on a timely basis all forms, statements, certifications, reports and documents required to be filed or furnished by it with the SEC under the Exchange Act or the Securities Act since January 1, 2024 (the “</w:t>
      </w:r>
      <w:r>
        <w:rPr>
          <w:rFonts w:ascii="Times New Roman" w:hAnsi="Times New Roman"/>
          <w:b/>
          <w:sz w:val="20"/>
        </w:rPr>
        <w:t>Parent SEC Documents</w:t>
      </w:r>
      <w:r>
        <w:rPr>
          <w:rFonts w:ascii="Times New Roman" w:hAnsi="Times New Roman"/>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hAnsi="Times New Roman"/>
          <w:b/>
          <w:sz w:val="20"/>
        </w:rPr>
        <w:t>Certifications</w:t>
      </w:r>
      <w:r>
        <w:rPr>
          <w:rFonts w:ascii="Times New Roman" w:hAnsi="Times New Roman"/>
          <w:sz w:val="20"/>
        </w:rPr>
        <w:t xml:space="preserve">”) are accurate and complete and comply as to form and content with all applicable Laws. As used in this </w:t>
      </w:r>
      <w:r>
        <w:rPr>
          <w:rFonts w:ascii="Times New Roman" w:hAnsi="Times New Roman"/>
          <w:sz w:val="20"/>
          <w:u w:val="single"/>
        </w:rPr>
        <w:t>Section 4.7</w:t>
      </w:r>
      <w:r>
        <w:rPr>
          <w:rFonts w:ascii="Times New Roman" w:hAnsi="Times New Roman"/>
          <w:sz w:val="20"/>
        </w:rPr>
        <w:t xml:space="preserve">, the term “file” and variations thereof shall be broadly construed to include any manner in which a document or information is furnished, supplied or otherwise made available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4.7(d)</w:t>
      </w:r>
      <w:r>
        <w:rPr>
          <w:rFonts w:ascii="Times New Roman" w:hAnsi="Times New Roman"/>
          <w:sz w:val="20"/>
        </w:rPr>
        <w:t xml:space="preserve"> of the Parent Disclosure Letter,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 </w:t>
      </w:r>
    </w:p>
    <w:p>
      <w:pPr>
        <w:pStyle w:val="TextBody"/>
        <w:bidi w:val="0"/>
        <w:spacing w:before="240" w:after="0"/>
        <w:jc w:val="left"/>
        <w:rPr>
          <w:rFonts w:ascii="Times New Roman" w:hAnsi="Times New Roman"/>
          <w:sz w:val="20"/>
        </w:rPr>
      </w:pPr>
      <w:r>
        <w:rPr>
          <w:rFonts w:ascii="Times New Roman" w:hAnsi="Times New Roman"/>
          <w:sz w:val="20"/>
        </w:rPr>
        <w:t xml:space="preserve">(e)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(h)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bookmarkStart w:id="154" w:name="annextoc108148_52"/>
      <w:bookmarkEnd w:id="154"/>
      <w:r>
        <w:rPr>
          <w:rFonts w:ascii="Times New Roman" w:hAnsi="Times New Roman"/>
          <w:sz w:val="20"/>
        </w:rPr>
        <w:t xml:space="preserve">Section 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Parent Disclosure Letter, between March 31, 2026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155" w:name="annextoc108148_53"/>
      <w:bookmarkEnd w:id="155"/>
      <w:r>
        <w:rPr>
          <w:rFonts w:ascii="Times New Roman" w:hAnsi="Times New Roman"/>
          <w:sz w:val="20"/>
        </w:rPr>
        <w:t xml:space="preserve">Section 4.9 </w:t>
      </w:r>
      <w:r>
        <w:rPr>
          <w:rFonts w:ascii="Times New Roman" w:hAnsi="Times New Roman"/>
          <w:sz w:val="20"/>
          <w:u w:val="single"/>
        </w:rPr>
        <w:t>Absence of Undisclosed Liabilities</w:t>
      </w:r>
      <w:r>
        <w:rPr>
          <w:rFonts w:ascii="Times New Roman" w:hAnsi="Times New Roman"/>
          <w:sz w:val="20"/>
        </w:rPr>
        <w:t xml:space="preserve">. Since March 31, 2026, neither Parent nor any of its Subsidiaries has any Liability, in each case, of a type whether or not required to be reflected or reserved for on a balance sheet prepared in accordance with GAAP,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or any Parent Legacy Transaction, and (e) Liabilities described in </w:t>
      </w:r>
      <w:r>
        <w:rPr>
          <w:rFonts w:ascii="Times New Roman" w:hAnsi="Times New Roman"/>
          <w:sz w:val="20"/>
          <w:u w:val="single"/>
        </w:rPr>
        <w:t>Section 4.9</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56" w:name="annextoc108148_54"/>
      <w:bookmarkEnd w:id="156"/>
      <w:r>
        <w:rPr>
          <w:rFonts w:ascii="Times New Roman" w:hAnsi="Times New Roman"/>
          <w:sz w:val="20"/>
        </w:rPr>
        <w:t xml:space="preserve">Section 4.10 </w:t>
      </w:r>
      <w:r>
        <w:rPr>
          <w:rFonts w:ascii="Times New Roman" w:hAnsi="Times New Roman"/>
          <w:sz w:val="20"/>
          <w:u w:val="single"/>
        </w:rPr>
        <w:t>Title to Assets</w:t>
      </w:r>
      <w:r>
        <w:rPr>
          <w:rFonts w:ascii="Times New Roman" w:hAnsi="Times New Roman"/>
          <w:sz w:val="20"/>
        </w:rPr>
        <w:t xml:space="preserve">.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Parent Balance Sheet and (b) all other tangible assets reflected in the books and records of Parent as being owned by Parent. All of such assets are owned or, in the case of leased assets, leased by Parent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157" w:name="annextoc108148_55"/>
      <w:bookmarkEnd w:id="157"/>
      <w:r>
        <w:rPr>
          <w:rFonts w:ascii="Times New Roman" w:hAnsi="Times New Roman"/>
          <w:sz w:val="20"/>
        </w:rPr>
        <w:t xml:space="preserve">Section 4.11 </w:t>
      </w:r>
      <w:r>
        <w:rPr>
          <w:rFonts w:ascii="Times New Roman" w:hAnsi="Times New Roman"/>
          <w:sz w:val="20"/>
          <w:u w:val="single"/>
        </w:rPr>
        <w:t>Real Property; Leasehold</w:t>
      </w:r>
      <w:r>
        <w:rPr>
          <w:rFonts w:ascii="Times New Roman" w:hAnsi="Times New Roman"/>
          <w:sz w:val="20"/>
        </w:rPr>
        <w:t>.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hAnsi="Times New Roman"/>
          <w:b/>
          <w:sz w:val="20"/>
        </w:rPr>
        <w:t>Parent Real Estate Leases</w:t>
      </w:r>
      <w:r>
        <w:rPr>
          <w:rFonts w:ascii="Times New Roman" w:hAnsi="Times New Roman"/>
          <w:sz w:val="20"/>
        </w:rPr>
        <w:t xml:space="preserve">”), each of which is in full force and effect, with no existing material default thereunder by Parent or its Subsidiaries or, to Parent’s Knowledge, the other party thereto. </w:t>
      </w:r>
    </w:p>
    <w:p>
      <w:pPr>
        <w:pStyle w:val="TextBody"/>
        <w:bidi w:val="0"/>
        <w:spacing w:before="240" w:after="0"/>
        <w:jc w:val="left"/>
        <w:rPr>
          <w:rFonts w:ascii="Times New Roman" w:hAnsi="Times New Roman"/>
          <w:sz w:val="20"/>
        </w:rPr>
      </w:pPr>
      <w:bookmarkStart w:id="158" w:name="annextoc108148_56"/>
      <w:bookmarkEnd w:id="158"/>
      <w:r>
        <w:rPr>
          <w:rFonts w:ascii="Times New Roman" w:hAnsi="Times New Roman"/>
          <w:sz w:val="20"/>
        </w:rPr>
        <w:t xml:space="preserve">Section 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Parent Disclosure Letter is an accurate, true and complete listing of all Parent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4.12(b)</w:t>
      </w:r>
      <w:r>
        <w:rPr>
          <w:rFonts w:ascii="Times New Roman" w:hAnsi="Times New Roman"/>
          <w:sz w:val="20"/>
        </w:rPr>
        <w:t xml:space="preserve"> of the Parent Disclosure Letter accurately identifies (i) all Parent Contracts pursuant to which any Parent IP Rights are licensed to Parent (other than Excepted Contracts) and (ii) whether the license or licenses granted to Parent are exclusive or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(d) Parent or one of its Subsidiaries exclusively owns all right, title, and interest to and in the Parent Registered IP (other than Excepted Contracts),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Parent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Parent IP Rights in which Parent or any of its Subsidiaries has an ownership interest. </w:t>
      </w:r>
    </w:p>
    <w:p>
      <w:pPr>
        <w:pStyle w:val="TextBody"/>
        <w:bidi w:val="0"/>
        <w:spacing w:before="120" w:after="0"/>
        <w:jc w:val="left"/>
        <w:rPr>
          <w:rFonts w:ascii="Times New Roman" w:hAnsi="Times New Roman"/>
          <w:sz w:val="20"/>
        </w:rPr>
      </w:pPr>
      <w:r>
        <w:rPr>
          <w:rFonts w:ascii="Times New Roman" w:hAnsi="Times New Roman"/>
          <w:sz w:val="20"/>
        </w:rPr>
        <w:t xml:space="preserve">(v) Parent and each of its Subsidiaries has taken reasonable steps to maintain the confidentiality of and otherwise protect and enforce its rights in all proprietary information that Parent or such Subsidiary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Parent or any of its Subsidiaries has not assigned or otherwise transferred ownership of, or agreed to assign or otherwise transfer ownership of, any Parent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Parent has delivered, or made available to the Company, a complete and accurate copy of all material Parent IP Rights Agreements. With respect to each of the Parent IP Rights Agreements: (i) each such agreement is valid and binding on the Parent and in full force and effect, (ii) Parent has not received any written notice of termination or cancellation under such agreement, or received any written notice of breach or default under such agreement, which breach has not been cured or waived and (iii) Parent, and to the Knowledge of Parent, no other party to any such agreement, is not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Parent, 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Parent or its licensors is not a party to any Legal Proceeding (including, but not limited to, opposition, interference or other proceeding in any patent or other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 contesting the validity, ownership or right to use, sell, offer for sale, license or dispose of any Parent Registered IP. Parent or its licensors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 </w:t>
      </w:r>
    </w:p>
    <w:p>
      <w:pPr>
        <w:pStyle w:val="TextBody"/>
        <w:bidi w:val="0"/>
        <w:spacing w:before="240" w:after="0"/>
        <w:jc w:val="left"/>
        <w:rPr>
          <w:rFonts w:ascii="Times New Roman" w:hAnsi="Times New Roman"/>
          <w:sz w:val="20"/>
        </w:rPr>
      </w:pPr>
      <w:r>
        <w:rPr>
          <w:rFonts w:ascii="Times New Roman" w:hAnsi="Times New Roman"/>
          <w:sz w:val="20"/>
        </w:rPr>
        <w:t xml:space="preserve">(h) Each item of Parent Registered IP is and at all times has been filed and maintained in compliance in all material respects with all applicable Law and all filings, payments and other actions required to be made or taken to maintain such item of Parent Registered IP in full force and effect have been made by the applicable deadline. All Parent Registered IP is subsisting, and to the Knowledge of the Parent, all Parent Registered IP that is issued or granted is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Parent, no registered trademark or trade name owned, used or applied for by Parent conflicts or interferes with any registered trademark or trade name owned, used or applied for by any other Person except as would not have a Parent Material Adverse Effect. None of the goodwill associated with or inherent in any registered trademark in which Parent has or purports to have an ownership interest has been impaired as determined by Parent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(j) Except as may be set forth in the Contracts listed on </w:t>
      </w:r>
      <w:r>
        <w:rPr>
          <w:rFonts w:ascii="Times New Roman" w:hAnsi="Times New Roman"/>
          <w:sz w:val="20"/>
          <w:u w:val="single"/>
        </w:rPr>
        <w:t>Section 4.12(b)</w:t>
      </w:r>
      <w:r>
        <w:rPr>
          <w:rFonts w:ascii="Times New Roman" w:hAnsi="Times New Roman"/>
          <w:sz w:val="20"/>
        </w:rPr>
        <w:t xml:space="preserve">, </w:t>
      </w:r>
      <w:r>
        <w:rPr>
          <w:rFonts w:ascii="Times New Roman" w:hAnsi="Times New Roman"/>
          <w:sz w:val="20"/>
          <w:u w:val="single"/>
        </w:rPr>
        <w:t>4.12(c)</w:t>
      </w:r>
      <w:r>
        <w:rPr>
          <w:rFonts w:ascii="Times New Roman" w:hAnsi="Times New Roman"/>
          <w:sz w:val="20"/>
        </w:rPr>
        <w:t xml:space="preserve"> or </w:t>
      </w:r>
      <w:r>
        <w:rPr>
          <w:rFonts w:ascii="Times New Roman" w:hAnsi="Times New Roman"/>
          <w:sz w:val="20"/>
          <w:u w:val="single"/>
        </w:rPr>
        <w:t>4.12(k)</w:t>
      </w:r>
      <w:r>
        <w:rPr>
          <w:rFonts w:ascii="Times New Roman" w:hAnsi="Times New Roman"/>
          <w:sz w:val="20"/>
        </w:rPr>
        <w:t xml:space="preserve"> of the Parent Disclosure Letter or as contained in license, distribution or service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Corporation and its Subsidiaries to use, sell or license or enforce any Parent IP Rights or portion thereof, except for the occurrence of any such grant or impairment that would not individually or in the aggregate, reasonably be expected to result in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Notwithstanding any other provisions of this Agreement, Company acknowledges and agrees that the representations and warranties contained in this </w:t>
      </w:r>
      <w:r>
        <w:rPr>
          <w:rFonts w:ascii="Times New Roman" w:hAnsi="Times New Roman"/>
          <w:sz w:val="20"/>
          <w:u w:val="single"/>
        </w:rPr>
        <w:t>Section 4.12</w:t>
      </w:r>
      <w:r>
        <w:rPr>
          <w:rFonts w:ascii="Times New Roman" w:hAnsi="Times New Roman"/>
          <w:sz w:val="20"/>
        </w:rPr>
        <w:t xml:space="preserve"> are the only representations or warranties made by Parent with respect to Intellectual Property, and no other provisions of this Agreement shall be interpreted as containing any representation or warranty with respect thereto. </w:t>
      </w:r>
    </w:p>
    <w:p>
      <w:pPr>
        <w:pStyle w:val="TextBody"/>
        <w:bidi w:val="0"/>
        <w:spacing w:before="240" w:after="0"/>
        <w:jc w:val="left"/>
        <w:rPr>
          <w:rFonts w:ascii="Times New Roman" w:hAnsi="Times New Roman"/>
          <w:sz w:val="20"/>
        </w:rPr>
      </w:pPr>
      <w:bookmarkStart w:id="159" w:name="annextoc108148_57"/>
      <w:bookmarkEnd w:id="159"/>
      <w:r>
        <w:rPr>
          <w:rFonts w:ascii="Times New Roman" w:hAnsi="Times New Roman"/>
          <w:sz w:val="20"/>
        </w:rPr>
        <w:t xml:space="preserve">Section 4.13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Excepted Contracts, and any Parent Employee Plans (or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r>
        <w:rPr>
          <w:rFonts w:ascii="Times New Roman" w:hAnsi="Times New Roman"/>
          <w:sz w:val="20"/>
          <w:u w:val="single"/>
        </w:rPr>
        <w:t>Section 4.13</w:t>
      </w:r>
      <w:r>
        <w:rPr>
          <w:rFonts w:ascii="Times New Roman" w:hAnsi="Times New Roman"/>
          <w:sz w:val="20"/>
        </w:rPr>
        <w:t xml:space="preserve"> of the Parent Disclosure Letter identifies each Parent Contract identified below that is in effect as of the date of this Agreement (each, a “</w:t>
      </w:r>
      <w:r>
        <w:rPr>
          <w:rFonts w:ascii="Times New Roman" w:hAnsi="Times New Roman"/>
          <w:b/>
          <w:sz w:val="20"/>
        </w:rPr>
        <w:t>Parent Material Contract</w:t>
      </w:r>
      <w:r>
        <w:rPr>
          <w:rFonts w:ascii="Times New Roman" w:hAnsi="Times New Roman"/>
          <w:sz w:val="20"/>
        </w:rPr>
        <w:t>” and collectively, the “</w:t>
      </w:r>
      <w:r>
        <w:rPr>
          <w:rFonts w:ascii="Times New Roman" w:hAnsi="Times New Roman"/>
          <w:b/>
          <w:sz w:val="20"/>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Parent Contract relating to any material bonus, deferred compensation, severance, incentive compensation, pension, profit-sharing or retirement plans, or any other employee benefit plans or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Contract relating to any agreement or plan, including any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(iv) each Parent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 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(vi) each Parent Contract (A) pursuant to which any Person granted Parent an exclusive license under any Intellectual Property, or (B) pursuant to which Parent granted any Person an exclusive license under any Parent IP Rights;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Contract containing any royalty, dividend or similar arrangement based on the revenues or profits of Parent, any of its Subsidiaries,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(viii) each Parent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(ix) each Parent Contract relating to the disposition or acquisition of material assets or any ownership interest in any Entity, in each case, involving payments in excess of $250,000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 each Parent Contract entered into in settlement of any Legal Proceeding or other dispute pursuant to which Parent or any of its Subsidiaries has outstanding obligations to pay consideration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 </w:t>
      </w:r>
    </w:p>
    <w:p>
      <w:pPr>
        <w:pStyle w:val="TextBody"/>
        <w:bidi w:val="0"/>
        <w:spacing w:before="120" w:after="0"/>
        <w:jc w:val="left"/>
        <w:rPr>
          <w:rFonts w:ascii="Times New Roman" w:hAnsi="Times New Roman"/>
          <w:sz w:val="20"/>
        </w:rPr>
      </w:pPr>
      <w:r>
        <w:rPr>
          <w:rFonts w:ascii="Times New Roman" w:hAnsi="Times New Roman"/>
          <w:sz w:val="20"/>
        </w:rPr>
        <w:t xml:space="preserve">(xii) 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each Parent Contract with any Person, including any financial advisor, broker, finder, investment banker or other Person, providing advisory services to Parent in connection with the Contemplated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and requiring payments by Parent after the date of this Agreement in excess of $100,000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(xiv) 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(xv) any Parent Real Estate Lease; </w:t>
      </w:r>
    </w:p>
    <w:p>
      <w:pPr>
        <w:pStyle w:val="TextBody"/>
        <w:bidi w:val="0"/>
        <w:spacing w:before="120" w:after="0"/>
        <w:jc w:val="left"/>
        <w:rPr>
          <w:rFonts w:ascii="Times New Roman" w:hAnsi="Times New Roman"/>
          <w:sz w:val="20"/>
        </w:rPr>
      </w:pPr>
      <w:r>
        <w:rPr>
          <w:rFonts w:ascii="Times New Roman" w:hAnsi="Times New Roman"/>
          <w:sz w:val="20"/>
        </w:rPr>
        <w:t xml:space="preserve">(xvi) a Contract disclosed in or required to be disclosed in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Section 4.12(c)</w:t>
      </w:r>
      <w:r>
        <w:rPr>
          <w:rFonts w:ascii="Times New Roman" w:hAnsi="Times New Roman"/>
          <w:sz w:val="20"/>
        </w:rPr>
        <w:t xml:space="preserve"> of the Parent Disclosure Letter; or </w:t>
      </w:r>
    </w:p>
    <w:p>
      <w:pPr>
        <w:pStyle w:val="TextBody"/>
        <w:bidi w:val="0"/>
        <w:spacing w:before="120" w:after="0"/>
        <w:jc w:val="left"/>
        <w:rPr>
          <w:rFonts w:ascii="Times New Roman" w:hAnsi="Times New Roman"/>
          <w:sz w:val="20"/>
        </w:rPr>
      </w:pPr>
      <w:r>
        <w:rPr>
          <w:rFonts w:ascii="Times New Roman" w:hAnsi="Times New Roman"/>
          <w:sz w:val="20"/>
        </w:rPr>
        <w:t xml:space="preserve">(xvii) 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w:t>
      </w:r>
    </w:p>
    <w:p>
      <w:pPr>
        <w:pStyle w:val="TextBody"/>
        <w:bidi w:val="0"/>
        <w:spacing w:before="240" w:after="0"/>
        <w:jc w:val="left"/>
        <w:rPr>
          <w:rFonts w:ascii="Times New Roman" w:hAnsi="Times New Roman"/>
          <w:sz w:val="20"/>
        </w:rPr>
      </w:pPr>
      <w:bookmarkStart w:id="160" w:name="annextoc108148_58"/>
      <w:bookmarkEnd w:id="160"/>
      <w:r>
        <w:rPr>
          <w:rFonts w:ascii="Times New Roman" w:hAnsi="Times New Roman"/>
          <w:sz w:val="20"/>
        </w:rPr>
        <w:t xml:space="preserve">Section 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of its Subsidiaries is, and since January 1, 2024, has been in compliance with all applicable Laws, except where the failure to so comply would not, whether individually or in the aggregate, reasonably be expected to have a Parent Material Adverse Effect. No investigation, claim, suit, proceeding, audit, Order or other action by any Governmental Authority is pending or, to the Knowledge of Parent, threatened against Parent or any of its Subsidiaries, which if determined unfavorably to such Person would reasonably be expected to have a Parent Material Adverse Effect.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FDA or other Drug/Device Regulatory Agency, each of Parent and its Subsidiaries holds all required Governmental Authorizations that are material to the operation of the business of Parent and Merger Sub as currently conducted (collectively, the “</w:t>
      </w:r>
      <w:r>
        <w:rPr>
          <w:rFonts w:ascii="Times New Roman" w:hAnsi="Times New Roman"/>
          <w:b/>
          <w:sz w:val="20"/>
        </w:rPr>
        <w:t>Parent Permits</w:t>
      </w:r>
      <w:r>
        <w:rPr>
          <w:rFonts w:ascii="Times New Roman" w:hAnsi="Times New Roman"/>
          <w:sz w:val="20"/>
        </w:rPr>
        <w:t xml:space="preserve">”). </w:t>
      </w:r>
      <w:r>
        <w:rPr>
          <w:rFonts w:ascii="Times New Roman" w:hAnsi="Times New Roman"/>
          <w:sz w:val="20"/>
          <w:u w:val="single"/>
        </w:rPr>
        <w:t>Section 4.14(b)</w:t>
      </w:r>
      <w:r>
        <w:rPr>
          <w:rFonts w:ascii="Times New Roman" w:hAnsi="Times New Roman"/>
          <w:sz w:val="20"/>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Surviving Corporation immediately after the Effective Time on terms substantially identical to those enjoyed by Parent and its Subsidiaries as of the date of this Agreement and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There are no Legal Proceedings pending or, to the Knowledge of Parent, threatened with respect to an alleged violation by Parent or any of its Subsidiaries of the FDCA, PHSA,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Each of Parent and its Subsidiaries holds all material required Governmental Authorizations issuable by any Drug/Device Regulatory Agency necessary for the conduct of the business of Parent and Merger Sub as currently conducted, and, as applicable, the development, testing, manufacturing, processing, storage, labeling, sale, marketing, advertising, distribution and importation or exportation, in each case as currently conducted, of any of its product candidates (the “</w:t>
      </w:r>
      <w:r>
        <w:rPr>
          <w:rFonts w:ascii="Times New Roman" w:hAnsi="Times New Roman"/>
          <w:b/>
          <w:sz w:val="20"/>
        </w:rPr>
        <w:t>Parent Product Candidates</w:t>
      </w:r>
      <w:r>
        <w:rPr>
          <w:rFonts w:ascii="Times New Roman" w:hAnsi="Times New Roman"/>
          <w:sz w:val="20"/>
        </w:rPr>
        <w:t>” and, collectively, the “</w:t>
      </w:r>
      <w:r>
        <w:rPr>
          <w:rFonts w:ascii="Times New Roman" w:hAnsi="Times New Roman"/>
          <w:b/>
          <w:sz w:val="20"/>
        </w:rPr>
        <w:t>Parent Regulatory Permits</w:t>
      </w:r>
      <w:r>
        <w:rPr>
          <w:rFonts w:ascii="Times New Roman" w:hAnsi="Times New Roman"/>
          <w:sz w:val="20"/>
        </w:rPr>
        <w:t xml:space="preserve">”) and since January 1, 2024 no such Parent Regulatory Permit has been (i) revoked, withdrawn, suspended, cancelled or terminated or (ii) modified in any adverse manner other than immaterial adverse modifications. Parent has maintained and is in compliance in all material respects with the terms of such Parent Regulatory Permits and neither Parent nor or any of its Subsidiaries has, since January 1, 2024,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w:t>
      </w:r>
    </w:p>
    <w:p>
      <w:pPr>
        <w:pStyle w:val="TextBody"/>
        <w:bidi w:val="0"/>
        <w:spacing w:before="240" w:after="0"/>
        <w:jc w:val="left"/>
        <w:rPr>
          <w:rFonts w:ascii="Times New Roman" w:hAnsi="Times New Roman"/>
          <w:sz w:val="20"/>
        </w:rPr>
      </w:pPr>
      <w:r>
        <w:rPr>
          <w:rFonts w:ascii="Times New Roman" w:hAnsi="Times New Roman"/>
          <w:sz w:val="20"/>
        </w:rPr>
        <w:t>(e) All clinical, pre-clinical and other studies and tests conducted by or on behalf of, or sponsored by, Parent or its Subsidiaries, in which Parent or its Subsidiaries or their respective product candidates, including the Parent Product Candidates, have participated (collectively “</w:t>
      </w:r>
      <w:r>
        <w:rPr>
          <w:rFonts w:ascii="Times New Roman" w:hAnsi="Times New Roman"/>
          <w:b/>
          <w:sz w:val="20"/>
        </w:rPr>
        <w:t>Parent Studies</w:t>
      </w:r>
      <w:r>
        <w:rPr>
          <w:rFonts w:ascii="Times New Roman" w:hAnsi="Times New Roman"/>
          <w:sz w:val="20"/>
        </w:rPr>
        <w:t xml:space="preserve">”) were, since January 1, 2024, and, if still pending, are being conducted in accordance in all material respects with any applicable regulations of the Drug/Device Regulatory Agencies and other applicable Law to which such Parent Studies are or were subject. Since January 1, 2024, neither Parent nor any of its Subsidiaries has received any written notices, correspondence, or other communications from any Drug/Device Regulatory Agency requiring or, to the Knowledge of Parent, threatening to initiate, any action to place a clinical hold order on, or otherwise terminate, delay or suspend any such Parent Studies, other than ordinary course communications regarding the design and implementation of such Parent Studies. Further, no clinical investigator, researcher or clinical staff participating in any Parent Study has been disqualified from participating in studies involving the Parent Product Candidates, and to the Knowledge of Parent,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the Application Integrity Policy or by any other Drug/Device Regulatory Agency under a comparable policy. Since January 1, 2024, neither Parent, nor any of its officers, directors, employees or, to the Knowledge of Parent, agents have been debarred or excluded from participation in any federal healthcare programs. Since January 1, 2024, neither Parent nor any of its Subsidiaries and, to the Knowledge of Parent, nor their respective officers, employees, agents, or contract manufacturers with respect to any Parent Product Candidate has committed any acts, made any statement or failed to make any statement, in each case in respect of its business or products that would violate the Application Integrity Policy or any comparable policy. None of Parent, any of its Subsidiaries, and to the Knowledge of Parent, any of their respective officers, employees, agents or contract manufacturers with respect to any Parent Product Candidate is currently or has been debarred, convicted of any crime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of their respective officers, employees, agents, or contract manufacturers with respect to any Parent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Parent, for the benefit of, Parent or its Subsidiaries in connection with any Parent Product Candidate, since January 1, 2024, have been and are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conducted in compliance in all material respects with applicable Laws, including to the extent applicable, the PHSA, the FDCA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None of Parent, any of its Subsidiaries, and to the Knowledge of Parent, any manufacturing site of a contract manufacturer or laboratory, in each case with respect to such parties’ or site’s activities conducted with respect to any Parent Product Candidate, (i) is subject to a Drug/Device Regulatory Agency shutdown or import or export prohibition or (ii) has since January 1, 2024,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has threatened such action. </w:t>
      </w:r>
    </w:p>
    <w:p>
      <w:pPr>
        <w:pStyle w:val="TextBody"/>
        <w:bidi w:val="0"/>
        <w:spacing w:before="240" w:after="0"/>
        <w:jc w:val="left"/>
        <w:rPr>
          <w:rFonts w:ascii="Times New Roman" w:hAnsi="Times New Roman"/>
          <w:sz w:val="20"/>
        </w:rPr>
      </w:pPr>
      <w:bookmarkStart w:id="161" w:name="annextoc108148_59"/>
      <w:bookmarkEnd w:id="161"/>
      <w:r>
        <w:rPr>
          <w:rFonts w:ascii="Times New Roman" w:hAnsi="Times New Roman"/>
          <w:sz w:val="20"/>
        </w:rPr>
        <w:t xml:space="preserve">Section 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4.15</w:t>
      </w:r>
      <w:r>
        <w:rPr>
          <w:rFonts w:ascii="Times New Roman" w:hAnsi="Times New Roman"/>
          <w:sz w:val="20"/>
        </w:rPr>
        <w:t xml:space="preserve"> of the Parent Disclosure Letter,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 </w:t>
      </w:r>
    </w:p>
    <w:p>
      <w:pPr>
        <w:pStyle w:val="TextBody"/>
        <w:bidi w:val="0"/>
        <w:spacing w:before="240" w:after="0"/>
        <w:jc w:val="left"/>
        <w:rPr>
          <w:rFonts w:ascii="Times New Roman" w:hAnsi="Times New Roman"/>
          <w:sz w:val="20"/>
        </w:rPr>
      </w:pPr>
      <w:bookmarkStart w:id="162" w:name="annextoc108148_60"/>
      <w:bookmarkEnd w:id="162"/>
      <w:r>
        <w:rPr>
          <w:rFonts w:ascii="Times New Roman" w:hAnsi="Times New Roman"/>
          <w:sz w:val="20"/>
        </w:rPr>
        <w:t xml:space="preserve">Section 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Parent and each of its Subsidiaries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than Encumbrances described in </w:t>
      </w:r>
      <w:r>
        <w:rPr>
          <w:rFonts w:ascii="Times New Roman" w:hAnsi="Times New Roman"/>
          <w:sz w:val="20"/>
          <w:u w:val="single"/>
        </w:rPr>
        <w:t>clause (i)</w:t>
      </w:r>
      <w:r>
        <w:rPr>
          <w:rFonts w:ascii="Times New Roman" w:hAnsi="Times New Roman"/>
          <w:sz w:val="20"/>
        </w:rPr>
        <w:t xml:space="preserve"> of the definition of “Permitted Encumbrances”) upon any of the assets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is a party to any Tax allocation, Tax sharing or similar agreement (including indemnity arrangements), other than Ordinary Course Agreements.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is aware of any facts or circumstances or has taken or agreed to take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163" w:name="annextoc108148_61"/>
      <w:bookmarkEnd w:id="163"/>
      <w:r>
        <w:rPr>
          <w:rFonts w:ascii="Times New Roman" w:hAnsi="Times New Roman"/>
          <w:sz w:val="20"/>
        </w:rPr>
        <w:t xml:space="preserve">Section 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Parent’s employees is terminable by Parent at will. Parent has made available to the Company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4.17(d)</w:t>
      </w:r>
      <w:r>
        <w:rPr>
          <w:rFonts w:ascii="Times New Roman" w:hAnsi="Times New Roman"/>
          <w:sz w:val="20"/>
        </w:rPr>
        <w:t xml:space="preserve"> of the Parent Disclosure Letter lists all material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incurred in the past six years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Parent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Parent Employee Plan that constitutes in any part a “nonqualified deferred compensation plan” (as such term is defined under Section 409A(d)(1) of the Code and the guidance thereunder) (each, a “</w:t>
      </w:r>
      <w:r>
        <w:rPr>
          <w:rFonts w:ascii="Times New Roman" w:hAnsi="Times New Roman"/>
          <w:b/>
          <w:sz w:val="20"/>
        </w:rPr>
        <w:t>Parent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(k) 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(l) Parent has no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 To the Knowledge of Parent, within the past three years there has not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Parent is not, nor has Parent been in the past three years,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Parent or any of its Subsidiaries is a party or by which it is bound to compensate any of its employees or other service providers for any income or excise taxes paid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Parent or any of its Subsidiaries. </w:t>
      </w:r>
    </w:p>
    <w:p>
      <w:pPr>
        <w:pStyle w:val="TextBody"/>
        <w:bidi w:val="0"/>
        <w:spacing w:before="240" w:after="0"/>
        <w:jc w:val="left"/>
        <w:rPr>
          <w:rFonts w:ascii="Times New Roman" w:hAnsi="Times New Roman"/>
          <w:sz w:val="20"/>
        </w:rPr>
      </w:pPr>
      <w:bookmarkStart w:id="164" w:name="annextoc108148_62"/>
      <w:bookmarkEnd w:id="164"/>
      <w:r>
        <w:rPr>
          <w:rFonts w:ascii="Times New Roman" w:hAnsi="Times New Roman"/>
          <w:sz w:val="20"/>
        </w:rPr>
        <w:t xml:space="preserve">Section 4.18 </w:t>
      </w:r>
      <w:r>
        <w:rPr>
          <w:rFonts w:ascii="Times New Roman" w:hAnsi="Times New Roman"/>
          <w:sz w:val="20"/>
          <w:u w:val="single"/>
        </w:rPr>
        <w:t>Environmental Matters</w:t>
      </w:r>
      <w:r>
        <w:rPr>
          <w:rFonts w:ascii="Times New Roman" w:hAnsi="Times New Roman"/>
          <w:sz w:val="20"/>
        </w:rPr>
        <w:t xml:space="preserve">. Since January 1, 2024,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2024,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2024,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 </w:t>
      </w:r>
    </w:p>
    <w:p>
      <w:pPr>
        <w:pStyle w:val="TextBody"/>
        <w:bidi w:val="0"/>
        <w:spacing w:before="240" w:after="0"/>
        <w:jc w:val="left"/>
        <w:rPr>
          <w:rFonts w:ascii="Times New Roman" w:hAnsi="Times New Roman"/>
          <w:sz w:val="20"/>
        </w:rPr>
      </w:pPr>
      <w:bookmarkStart w:id="165" w:name="annextoc108148_63"/>
      <w:bookmarkEnd w:id="165"/>
      <w:r>
        <w:rPr>
          <w:rFonts w:ascii="Times New Roman" w:hAnsi="Times New Roman"/>
          <w:sz w:val="20"/>
        </w:rPr>
        <w:t xml:space="preserve">Section 4.19 </w:t>
      </w:r>
      <w:r>
        <w:rPr>
          <w:rFonts w:ascii="Times New Roman" w:hAnsi="Times New Roman"/>
          <w:sz w:val="20"/>
          <w:u w:val="single"/>
        </w:rPr>
        <w:t>Insurance</w:t>
      </w:r>
      <w:r>
        <w:rPr>
          <w:rFonts w:ascii="Times New Roman" w:hAnsi="Times New Roman"/>
          <w:sz w:val="20"/>
        </w:rPr>
        <w:t xml:space="preserve">. Parent has delivered to the Company accurate and complete copies of all material insurance policies and all material self-insurance programs and arrangements relating to the business, assets, liabilities and operations of Parent and its Subsidiaries (including Merger Sub). Each of such insurance policies is in full force and effect and Parent and its Subsidiaries (including Merger Sub) are in compliance in all material respects with the terms thereof. Other than customary end of policy notifications from insurance carriers, since January 1, 2024, neither Parent nor any of its Subsidiaries has received any notice or other communication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any actual or possible: (i) cancellation or invalidation of any insurance policy or (ii) refusal or denial of any coverage, reservation of rights or rejection of any material claim under any insurance policy. Each of Parent and its Subsidiaries (including Merger Sub)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before="240" w:after="0"/>
        <w:jc w:val="left"/>
        <w:rPr>
          <w:rFonts w:ascii="Times New Roman" w:hAnsi="Times New Roman"/>
          <w:sz w:val="20"/>
        </w:rPr>
      </w:pPr>
      <w:bookmarkStart w:id="166" w:name="annextoc108148_64"/>
      <w:bookmarkEnd w:id="166"/>
      <w:r>
        <w:rPr>
          <w:rFonts w:ascii="Times New Roman" w:hAnsi="Times New Roman"/>
          <w:sz w:val="20"/>
        </w:rPr>
        <w:t xml:space="preserve">Section 4.20 </w:t>
      </w:r>
      <w:r>
        <w:rPr>
          <w:rFonts w:ascii="Times New Roman" w:hAnsi="Times New Roman"/>
          <w:sz w:val="20"/>
          <w:u w:val="single"/>
        </w:rPr>
        <w:t>Transactions with Affiliates</w:t>
      </w:r>
      <w:r>
        <w:rPr>
          <w:rFonts w:ascii="Times New Roman" w:hAnsi="Times New Roman"/>
          <w:sz w:val="20"/>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r>
        <w:rPr>
          <w:rFonts w:ascii="Times New Roman" w:hAnsi="Times New Roman"/>
          <w:sz w:val="20"/>
          <w:u w:val="single"/>
        </w:rPr>
        <w:t>Section 4.20</w:t>
      </w:r>
      <w:r>
        <w:rPr>
          <w:rFonts w:ascii="Times New Roman" w:hAnsi="Times New Roman"/>
          <w:sz w:val="20"/>
        </w:rPr>
        <w:t xml:space="preserve"> of the Parent Disclosure Letter identifies each Person who is (or who may be deemed to be) an Affiliate of Parent as of the date of this Agreement. </w:t>
      </w:r>
    </w:p>
    <w:p>
      <w:pPr>
        <w:pStyle w:val="TextBody"/>
        <w:bidi w:val="0"/>
        <w:spacing w:before="240" w:after="0"/>
        <w:jc w:val="left"/>
        <w:rPr>
          <w:rFonts w:ascii="Times New Roman" w:hAnsi="Times New Roman"/>
          <w:sz w:val="20"/>
        </w:rPr>
      </w:pPr>
      <w:bookmarkStart w:id="167" w:name="annextoc108148_65"/>
      <w:bookmarkEnd w:id="167"/>
      <w:r>
        <w:rPr>
          <w:rFonts w:ascii="Times New Roman" w:hAnsi="Times New Roman"/>
          <w:sz w:val="20"/>
        </w:rPr>
        <w:t xml:space="preserve">Section 4.21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 </w:t>
      </w:r>
    </w:p>
    <w:p>
      <w:pPr>
        <w:pStyle w:val="TextBody"/>
        <w:bidi w:val="0"/>
        <w:spacing w:before="240" w:after="0"/>
        <w:jc w:val="left"/>
        <w:rPr>
          <w:rFonts w:ascii="Times New Roman" w:hAnsi="Times New Roman"/>
          <w:sz w:val="20"/>
        </w:rPr>
      </w:pPr>
      <w:bookmarkStart w:id="168" w:name="annextoc108148_66"/>
      <w:bookmarkEnd w:id="168"/>
      <w:r>
        <w:rPr>
          <w:rFonts w:ascii="Times New Roman" w:hAnsi="Times New Roman"/>
          <w:sz w:val="20"/>
        </w:rPr>
        <w:t xml:space="preserve">Section 4.22 </w:t>
      </w:r>
      <w:r>
        <w:rPr>
          <w:rFonts w:ascii="Times New Roman" w:hAnsi="Times New Roman"/>
          <w:sz w:val="20"/>
          <w:u w:val="single"/>
        </w:rPr>
        <w:t>Valid Issuance</w:t>
      </w:r>
      <w:r>
        <w:rPr>
          <w:rFonts w:ascii="Times New Roman" w:hAnsi="Times New Roman"/>
          <w:sz w:val="20"/>
        </w:rPr>
        <w:t xml:space="preserve">. The Parent Common Stock to be issued in the Merger will, when issued in accordance with the provisions of this Agreement, be validly issued, fully paid and nonassessable. The Parent Common Stock issuable upon exercise of any Assumed Warrant has been duly reserved for issuance, and upon issuance in accordance with the terms of the applicable Assumed Warrant, will be validly issued, fully paid and nonassessable. </w:t>
      </w:r>
    </w:p>
    <w:p>
      <w:pPr>
        <w:pStyle w:val="TextBody"/>
        <w:bidi w:val="0"/>
        <w:spacing w:before="240" w:after="0"/>
        <w:jc w:val="left"/>
        <w:rPr>
          <w:rFonts w:ascii="Times New Roman" w:hAnsi="Times New Roman"/>
          <w:sz w:val="20"/>
        </w:rPr>
      </w:pPr>
      <w:bookmarkStart w:id="169" w:name="annextoc108148_67"/>
      <w:bookmarkEnd w:id="169"/>
      <w:r>
        <w:rPr>
          <w:rFonts w:ascii="Times New Roman" w:hAnsi="Times New Roman"/>
          <w:sz w:val="20"/>
        </w:rPr>
        <w:t xml:space="preserve">Section 4.23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past three years, each of Parent and its Subsidiaries have complied with all (i) applicable Privacy Laws, (ii) Parents and its Subsidiaries published and posted policies relating to Parent and its Subsidiaries’ processing of Personal Information, as applicable to each of Parent and any of its Subsidiaries; and (iii) applicable terms of any Parent Contracts relating to privacy, security, collection or use of Personal Information (“</w:t>
      </w:r>
      <w:r>
        <w:rPr>
          <w:rFonts w:ascii="Times New Roman" w:hAnsi="Times New Roman"/>
          <w:b/>
          <w:sz w:val="20"/>
        </w:rPr>
        <w:t>Parent Data Protection Requirements</w:t>
      </w:r>
      <w:r>
        <w:rPr>
          <w:rFonts w:ascii="Times New Roman" w:hAnsi="Times New Roman"/>
          <w:sz w:val="20"/>
        </w:rPr>
        <w:t xml:space="preserve">”), except for such noncompliance as has not had, and would not reasonably be expected to have, individually or in the aggregate, a Parent Material Adverse Effect. To the Knowledge of Parent, during the past three years, no claims have been asserted or threatened in writing against Parent or any Subsidiary by any Person alleging a material violation of the Parent Data Protection Requirements. To the Knowledge of Parent, there have been no personal data breaches compromising Personal Information in the custody or control of Parent or its Subsidiaries or any service provider acting on behalf of Parent, except as has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(b) The information technology assets and equipment of Parent and its Subsidiaries (collectively, “</w:t>
      </w:r>
      <w:r>
        <w:rPr>
          <w:rFonts w:ascii="Times New Roman" w:hAnsi="Times New Roman"/>
          <w:b/>
          <w:sz w:val="20"/>
        </w:rPr>
        <w:t>Parent IT Systems</w:t>
      </w:r>
      <w:r>
        <w:rPr>
          <w:rFonts w:ascii="Times New Roman" w:hAnsi="Times New Roman"/>
          <w:sz w:val="20"/>
        </w:rPr>
        <w:t xml:space="preserve">”) are adequate for, and operate and perform in all material respects as required in connection with the operation of the business of Parent and its Subsidiaries as currently conducted, and to the Knowledge of Parent, free and clear of all material bugs, errors, defects, Trojan horses, time bombs, malware and other corruptants. Parent and its Subsidiaries have implemented and maintain commercially reasonable physical, technical and administrative safeguards to protect Personal Information processed by Parent and its Subsidiaries, any other material confidential information and the integrity and security of Parent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 </w:t>
      </w:r>
    </w:p>
    <w:p>
      <w:pPr>
        <w:pStyle w:val="TextBody"/>
        <w:bidi w:val="0"/>
        <w:spacing w:before="240" w:after="0"/>
        <w:jc w:val="left"/>
        <w:rPr>
          <w:rFonts w:ascii="Times New Roman" w:hAnsi="Times New Roman"/>
          <w:sz w:val="20"/>
        </w:rPr>
      </w:pPr>
      <w:bookmarkStart w:id="170" w:name="annextoc108148_68"/>
      <w:bookmarkEnd w:id="170"/>
      <w:r>
        <w:rPr>
          <w:rFonts w:ascii="Times New Roman" w:hAnsi="Times New Roman"/>
          <w:sz w:val="20"/>
        </w:rPr>
        <w:t xml:space="preserve">Section 4.24 </w:t>
      </w:r>
      <w:r>
        <w:rPr>
          <w:rFonts w:ascii="Times New Roman" w:hAnsi="Times New Roman"/>
          <w:sz w:val="20"/>
          <w:u w:val="single"/>
        </w:rPr>
        <w:t>Certain Payments</w:t>
      </w:r>
      <w:r>
        <w:rPr>
          <w:rFonts w:ascii="Times New Roman" w:hAnsi="Times New Roman"/>
          <w:sz w:val="20"/>
        </w:rPr>
        <w:t xml:space="preserve">. Since January 1, 2021, neither Parent nor any of its Subsidiaries nor, to the Knowledge of Parent, any of their respective directors, executives, Representatives, agents or employees (a)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 </w:t>
      </w:r>
    </w:p>
    <w:p>
      <w:pPr>
        <w:pStyle w:val="TextBody"/>
        <w:bidi w:val="0"/>
        <w:spacing w:before="240" w:after="0"/>
        <w:jc w:val="left"/>
        <w:rPr>
          <w:rFonts w:ascii="Times New Roman" w:hAnsi="Times New Roman"/>
          <w:sz w:val="20"/>
        </w:rPr>
      </w:pPr>
      <w:bookmarkStart w:id="171" w:name="annextoc108148_69"/>
      <w:bookmarkEnd w:id="171"/>
      <w:r>
        <w:rPr>
          <w:rFonts w:ascii="Times New Roman" w:hAnsi="Times New Roman"/>
          <w:sz w:val="20"/>
        </w:rPr>
        <w:t xml:space="preserve">Section 4.25 </w:t>
      </w:r>
      <w:r>
        <w:rPr>
          <w:rFonts w:ascii="Times New Roman" w:hAnsi="Times New Roman"/>
          <w:sz w:val="20"/>
          <w:u w:val="single"/>
        </w:rPr>
        <w:t>Trade Control Laws</w:t>
      </w:r>
      <w:r>
        <w:rPr>
          <w:rFonts w:ascii="Times New Roman" w:hAnsi="Times New Roman"/>
          <w:sz w:val="20"/>
        </w:rPr>
        <w:t xml:space="preserve">. Since January 1, 2021,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72" w:name="annextoc108148_70"/>
      <w:bookmarkEnd w:id="172"/>
      <w:r>
        <w:rPr>
          <w:rFonts w:ascii="Times New Roman" w:hAnsi="Times New Roman"/>
          <w:sz w:val="20"/>
        </w:rPr>
        <w:t xml:space="preserve">Section 4.26 </w:t>
      </w:r>
      <w:r>
        <w:rPr>
          <w:rFonts w:ascii="Times New Roman" w:hAnsi="Times New Roman"/>
          <w:sz w:val="20"/>
          <w:u w:val="single"/>
        </w:rPr>
        <w:t>No Other Representations or Warranties</w:t>
      </w:r>
      <w:r>
        <w:rPr>
          <w:rFonts w:ascii="Times New Roman" w:hAnsi="Times New Roman"/>
          <w:sz w:val="20"/>
        </w:rPr>
        <w:t xml:space="preserve">. Parent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Parent, Merger Sub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Letter)) none of Parent, Merger Sub nor any of their respective Representatives or stockholders, has relied on any such information (including the accuracy or completeness thereof). </w:t>
      </w:r>
    </w:p>
    <w:p>
      <w:pPr>
        <w:pStyle w:val="TextBody"/>
        <w:bidi w:val="0"/>
        <w:spacing w:before="480" w:after="0"/>
        <w:jc w:val="center"/>
        <w:rPr>
          <w:rFonts w:ascii="Times New Roman" w:hAnsi="Times New Roman"/>
          <w:sz w:val="22"/>
        </w:rPr>
      </w:pPr>
      <w:bookmarkStart w:id="173" w:name="annextoc108148_71"/>
      <w:bookmarkEnd w:id="173"/>
      <w:r>
        <w:rPr>
          <w:rFonts w:ascii="Times New Roman" w:hAnsi="Times New Roman"/>
          <w:sz w:val="22"/>
        </w:rPr>
        <w:t xml:space="preserve">ARTICLE V. </w:t>
      </w:r>
    </w:p>
    <w:p>
      <w:pPr>
        <w:pStyle w:val="TextBody"/>
        <w:bidi w:val="0"/>
        <w:spacing w:before="120" w:after="0"/>
        <w:jc w:val="center"/>
        <w:rPr>
          <w:rFonts w:ascii="Times New Roman" w:hAnsi="Times New Roman"/>
          <w:sz w:val="22"/>
        </w:rPr>
      </w:pPr>
      <w:r>
        <w:rPr>
          <w:rFonts w:ascii="Times New Roman" w:hAnsi="Times New Roman"/>
          <w:sz w:val="22"/>
        </w:rPr>
        <w:t xml:space="preserve">CERTAIN COVENANTS OF THE PARTIES </w:t>
      </w:r>
    </w:p>
    <w:p>
      <w:pPr>
        <w:pStyle w:val="TextBody"/>
        <w:bidi w:val="0"/>
        <w:spacing w:before="240" w:after="0"/>
        <w:jc w:val="left"/>
        <w:rPr>
          <w:rFonts w:ascii="Times New Roman" w:hAnsi="Times New Roman"/>
          <w:sz w:val="20"/>
        </w:rPr>
      </w:pPr>
      <w:bookmarkStart w:id="174" w:name="annextoc108148_72"/>
      <w:bookmarkEnd w:id="174"/>
      <w:r>
        <w:rPr>
          <w:rFonts w:ascii="Times New Roman" w:hAnsi="Times New Roman"/>
          <w:sz w:val="20"/>
        </w:rPr>
        <w:t xml:space="preserve">Section 5.1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in </w:t>
      </w:r>
      <w:r>
        <w:rPr>
          <w:rFonts w:ascii="Times New Roman" w:hAnsi="Times New Roman"/>
          <w:sz w:val="20"/>
          <w:u w:val="single"/>
        </w:rPr>
        <w:t>Section 5.1(a)</w:t>
      </w:r>
      <w:r>
        <w:rPr>
          <w:rFonts w:ascii="Times New Roman" w:hAnsi="Times New Roman"/>
          <w:sz w:val="20"/>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Effective Time (the “</w:t>
      </w:r>
      <w:r>
        <w:rPr>
          <w:rFonts w:ascii="Times New Roman" w:hAnsi="Times New Roman"/>
          <w:b/>
          <w:sz w:val="20"/>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(other than the Parent Pre-Closing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sell, issue, grant, pledge or otherwise dispose of or encumber or authorize the issuance of: (A) any capital stock or other security (except for Parent Common Stock issued upon the valid exercise of outstanding Parent Options),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in excess of $25,000;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 </w:t>
      </w:r>
    </w:p>
    <w:p>
      <w:pPr>
        <w:pStyle w:val="TextBody"/>
        <w:bidi w:val="0"/>
        <w:spacing w:before="120" w:after="0"/>
        <w:jc w:val="left"/>
        <w:rPr>
          <w:rFonts w:ascii="Times New Roman" w:hAnsi="Times New Roman"/>
          <w:sz w:val="20"/>
        </w:rPr>
      </w:pPr>
      <w:r>
        <w:rPr>
          <w:rFonts w:ascii="Times New Roman" w:hAnsi="Times New Roman"/>
          <w:sz w:val="20"/>
        </w:rPr>
        <w:t xml:space="preserve">(vii)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(viii) sell, assign, transfer, abandon, allow to lapse, license, sublicense or otherwise dispose of any Parent IP Rights (other than pursuant to non-exclusive licenses in the Ordinary Course of Business, pursuant to Patent prosecution in the Ordinary Course of Business or pursuant to the consummation of any Parent Legacy Transaction); </w:t>
      </w:r>
    </w:p>
    <w:p>
      <w:pPr>
        <w:pStyle w:val="TextBody"/>
        <w:bidi w:val="0"/>
        <w:spacing w:before="120" w:after="0"/>
        <w:jc w:val="left"/>
        <w:rPr>
          <w:rFonts w:ascii="Times New Roman" w:hAnsi="Times New Roman"/>
          <w:sz w:val="20"/>
        </w:rPr>
      </w:pPr>
      <w:r>
        <w:rPr>
          <w:rFonts w:ascii="Times New Roman" w:hAnsi="Times New Roman"/>
          <w:sz w:val="20"/>
        </w:rPr>
        <w:t xml:space="preserve">(ix) (A) make (other than in the Ordinary Course of Business), change or revoke any material Tax election, (B) file any amended income or other material Tax Return, (C) adopt or change any material accounting method in respect of Taxes or Tax accounting period, (D) enter into any material Tax closing agreement or settle or compromise any material Tax claim or assessment, (E) consent to any extension or waiver of the limitation period applicable to or relating to any material Tax claim or assessment, (F) surrender any material claim for refund, or (G) initiate or enter into any voluntary disclosure or similar agreement with, or request any ruling from, or otherwise voluntarily disclose information to, any Governmental Authority with respect to any material Taxes;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Parent or any of its Subsidiaries, other than waivers, settlements or agreements (A) for an amount not in excess of $1,000,000 in the aggregate (excluding amounts to be paid under existing insurance policies or renewals thereof); (B) that do not impose any material restrictions on the operations or businesses of Parent or its Subsidiaries, taken as a whole, or any equitable relief on, or the admission of wrongdoing by Parent or any of its Subsidiaries; and (C) that do not cause the Parent Net Cash at Closing to drop below $0;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(xiii)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enter into, amend in a manner adverse to Parent or terminate any Parent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(xv) agree, resolve or commit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xml:space="preserve">), Parent may: </w:t>
      </w:r>
    </w:p>
    <w:p>
      <w:pPr>
        <w:pStyle w:val="TextBody"/>
        <w:bidi w:val="0"/>
        <w:spacing w:before="120" w:after="0"/>
        <w:jc w:val="left"/>
        <w:rPr>
          <w:rFonts w:ascii="Times New Roman" w:hAnsi="Times New Roman"/>
          <w:sz w:val="20"/>
        </w:rPr>
      </w:pPr>
      <w:r>
        <w:rPr>
          <w:rFonts w:ascii="Times New Roman" w:hAnsi="Times New Roman"/>
          <w:sz w:val="20"/>
        </w:rPr>
        <w:t xml:space="preserve">(i) engage in the sale, license, transfer, disposition, divestiture or other monetization transaction (i.e., a royalty transaction) in a transaction that is either an as-is, where-as sale or disposition or where the buyer’s recourse against Parent is solely limited to escrowed funds or a purchase price holdback mechanism such that Parent does not have more than </w:t>
      </w:r>
      <w:r>
        <w:rPr>
          <w:rFonts w:ascii="Times New Roman" w:hAnsi="Times New Roman"/>
          <w:i/>
          <w:sz w:val="20"/>
        </w:rPr>
        <w:t>de minimis</w:t>
      </w:r>
      <w:r>
        <w:rPr>
          <w:rFonts w:ascii="Times New Roman" w:hAnsi="Times New Roman"/>
          <w:sz w:val="20"/>
        </w:rPr>
        <w:t xml:space="preserve"> post- closing exposure for claims arising from such disposition or winding down of the Parent Legacy Business (including terminating its Parent Real Estate Leases and other Parent Contracts) (each, a “</w:t>
      </w:r>
      <w:r>
        <w:rPr>
          <w:rFonts w:ascii="Times New Roman" w:hAnsi="Times New Roman"/>
          <w:b/>
          <w:sz w:val="20"/>
        </w:rPr>
        <w:t>Parent Legacy Transaction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Parent Legacy Transaction results in obligations of Parent that are more than </w:t>
      </w:r>
      <w:r>
        <w:rPr>
          <w:rFonts w:ascii="Times New Roman" w:hAnsi="Times New Roman"/>
          <w:i/>
          <w:sz w:val="20"/>
        </w:rPr>
        <w:t>de minimis</w:t>
      </w:r>
      <w:r>
        <w:rPr>
          <w:rFonts w:ascii="Times New Roman" w:hAnsi="Times New Roman"/>
          <w:sz w:val="20"/>
        </w:rPr>
        <w:t xml:space="preserve"> that will extend beyond Closing (other than the right of Parent to receive proceeds as a result of such Parent Legacy Transaction), such terms shall be reasonably acceptable to the Company and any such post-Closing obligations (if approved by the Company) shall be a reduction to Parent Net Cash; and </w:t>
      </w:r>
    </w:p>
    <w:p>
      <w:pPr>
        <w:pStyle w:val="TextBody"/>
        <w:bidi w:val="0"/>
        <w:spacing w:before="120" w:after="0"/>
        <w:jc w:val="left"/>
        <w:rPr>
          <w:rFonts w:ascii="Times New Roman" w:hAnsi="Times New Roman"/>
          <w:sz w:val="20"/>
        </w:rPr>
      </w:pPr>
      <w:r>
        <w:rPr>
          <w:rFonts w:ascii="Times New Roman" w:hAnsi="Times New Roman"/>
          <w:sz w:val="20"/>
        </w:rPr>
        <w:t xml:space="preserve">(ii) declare and pay a dividend on the shares of Parent Common Stock outstanding prior to the Effective Time (excluding for the avoidance of doubt any shares of Parent Common Stock issuable pursuant to the Contemplated Transactions) up to an amount, to be determined in accordance with </w:t>
      </w:r>
      <w:r>
        <w:rPr>
          <w:rFonts w:ascii="Times New Roman" w:hAnsi="Times New Roman"/>
          <w:sz w:val="20"/>
          <w:u w:val="single"/>
        </w:rPr>
        <w:t>Section 2.8</w:t>
      </w:r>
      <w:r>
        <w:rPr>
          <w:rFonts w:ascii="Times New Roman" w:hAnsi="Times New Roman"/>
          <w:sz w:val="20"/>
        </w:rPr>
        <w:t>, equal to the aggregate of Parent’s reasonable, good faith approximation of the amount by which Parent Net Cash will exceed $0 (excluding the proceeds of any Parent Legacy Transaction to the extent contingent or to be received following the Effective Time) (such dividend, the “</w:t>
      </w:r>
      <w:r>
        <w:rPr>
          <w:rFonts w:ascii="Times New Roman" w:hAnsi="Times New Roman"/>
          <w:b/>
          <w:sz w:val="20"/>
        </w:rPr>
        <w:t>Parent Pre-Closing Dividend</w:t>
      </w:r>
      <w:r>
        <w:rPr>
          <w:rFonts w:ascii="Times New Roman" w:hAnsi="Times New Roman"/>
          <w:sz w:val="20"/>
        </w:rPr>
        <w:t>” and such amount, the “</w:t>
      </w:r>
      <w:r>
        <w:rPr>
          <w:rFonts w:ascii="Times New Roman" w:hAnsi="Times New Roman"/>
          <w:b/>
          <w:sz w:val="20"/>
        </w:rPr>
        <w:t>Parent Pre-Closing Dividend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5" w:name="annextoc108148_73"/>
      <w:bookmarkEnd w:id="175"/>
      <w:r>
        <w:rPr>
          <w:rFonts w:ascii="Times New Roman" w:hAnsi="Times New Roman"/>
          <w:sz w:val="20"/>
        </w:rPr>
        <w:t xml:space="preserve">Section 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or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Letter, (iii) as required by applicable Law, (iv) with respect to the Series A Financing, which is expressly permitted, or (v) unless Parent shall otherwise consent in writing (which consent shall not be unreasonably withheld, delayed or conditioned), during the Pre-Closing Period the Company shall, and shall cause its Subsidiaries to, use commercially reasonable efforts to (x) conduct its business and operations in the Ordinary Course of Business and in material compliance with all applicable Law and the requirements of all Contracts that constitute Company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or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Letter, (iii) as required by applicable Law, (iv) in connection with the Series A Financing, which is expressly permitted, or actions taken in the Ordinary Course of Business, or (v) with the prior written consent of Parent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sell, issue, grant, pledge or otherwise dispose of or encumber, or authorize any of the foregoing actions with respect to more than 25% of the shares of Company Capital Stock outstanding as of the date of this Agreement: (A) any capital stock or other security of the Company or any of its Subsidiaries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or (C) guarantee any debt securities of others; </w:t>
      </w:r>
    </w:p>
    <w:p>
      <w:pPr>
        <w:pStyle w:val="TextBody"/>
        <w:bidi w:val="0"/>
        <w:spacing w:before="120" w:after="0"/>
        <w:jc w:val="left"/>
        <w:rPr>
          <w:rFonts w:ascii="Times New Roman" w:hAnsi="Times New Roman"/>
          <w:sz w:val="20"/>
        </w:rPr>
      </w:pPr>
      <w:r>
        <w:rPr>
          <w:rFonts w:ascii="Times New Roman" w:hAnsi="Times New Roman"/>
          <w:sz w:val="20"/>
        </w:rPr>
        <w:t xml:space="preserve">(vi)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(vii) sell, assign, transfer, abandon, allow to lapse, license, sublicense or otherwise dispose of any material Company IP Rights (other than pursuant to non-exclusive licenses); </w:t>
      </w:r>
    </w:p>
    <w:p>
      <w:pPr>
        <w:pStyle w:val="TextBody"/>
        <w:bidi w:val="0"/>
        <w:spacing w:before="120" w:after="0"/>
        <w:jc w:val="left"/>
        <w:rPr>
          <w:rFonts w:ascii="Times New Roman" w:hAnsi="Times New Roman"/>
          <w:sz w:val="20"/>
        </w:rPr>
      </w:pPr>
      <w:r>
        <w:rPr>
          <w:rFonts w:ascii="Times New Roman" w:hAnsi="Times New Roman"/>
          <w:sz w:val="20"/>
        </w:rPr>
        <w:t xml:space="preserve">(viii)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forgive any loans to any Person, including its employees, officers, directors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(x) enter into, amend in a manner adverse to the Company or terminate any Company Material Contract, including the License Agreement; or </w:t>
      </w:r>
    </w:p>
    <w:p>
      <w:pPr>
        <w:pStyle w:val="TextBody"/>
        <w:bidi w:val="0"/>
        <w:spacing w:before="120" w:after="0"/>
        <w:jc w:val="left"/>
        <w:rPr>
          <w:rFonts w:ascii="Times New Roman" w:hAnsi="Times New Roman"/>
          <w:sz w:val="20"/>
        </w:rPr>
      </w:pPr>
      <w:r>
        <w:rPr>
          <w:rFonts w:ascii="Times New Roman" w:hAnsi="Times New Roman"/>
          <w:sz w:val="20"/>
        </w:rPr>
        <w:t xml:space="preserve">(xi)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76" w:name="annextoc108148_74"/>
      <w:bookmarkEnd w:id="176"/>
      <w:r>
        <w:rPr>
          <w:rFonts w:ascii="Times New Roman" w:hAnsi="Times New Roman"/>
          <w:sz w:val="20"/>
        </w:rPr>
        <w:t xml:space="preserve">Section 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reasonably necessary, and (d) make available to the other Party copies of any material notice, report or other document filed with or sent to or received from any Governmental Authority in connection with the Contemplated Transactions.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 conducted by either Parent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177" w:name="annextoc108148_75"/>
      <w:bookmarkEnd w:id="177"/>
      <w:r>
        <w:rPr>
          <w:rFonts w:ascii="Times New Roman" w:hAnsi="Times New Roman"/>
          <w:sz w:val="20"/>
        </w:rPr>
        <w:t xml:space="preserve">Section 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(other than Company or Parent)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hAnsi="Times New Roman"/>
          <w:sz w:val="20"/>
          <w:u w:val="single"/>
        </w:rPr>
        <w:t>Section 5.4</w:t>
      </w:r>
      <w:r>
        <w:rPr>
          <w:rFonts w:ascii="Times New Roman" w:hAnsi="Times New Roman"/>
          <w:sz w:val="20"/>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public disclosures made in compliance with </w:t>
      </w:r>
      <w:r>
        <w:rPr>
          <w:rFonts w:ascii="Times New Roman" w:hAnsi="Times New Roman"/>
          <w:sz w:val="20"/>
          <w:u w:val="single"/>
        </w:rPr>
        <w:t>Section 6.3(e)</w:t>
      </w:r>
      <w:r>
        <w:rPr>
          <w:rFonts w:ascii="Times New Roman" w:hAnsi="Times New Roman"/>
          <w:sz w:val="20"/>
        </w:rPr>
        <w:t xml:space="preserve"> shall not constitute a violation of this </w:t>
      </w:r>
      <w:r>
        <w:rPr>
          <w:rFonts w:ascii="Times New Roman" w:hAnsi="Times New Roman"/>
          <w:sz w:val="20"/>
          <w:u w:val="single"/>
        </w:rPr>
        <w:t>Section 5.4</w:t>
      </w:r>
      <w:r>
        <w:rPr>
          <w:rFonts w:ascii="Times New Roman" w:hAnsi="Times New Roman"/>
          <w:sz w:val="20"/>
        </w:rPr>
        <w:t xml:space="preserve"> and (y)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approval of the Parent Stockholder Matters by the Required Parent Stockholder Vote,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Parent’s financial advisors and outside legal counsel, constitutes, or is reasonably likely to result in, a Superior Offer (and is not withdrawn) if: (A) such Acquisition Proposal was not obtained or made as a result of a breach of this Section 5.4(a) in any material respect, (B) the Parent Board concludes in good faith based on the advice of outside legal counsel, that the failure to take such action would reasonably be expected to be inconsistent with the Parent Board’s fiduciary duties under applicable Law, (C) at least forty-eight (48) hours prior to initially furnishing any such nonpublic information to, or entering into discussions with, such Person, Parent gives the Company written notice of the identity of such Person (unless such disclosure is prohibited pursuant to the terms of any confidentiality agreement with such Person or group that is in effect on the date of this Agreement), and of Parent’s intention to furnish nonpublic information to, or enter into discussions with, such Person, (D) Parent receives from such Person an executed Acceptable Confidentiality Agreement, and (E) at least two Business Days prior to furnishing any such nonpublic information to such Person, Parent furnishes such nonpublic information to the Company (to the extent such information has not been previously furnished by Parent to the Company). Notwithstanding anything to the contrary set forth in this Agreement, Parent and its Representatives (without the Parent Board having to make the determination in </w:t>
      </w:r>
      <w:r>
        <w:rPr>
          <w:rFonts w:ascii="Times New Roman" w:hAnsi="Times New Roman"/>
          <w:sz w:val="20"/>
          <w:u w:val="single"/>
        </w:rPr>
        <w:t>clause (B)</w:t>
      </w:r>
      <w:r>
        <w:rPr>
          <w:rFonts w:ascii="Times New Roman" w:hAnsi="Times New Roman"/>
          <w:sz w:val="20"/>
        </w:rPr>
        <w:t xml:space="preserve"> of the preceding sentence) may, in any event, contact any Person to (x) seek to clarify and understand the terms and conditions of any Acquisition Proposal made by such Person solely to determine whether such Acquisition Proposal constitutes, or is reasonably likely to result in, a Superior Offer and (y) inform such Person that has made or, to the knowledge of Parent is considering making an Acquisition Proposal, of the provisions of this </w:t>
      </w:r>
      <w:r>
        <w:rPr>
          <w:rFonts w:ascii="Times New Roman" w:hAnsi="Times New Roman"/>
          <w:sz w:val="20"/>
          <w:u w:val="single"/>
        </w:rPr>
        <w:t>Section 5.4</w:t>
      </w:r>
      <w:r>
        <w:rPr>
          <w:rFonts w:ascii="Times New Roman" w:hAnsi="Times New Roman"/>
          <w:sz w:val="20"/>
        </w:rPr>
        <w:t xml:space="preserve">. For the avoidance of doubt, the proviso in the preceding sentence shall not apply to the Company, and the Company shall not, and shall not permit any of its Subsidiaries or Representatives to, furnish any nonpublic information to, or enter into any discussions or negotiations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in connection with or in response to any Acquisition Proposal or Acquisition Inquiry.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24 hours following the execution and delivery of this Agreement. </w:t>
      </w:r>
    </w:p>
    <w:p>
      <w:pPr>
        <w:pStyle w:val="TextBody"/>
        <w:bidi w:val="0"/>
        <w:spacing w:before="240" w:after="0"/>
        <w:jc w:val="left"/>
        <w:rPr>
          <w:rFonts w:ascii="Times New Roman" w:hAnsi="Times New Roman"/>
          <w:sz w:val="20"/>
        </w:rPr>
      </w:pPr>
      <w:bookmarkStart w:id="178" w:name="annextoc108148_76"/>
      <w:bookmarkEnd w:id="178"/>
      <w:r>
        <w:rPr>
          <w:rFonts w:ascii="Times New Roman" w:hAnsi="Times New Roman"/>
          <w:sz w:val="20"/>
        </w:rPr>
        <w:t xml:space="preserve">Section 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179" w:name="annextoc108148_77"/>
      <w:bookmarkEnd w:id="179"/>
      <w:r>
        <w:rPr>
          <w:rFonts w:ascii="Times New Roman" w:hAnsi="Times New Roman"/>
          <w:sz w:val="20"/>
        </w:rPr>
        <w:t xml:space="preserve">Section 5.6 </w:t>
      </w:r>
      <w:r>
        <w:rPr>
          <w:rFonts w:ascii="Times New Roman" w:hAnsi="Times New Roman"/>
          <w:sz w:val="20"/>
          <w:u w:val="single"/>
        </w:rPr>
        <w:t>Parent Legacy Transaction</w:t>
      </w:r>
      <w:r>
        <w:rPr>
          <w:rFonts w:ascii="Times New Roman" w:hAnsi="Times New Roman"/>
          <w:sz w:val="20"/>
        </w:rPr>
        <w:t xml:space="preserve">. Each Party acknowledges that Parent may, in contemplation of any Parent Legacy Transaction, (a) establish one or more Subsidiaries to hold assets relating to the Parent Legacy Business, (b) transfer to any such Subsidiary any or all of such assets and the liabilities and obligations related thereto and (c) take such other steps that are reasonably necessary to prepare for any Parent Legacy Transaction. For clarity, if Parent transfers any assets relating to the Parent Legacy Business to one or more Subsidiaries, the terms of </w:t>
      </w:r>
      <w:r>
        <w:rPr>
          <w:rFonts w:ascii="Times New Roman" w:hAnsi="Times New Roman"/>
          <w:sz w:val="20"/>
          <w:u w:val="single"/>
        </w:rPr>
        <w:t>Section 5.1(c)</w:t>
      </w:r>
      <w:r>
        <w:rPr>
          <w:rFonts w:ascii="Times New Roman" w:hAnsi="Times New Roman"/>
          <w:sz w:val="20"/>
        </w:rPr>
        <w:t xml:space="preserve"> and this </w:t>
      </w:r>
      <w:r>
        <w:rPr>
          <w:rFonts w:ascii="Times New Roman" w:hAnsi="Times New Roman"/>
          <w:sz w:val="20"/>
          <w:u w:val="single"/>
        </w:rPr>
        <w:t>Section 5.6</w:t>
      </w:r>
      <w:r>
        <w:rPr>
          <w:rFonts w:ascii="Times New Roman" w:hAnsi="Times New Roman"/>
          <w:sz w:val="20"/>
        </w:rPr>
        <w:t xml:space="preserve"> shall apply to such Subsidiaries in addition to Parent. Each Party further acknowledges that Parent may not be successful in completing, or may determine not to proceed with, any Parent Legacy Transaction. </w:t>
      </w:r>
    </w:p>
    <w:p>
      <w:pPr>
        <w:pStyle w:val="TextBody"/>
        <w:bidi w:val="0"/>
        <w:spacing w:before="240" w:after="0"/>
        <w:jc w:val="center"/>
        <w:rPr>
          <w:rFonts w:ascii="Times New Roman" w:hAnsi="Times New Roman"/>
          <w:sz w:val="22"/>
        </w:rPr>
      </w:pPr>
      <w:bookmarkStart w:id="180" w:name="annextoc108148_78"/>
      <w:bookmarkEnd w:id="180"/>
      <w:r>
        <w:rPr>
          <w:rFonts w:ascii="Times New Roman" w:hAnsi="Times New Roman"/>
          <w:sz w:val="22"/>
        </w:rPr>
        <w:t xml:space="preserve">ARTICLE VI. </w:t>
      </w:r>
    </w:p>
    <w:p>
      <w:pPr>
        <w:pStyle w:val="TextBody"/>
        <w:bidi w:val="0"/>
        <w:spacing w:before="120" w:after="0"/>
        <w:jc w:val="center"/>
        <w:rPr>
          <w:rFonts w:ascii="Times New Roman" w:hAnsi="Times New Roman"/>
          <w:sz w:val="22"/>
        </w:rPr>
      </w:pPr>
      <w:r>
        <w:rPr>
          <w:rFonts w:ascii="Times New Roman" w:hAnsi="Times New Roman"/>
          <w:sz w:val="22"/>
        </w:rPr>
        <w:t xml:space="preserve">ADDITIONAL AGREEMENTS OF THE PARTIES </w:t>
      </w:r>
    </w:p>
    <w:p>
      <w:pPr>
        <w:pStyle w:val="TextBody"/>
        <w:bidi w:val="0"/>
        <w:spacing w:before="240" w:after="0"/>
        <w:jc w:val="left"/>
        <w:rPr>
          <w:rFonts w:ascii="Times New Roman" w:hAnsi="Times New Roman"/>
          <w:sz w:val="20"/>
        </w:rPr>
      </w:pPr>
      <w:bookmarkStart w:id="181" w:name="annextoc108148_79"/>
      <w:bookmarkEnd w:id="181"/>
      <w:r>
        <w:rPr>
          <w:rFonts w:ascii="Times New Roman" w:hAnsi="Times New Roman"/>
          <w:sz w:val="20"/>
        </w:rPr>
        <w:t xml:space="preserve">Section 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promptly as practicable after the date of this Agreement (but subject to the Company’s timely delivery of the Company Required S-4 Information in accordance with this </w:t>
      </w:r>
      <w:r>
        <w:rPr>
          <w:rFonts w:ascii="Times New Roman" w:hAnsi="Times New Roman"/>
          <w:sz w:val="20"/>
          <w:u w:val="single"/>
        </w:rPr>
        <w:t>Section 6.1</w:t>
      </w:r>
      <w:r>
        <w:rPr>
          <w:rFonts w:ascii="Times New Roman" w:hAnsi="Times New Roman"/>
          <w:sz w:val="20"/>
        </w:rPr>
        <w:t xml:space="preserve">), Parent, in cooperation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a proxy statement relating to the Parent Stockholder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Registration Statement no later than 30 Business Days following the date hereof; </w:t>
      </w:r>
      <w:r>
        <w:rPr>
          <w:rFonts w:ascii="Times New Roman" w:hAnsi="Times New Roman"/>
          <w:sz w:val="20"/>
          <w:u w:val="single"/>
        </w:rPr>
        <w:t>provided</w:t>
      </w:r>
      <w:r>
        <w:rPr>
          <w:rFonts w:ascii="Times New Roman" w:hAnsi="Times New Roman"/>
          <w:sz w:val="20"/>
        </w:rPr>
        <w:t xml:space="preserve">, that such 30 Business Day period shall be extended on a day-for-day basis to the extent the Company has failed to provide the Company Required S-4 Information reasonably required to be provided by or on behalf of the Company pursuant to </w:t>
      </w:r>
      <w:r>
        <w:rPr>
          <w:rFonts w:ascii="Times New Roman" w:hAnsi="Times New Roman"/>
          <w:sz w:val="20"/>
          <w:u w:val="single"/>
        </w:rPr>
        <w:t>Section 6.1(d)</w:t>
      </w:r>
      <w:r>
        <w:rPr>
          <w:rFonts w:ascii="Times New Roman" w:hAnsi="Times New Roman"/>
          <w:sz w:val="20"/>
        </w:rPr>
        <w:t xml:space="preserve"> or any other information reasonably requested by Parent for inclusion in the Registration Statement at least 10 days prior to the end of such 30 Business Day period. </w:t>
      </w:r>
    </w:p>
    <w:p>
      <w:pPr>
        <w:pStyle w:val="TextBody"/>
        <w:bidi w:val="0"/>
        <w:spacing w:before="24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(i) will comply as to form in all material respects with the requirements of applicable U.S. federal securities laws and the DGCL,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If at any time before the Effective Time, (i) Parent,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Parent and provide, and cause its Representatives to provide, at the Company’s sole expense, Parent and its Representatives, with all true, correct and complete information regarding the Company that is required by Law to be included in the Registration Statement or reasonably requested by Parent to be included in the Registration Statement (including financial statements, management representation letters, accountants’ consent letters, and such other information or documents as may be required for inclusion in or in connection with the Registration Statement or any other filings with the SEC) (collectively, the “</w:t>
      </w:r>
      <w:r>
        <w:rPr>
          <w:rFonts w:ascii="Times New Roman" w:hAnsi="Times New Roman"/>
          <w:b/>
          <w:sz w:val="20"/>
        </w:rPr>
        <w:t>Company Required S-4 Information</w:t>
      </w:r>
      <w:r>
        <w:rPr>
          <w:rFonts w:ascii="Times New Roman" w:hAnsi="Times New Roman"/>
          <w:sz w:val="20"/>
        </w:rPr>
        <w:t xml:space="preserve">”) in connection with (i) Parent’s preparation of the Registration Statement, any amendments or supplements thereto, and any other filings with the SEC required in connection with the Contemplated Transactions, (ii) the preparation of any pro forma or other financial information required to be included in the Registration Statement or any such filing, and (iii) Parent’s efforts to cause the Registration Statement to comply with applicable Law and the rules and regulations of the SEC. Without limiting the foregoing, the Company will use commercially reasonable efforts to cause to be delivered to Parent a consent letter of the Company’s independent accounting firm, dated no later than one Business Day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Parent has included the Company Required S-4 Information in the Registration Statement in substantially the same form as it was provided to Parent by the Company pursuant to this </w:t>
      </w: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During the Pre-Closing Period, in the event the SEC has comments, questions or requests relating to any information supplied by or on behalf of the Company for inclusion in the Registration Statement, or any other Company information contained or referenced therein, the Company shall use commercially reasonable efforts to reasonably assist and cooperate, and to cause its independent accountants (if any) and other Representatives to assist and cooperate, with Parent and the SEC to resolve any such comments, questions or requests, and to take such commercially reasonable actions with respect to any such information as are necessary for Parent to satisfy its filing and disclosure obligations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Agreement, Parent shall not be deemed to be in breach of any of its obligations under this </w:t>
      </w:r>
      <w:r>
        <w:rPr>
          <w:rFonts w:ascii="Times New Roman" w:hAnsi="Times New Roman"/>
          <w:sz w:val="20"/>
          <w:u w:val="single"/>
        </w:rPr>
        <w:t>Section 6.1</w:t>
      </w:r>
      <w:r>
        <w:rPr>
          <w:rFonts w:ascii="Times New Roman" w:hAnsi="Times New Roman"/>
          <w:sz w:val="20"/>
        </w:rPr>
        <w:t xml:space="preserve"> (including its obligations with respect to the filing, effectiveness or mailing of the Registration Statement or Proxy Statement) to the extent that any delay or failure to satisfy such obligations is caused by or results from (i) the Company’s failure to timely provide the Company Required S-4 Information or any other information required by applicable Law or reasonably requested by Parent for inclusion in or in connection with the Registration Statement or Proxy Statement, (ii) the Company’s failure, or the failure of the Company’s independent accountants (if any) or other Representatives, to timely respond to or cooperate with Parent or the SEC with respect to comments, questions or requests relating to information supplied by or on behalf of the Company, or (iii) the Company’s failure to otherwise cooperate with Parent as required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For the avoidance of doubt, any such delay or failure described in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shall not give rise to a right of termination by the Company under </w:t>
      </w:r>
      <w:r>
        <w:rPr>
          <w:rFonts w:ascii="Times New Roman" w:hAnsi="Times New Roman"/>
          <w:sz w:val="20"/>
          <w:u w:val="single"/>
        </w:rPr>
        <w:t>Section 10.1</w:t>
      </w:r>
      <w:r>
        <w:rPr>
          <w:rFonts w:ascii="Times New Roman" w:hAnsi="Times New Roman"/>
          <w:sz w:val="20"/>
        </w:rPr>
        <w:t xml:space="preserve">, and shall not constitute a failure by Parent to satisfy any condition set forth in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2" w:name="annextoc108148_80"/>
      <w:bookmarkEnd w:id="182"/>
      <w:r>
        <w:rPr>
          <w:rFonts w:ascii="Times New Roman" w:hAnsi="Times New Roman"/>
          <w:sz w:val="20"/>
        </w:rPr>
        <w:t xml:space="preserve">Section 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Contemporaneously with the consummation of the Series A Financing or any sale of Company Capital Stock issued pursuant to this Agreement following the date of this Agreement, the Company shall obtain and deliver to Parent executed copies of the Company Stockholder Support Agreements from such Company stockholders collectively constituting the Required Company Stockholder Vote as of such date; </w:t>
      </w:r>
      <w:r>
        <w:rPr>
          <w:rFonts w:ascii="Times New Roman" w:hAnsi="Times New Roman"/>
          <w:sz w:val="20"/>
          <w:u w:val="single"/>
        </w:rPr>
        <w:t>provided</w:t>
      </w:r>
      <w:r>
        <w:rPr>
          <w:rFonts w:ascii="Times New Roman" w:hAnsi="Times New Roman"/>
          <w:sz w:val="20"/>
        </w:rPr>
        <w:t xml:space="preserve"> that the Company shall not be obligated to obtain and deliver to Parent executed copies of Company Stockholder Support Agreements from Company stockholders that previously executed and provided to Parent a copy of the Company Stockholder Support Agreement. Promptly after the Registration Statement has been declared effective under the Securities Act, and in any event no later than two Business Days thereafter, the Company shall obtain the approval by written consent from Company stockholders sufficient for the Required Company Stockholder Vote in lieu of a meeting pursuant to Section 228 of the DGCL, in substantially the form attached hereto as </w:t>
      </w:r>
      <w:r>
        <w:rPr>
          <w:rFonts w:ascii="Times New Roman" w:hAnsi="Times New Roman"/>
          <w:sz w:val="20"/>
          <w:u w:val="single"/>
        </w:rPr>
        <w:t>Exhibit E</w:t>
      </w:r>
      <w:r>
        <w:rPr>
          <w:rFonts w:ascii="Times New Roman" w:hAnsi="Times New Roman"/>
          <w:sz w:val="20"/>
        </w:rPr>
        <w:t>,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Reasonably promptly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Contemplated Transactions and shall use reasonable best efforts to solicit such approval within the time set forth in </w:t>
      </w:r>
      <w:r>
        <w:rPr>
          <w:rFonts w:ascii="Times New Roman" w:hAnsi="Times New Roman"/>
          <w:sz w:val="20"/>
          <w:u w:val="single"/>
        </w:rPr>
        <w:t>Section 6.2(a)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and (iii) the Company Board shall not make any “Company Board Adverse Recommendation Change” (i.e., any withholding, amendment, withdrawal or modification of the Company Board Recommendation in a manner adverse to Parent). </w:t>
      </w:r>
    </w:p>
    <w:p>
      <w:pPr>
        <w:pStyle w:val="TextBody"/>
        <w:bidi w:val="0"/>
        <w:spacing w:before="240" w:after="0"/>
        <w:jc w:val="left"/>
        <w:rPr>
          <w:rFonts w:ascii="Times New Roman" w:hAnsi="Times New Roman"/>
          <w:sz w:val="20"/>
        </w:rPr>
      </w:pPr>
      <w:r>
        <w:rPr>
          <w:rFonts w:ascii="Times New Roman" w:hAnsi="Times New Roman"/>
          <w:sz w:val="20"/>
        </w:rPr>
        <w:t xml:space="preserve">(d) The Company’s obligation to solicit the consent of its stockholders to sign the Company Stockholder Written Consent in accordance with </w:t>
      </w:r>
      <w:r>
        <w:rPr>
          <w:rFonts w:ascii="Times New Roman" w:hAnsi="Times New Roman"/>
          <w:sz w:val="20"/>
          <w:u w:val="single"/>
        </w:rPr>
        <w:t>Section 6.2(a)</w:t>
      </w:r>
      <w:r>
        <w:rPr>
          <w:rFonts w:ascii="Times New Roman" w:hAnsi="Times New Roman"/>
          <w:sz w:val="20"/>
        </w:rPr>
        <w:t xml:space="preserve"> shall not be limited, conditioned, delayed or otherwise affected by any event, circumstance, development, change, occurrence or other matter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3" w:name="annextoc108148_81"/>
      <w:bookmarkEnd w:id="183"/>
      <w:r>
        <w:rPr>
          <w:rFonts w:ascii="Times New Roman" w:hAnsi="Times New Roman"/>
          <w:sz w:val="20"/>
        </w:rPr>
        <w:t xml:space="preserve">Section 6.3 </w:t>
      </w:r>
      <w:r>
        <w:rPr>
          <w:rFonts w:ascii="Times New Roman" w:hAnsi="Times New Roman"/>
          <w:sz w:val="20"/>
          <w:u w:val="single"/>
        </w:rPr>
        <w:t>Parent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to consider and vote to approve (I)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w:t>
      </w:r>
      <w:r>
        <w:rPr>
          <w:rFonts w:ascii="Times New Roman" w:hAnsi="Times New Roman"/>
          <w:sz w:val="20"/>
          <w:u w:val="single"/>
        </w:rPr>
        <w:t> clause (ii)</w:t>
      </w:r>
      <w:r>
        <w:rPr>
          <w:rFonts w:ascii="Times New Roman" w:hAnsi="Times New Roman"/>
          <w:sz w:val="20"/>
        </w:rPr>
        <w:t xml:space="preserve"> (</w:t>
      </w:r>
      <w:r>
        <w:rPr>
          <w:rFonts w:ascii="Times New Roman" w:hAnsi="Times New Roman"/>
          <w:i/>
          <w:sz w:val="20"/>
        </w:rPr>
        <w:t>Nasdaq Reverse Split</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w:t>
      </w:r>
      <w:r>
        <w:rPr>
          <w:rFonts w:ascii="Times New Roman" w:hAnsi="Times New Roman"/>
          <w:i/>
          <w:sz w:val="20"/>
        </w:rPr>
        <w:t>Increase in Authorized Shares</w:t>
      </w:r>
      <w:r>
        <w:rPr>
          <w:rFonts w:ascii="Times New Roman" w:hAnsi="Times New Roman"/>
          <w:sz w:val="20"/>
        </w:rPr>
        <w:t>) of the definition of “Parent Charter Amendment” (collectively, the “</w:t>
      </w:r>
      <w:r>
        <w:rPr>
          <w:rFonts w:ascii="Times New Roman" w:hAnsi="Times New Roman"/>
          <w:b/>
          <w:sz w:val="20"/>
        </w:rPr>
        <w:t>Parent Stockholder Matters</w:t>
      </w:r>
      <w:r>
        <w:rPr>
          <w:rFonts w:ascii="Times New Roman" w:hAnsi="Times New Roman"/>
          <w:sz w:val="20"/>
        </w:rPr>
        <w:t>” and such meeting, the “</w:t>
      </w:r>
      <w:r>
        <w:rPr>
          <w:rFonts w:ascii="Times New Roman" w:hAnsi="Times New Roman"/>
          <w:b/>
          <w:sz w:val="20"/>
        </w:rPr>
        <w:t>Parent Stockholder Meeting</w:t>
      </w:r>
      <w:r>
        <w:rPr>
          <w:rFonts w:ascii="Times New Roman" w:hAnsi="Times New Roman"/>
          <w:sz w:val="20"/>
        </w:rPr>
        <w:t xml:space="preserve">”). The Parent Stockholder Meeting shall be held as promptly as practicable after the date that the Registration Statement is declared effective under the Securities Act, and in any event, no later than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Required Parent Stockholder Vote, whether or not a quorum would be present, (ii) it will not have sufficient shares of Parent Common Stock represented (whether in person or by proxy) to constitute a quorum necessary to conduct the business of the Parent Stockholder Meeting, (iii) that the failure to postpone or adjourn the Parent Stockholder Meeting would reasonably be expected to be inconsistent with its fiduciary obligations under applicable Law, (iv) a post-effective amendment to the Registration Statement has been filed with the SEC and has not yet been declared effective, or (v) the Nasdaq Listing Application has not yet received at least conditional approval from Nasdaq, Parent may postpone or adjourn, or make one or more successive postponements or adjournments of, the Parent Stockholder Meeting as long as the date of the Parent Stockholder Meeting is not postponed or adjourned more than an aggregate of 45 days in connection with any postponements or adjournments. </w:t>
      </w:r>
    </w:p>
    <w:p>
      <w:pPr>
        <w:pStyle w:val="TextBody"/>
        <w:bidi w:val="0"/>
        <w:spacing w:before="120" w:after="0"/>
        <w:jc w:val="left"/>
        <w:rPr>
          <w:rFonts w:ascii="Times New Roman" w:hAnsi="Times New Roman"/>
          <w:sz w:val="20"/>
        </w:rPr>
      </w:pPr>
      <w:r>
        <w:rPr>
          <w:rFonts w:ascii="Times New Roman" w:hAnsi="Times New Roman"/>
          <w:sz w:val="20"/>
        </w:rPr>
        <w:t xml:space="preserve">(b) Parent agrees that (i) the Parent Board shall recommend that the holders of Parent Common Stock vote to approve the Parent Stockholder Matters and shall use commercially reasonable efforts to solicit such approval within the timeframe set forth in </w:t>
      </w:r>
      <w:r>
        <w:rPr>
          <w:rFonts w:ascii="Times New Roman" w:hAnsi="Times New Roman"/>
          <w:sz w:val="20"/>
          <w:u w:val="single"/>
        </w:rPr>
        <w:t>Section 6.3(a)</w:t>
      </w:r>
      <w:r>
        <w:rPr>
          <w:rFonts w:ascii="Times New Roman" w:hAnsi="Times New Roman"/>
          <w:sz w:val="20"/>
        </w:rPr>
        <w:t xml:space="preserve"> above and (ii) the Proxy Statement shall include a statement to the effect that the Parent Board recommends that Parent’s stockholders vote to approve the Parent Stockholder Matters (the recommendation of the Parent Board being referred to as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6.3(b)</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the Parent Board may withhold, amend, withdraw or modify the Parent Board Recommendation (or publicly propose to withhold, amend, withdraw or modify the Parent Board Recommendation) in a manner adverse to the Company (a “</w:t>
      </w:r>
      <w:r>
        <w:rPr>
          <w:rFonts w:ascii="Times New Roman" w:hAnsi="Times New Roman"/>
          <w:b/>
          <w:sz w:val="20"/>
        </w:rPr>
        <w:t>Parent Board Adverse Recommendation Change</w:t>
      </w:r>
      <w:r>
        <w:rPr>
          <w:rFonts w:ascii="Times New Roman" w:hAnsi="Times New Roman"/>
          <w:sz w:val="20"/>
        </w:rPr>
        <w:t>”) if, at any time prior to approval and adoption of this Agreement by the Required Parent Stockholder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hAnsi="Times New Roman"/>
          <w:b/>
          <w:sz w:val="20"/>
        </w:rPr>
        <w:t>Parent Intervening Event</w:t>
      </w:r>
      <w:r>
        <w:rPr>
          <w:rFonts w:ascii="Times New Roman" w:hAnsi="Times New Roman"/>
          <w:sz w:val="20"/>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(1) the Company receives written notice from Parent confirming that the Parent Board has determined to change its recommendation at least four Business Days in advance of the Parent Board Adverse Recommendation Change (the “</w:t>
      </w:r>
      <w:r>
        <w:rPr>
          <w:rFonts w:ascii="Times New Roman" w:hAnsi="Times New Roman"/>
          <w:b/>
          <w:sz w:val="20"/>
        </w:rPr>
        <w:t>Parent Notice Period</w:t>
      </w:r>
      <w:r>
        <w:rPr>
          <w:rFonts w:ascii="Times New Roman" w:hAnsi="Times New Roman"/>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stockholders would receive as a result of such potential Superior Offer), Parent shall be required to provide the Company with notice of such material amendment and the Parent Notice Period shall be extended, if applicable, to ensure that at least three Business Days remain in the Parent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(d) Parent’s obligation to call, give notice of and hold the Parent Stockholder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Acquisition Proposal or Acquisition Inquiry, or by any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(i)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hAnsi="Times New Roman"/>
          <w:sz w:val="20"/>
          <w:u w:val="single"/>
        </w:rPr>
        <w:t>Section 5.4</w:t>
      </w:r>
      <w:r>
        <w:rPr>
          <w:rFonts w:ascii="Times New Roman" w:hAnsi="Times New Roman"/>
          <w:sz w:val="20"/>
        </w:rPr>
        <w:t xml:space="preserve">; or (iv) making any disclosure that the Parent Board (or a committee thereof), after consultation with its outside legal counsel, has determined in good faith is required by applicable Law or by any listing or trading rules or regulations of Nasdaq; </w:t>
      </w:r>
      <w:r>
        <w:rPr>
          <w:rFonts w:ascii="Times New Roman" w:hAnsi="Times New Roman"/>
          <w:sz w:val="20"/>
          <w:u w:val="single"/>
        </w:rPr>
        <w:t>provided</w:t>
      </w:r>
      <w:r>
        <w:rPr>
          <w:rFonts w:ascii="Times New Roman" w:hAnsi="Times New Roman"/>
          <w:sz w:val="20"/>
        </w:rPr>
        <w:t xml:space="preserve"> that, in the case of (iv), Parent shall provide the Company with a reasonable opportunity to review any such disclosure not less than two Business Days prior to the making thereof (to the extent practicable) and shall consider in good faith any comments from the Company thereto. </w:t>
      </w:r>
    </w:p>
    <w:p>
      <w:pPr>
        <w:pStyle w:val="TextBody"/>
        <w:bidi w:val="0"/>
        <w:spacing w:before="240" w:after="0"/>
        <w:jc w:val="left"/>
        <w:rPr>
          <w:rFonts w:ascii="Times New Roman" w:hAnsi="Times New Roman"/>
          <w:sz w:val="20"/>
        </w:rPr>
      </w:pPr>
      <w:bookmarkStart w:id="184" w:name="annextoc108148_82"/>
      <w:bookmarkEnd w:id="184"/>
      <w:r>
        <w:rPr>
          <w:rFonts w:ascii="Times New Roman" w:hAnsi="Times New Roman"/>
          <w:sz w:val="20"/>
        </w:rPr>
        <w:t xml:space="preserve">Section 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commercially reasonable efforts to obtain all regulatory approvals required by applicable Law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generality of the foregoing, each Party shall use reasonable best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if required, the Parties shall prepare and file the notification and report forms required to be filed under the HSR Act and any notification or other document required to be filed in connection with the Merger under any applicable foreign Law relating to antitrust or competition matters (promptly, but in no event later than 10 Business Days, after the date of this Agreement). The Parties shall request early termination of the waiting period under the HSR Act and shall use reasonable best efforts to obtain any necessary approvals under applicable antitrust Laws. Notwithstanding anything to the contrary in this Agreement, the Company shall take, and shall cause its Affiliates to take, any and all reasonable best steps necessary to avoid or eliminate each and every impediment that may be asserted under the HSR Act or any other antitrust or competition Laws so as to enable the Parties to consummate the Contemplated Transactions as promptly as practicable. In furtherance of the foregoing, the Company shall not, and shall cause its Affiliates not to, acquire or agree to acquire any business, Entity or assets if doing so would reasonably be expected to (i) impose any material delay in obtaining, or materially increase the risk of not obtaining, any consent, approval or clearance necessary to consummate the Contemplated Transactions under the HSR Act or any other antitrust or competition Laws, or (ii) otherwise prevent or materially delay the consummation of the Contemplated Transactions. The Company and Parent shall bear equally all filing fees, costs and expenses incurred in connection with any filings or submissions made under the HSR Act and any other applicable antitrust or competition Laws.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Parent shall keep the Company reasonably informed regarding any litigation against Parent and/or its directors relating to this Agreement or the Contemplated Transactions (“</w:t>
      </w:r>
      <w:r>
        <w:rPr>
          <w:rFonts w:ascii="Times New Roman" w:hAnsi="Times New Roman"/>
          <w:b/>
          <w:sz w:val="20"/>
        </w:rPr>
        <w:t>Transaction Litigation</w:t>
      </w:r>
      <w:r>
        <w:rPr>
          <w:rFonts w:ascii="Times New Roman" w:hAnsi="Times New Roman"/>
          <w:sz w:val="20"/>
        </w:rPr>
        <w:t xml:space="preserve">”), and shall promptly advise the Company of the initiation of, and keep the Company reasonably apprised of any material developments in connection with, any such Transaction Litigation. Prior to the Closing, Parent shall have the right to control the defense of any Transaction Litigation, but shall reasonably consult with the Company and consider in good faith any advice from the Company and its Representatives with respect to such Transaction Litigation. The Company shall promptly advise Parent of the initiation of, and keep Parent reasonably apprised of any material developments in connection with, any Legal Proceeding against the Company and/or its directors or officers relating to this Agreement or the Contemplated Transactions. Each Party shall cooperate with the other Party in the defense of any such Transaction Litigation, including by providing access to relevant documents and making its officers and other Representatives reasonably available. Neither Party shall settle, compromise or offer to settle any Transaction Litigation without the prior written consent of the other Party (such consent not to be unreasonably withheld, conditioned or delayed). </w:t>
      </w:r>
    </w:p>
    <w:p>
      <w:pPr>
        <w:pStyle w:val="TextBody"/>
        <w:bidi w:val="0"/>
        <w:spacing w:before="240" w:after="0"/>
        <w:jc w:val="left"/>
        <w:rPr>
          <w:rFonts w:ascii="Times New Roman" w:hAnsi="Times New Roman"/>
          <w:sz w:val="20"/>
        </w:rPr>
      </w:pPr>
      <w:bookmarkStart w:id="185" w:name="annextoc108148_83"/>
      <w:bookmarkEnd w:id="185"/>
      <w:r>
        <w:rPr>
          <w:rFonts w:ascii="Times New Roman" w:hAnsi="Times New Roman"/>
          <w:sz w:val="20"/>
        </w:rPr>
        <w:t xml:space="preserve">Section 6.5 </w:t>
      </w:r>
      <w:r>
        <w:rPr>
          <w:rFonts w:ascii="Times New Roman" w:hAnsi="Times New Roman"/>
          <w:sz w:val="20"/>
          <w:u w:val="single"/>
        </w:rPr>
        <w:t>Company Options; Company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Parent shall assume each Company Stock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Parent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Parent Board or compensation committee). The number of shares of Parent Common Stock subject to each such Assumed Option shall be equal to (i) the number of shares of Company Common Stock subject to the respective Company Option immediately prior to the Effective Time multiplied by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divided by (B) the Exchange Ratio; </w:t>
      </w:r>
      <w:r>
        <w:rPr>
          <w:rFonts w:ascii="Times New Roman" w:hAnsi="Times New Roman"/>
          <w:sz w:val="20"/>
          <w:u w:val="single"/>
        </w:rPr>
        <w:t>provided</w:t>
      </w:r>
      <w:r>
        <w:rPr>
          <w:rFonts w:ascii="Times New Roman" w:hAnsi="Times New Roman"/>
          <w:sz w:val="20"/>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Assumed Option to which Section 409A of the Code applies as of the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(b) At the Effective Time, each Company Warrant (including any pre-funded Company Warrant issued pursuant to the Company Pre-Closing Financing), whether vested or unvested, that is outstanding immediately prior to the Effective Time shall, at the Effective Time, cease to represent a right to acquire shares of Company Capital Stock and shall be converted, at the Effective Time, into a warrant to purchase shares of Parent Common Stock (an “</w:t>
      </w:r>
      <w:r>
        <w:rPr>
          <w:rFonts w:ascii="Times New Roman" w:hAnsi="Times New Roman"/>
          <w:b/>
          <w:sz w:val="20"/>
        </w:rPr>
        <w:t>Assumed Warrant</w:t>
      </w:r>
      <w:r>
        <w:rPr>
          <w:rFonts w:ascii="Times New Roman" w:hAnsi="Times New Roman"/>
          <w:sz w:val="20"/>
        </w:rPr>
        <w:t xml:space="preserve">”), on the same terms and conditions (including any vesting provisions and any provisions providing for accelerated vesting upon certain events) as were applicable under such Assumed Warrant as of immediately prior to the Effective Time. The number of shares of Parent Common Stock subject to each such Assumed Warrant shall be equal to (i) the number of shares of the Company Common Stock subject to each Assumed Warrant immediately prior to the Effective Time (determined on an as-converted basis for any Company Warrant representing the right to acquire Company Preferred Stock)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Effective Time divided by (B) the Exchange Ratio. </w:t>
      </w:r>
    </w:p>
    <w:p>
      <w:pPr>
        <w:pStyle w:val="TextBody"/>
        <w:bidi w:val="0"/>
        <w:spacing w:before="240" w:after="0"/>
        <w:jc w:val="left"/>
        <w:rPr>
          <w:rFonts w:ascii="Times New Roman" w:hAnsi="Times New Roman"/>
          <w:sz w:val="20"/>
        </w:rPr>
      </w:pPr>
      <w:bookmarkStart w:id="186" w:name="annextoc108148_84"/>
      <w:bookmarkEnd w:id="186"/>
      <w:r>
        <w:rPr>
          <w:rFonts w:ascii="Times New Roman" w:hAnsi="Times New Roman"/>
          <w:sz w:val="20"/>
        </w:rPr>
        <w:t xml:space="preserve">Section 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comply with the terms of any Parent Employee Plan or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w:t>
      </w:r>
      <w:r>
        <w:rPr>
          <w:rFonts w:ascii="Times New Roman" w:hAnsi="Times New Roman"/>
          <w:sz w:val="20"/>
          <w:u w:val="single"/>
        </w:rPr>
        <w:t>Section 5.1(b)</w:t>
      </w:r>
      <w:r>
        <w:rPr>
          <w:rFonts w:ascii="Times New Roman" w:hAnsi="Times New Roman"/>
          <w:sz w:val="20"/>
        </w:rPr>
        <w:t xml:space="preserve"> of the Parent Disclosure Letter, subject to the provisions of such plans or agreements, and the parties acknowledge and agree that the Merger shall constitute a “change in control” (or term of similar import) of Parent under each such Parent Employee Plan or agreement. The parties acknowledge and agree that the Merger shall not constitute a “change in control” (or term of similar import)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(b) From and after the Effective Time, with respect to each benefit plan maintained by Parent or the Surviving Corporation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Parent is or becomes eligible to participate (including under COBRA), Parent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provide each such current or former Parent employee and his or her eligible dependents with credit for any co-payments and deductibles paid in the plan year that includes the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Following the Effective Time, Parent shall use commercially reasonable efforts to maintain and keep active each Parent Employee Plan set forth on </w:t>
      </w:r>
      <w:r>
        <w:rPr>
          <w:rFonts w:ascii="Times New Roman" w:hAnsi="Times New Roman"/>
          <w:sz w:val="20"/>
          <w:u w:val="single"/>
        </w:rPr>
        <w:t>Section 6.6(b)</w:t>
      </w:r>
      <w:r>
        <w:rPr>
          <w:rFonts w:ascii="Times New Roman" w:hAnsi="Times New Roman"/>
          <w:sz w:val="20"/>
        </w:rPr>
        <w:t xml:space="preserve"> of the Parent Disclosure Letter in accordance with the terms set forth on </w:t>
      </w:r>
      <w:r>
        <w:rPr>
          <w:rFonts w:ascii="Times New Roman" w:hAnsi="Times New Roman"/>
          <w:sz w:val="20"/>
          <w:u w:val="single"/>
        </w:rPr>
        <w:t>Section 6.6(b)</w:t>
      </w:r>
      <w:r>
        <w:rPr>
          <w:rFonts w:ascii="Times New Roman" w:hAnsi="Times New Roman"/>
          <w:sz w:val="20"/>
        </w:rPr>
        <w:t xml:space="preserve"> of the Parent Disclosure Letter (the out-of-pocket expense to be incurred by Parent as a result of the continued maintenance of such Parent Employee Plans, if any, as mutually agreed by the Company and Parent in writing no less than three Business Days prior to the Closing Date, which is referred to herein as the “</w:t>
      </w:r>
      <w:r>
        <w:rPr>
          <w:rFonts w:ascii="Times New Roman" w:hAnsi="Times New Roman"/>
          <w:b/>
          <w:sz w:val="20"/>
        </w:rPr>
        <w:t>Post-Closing Welfare Plan Continuation Expense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401(k) Plan</w:t>
      </w:r>
      <w:r>
        <w:rPr>
          <w:rFonts w:ascii="Times New Roman" w:hAnsi="Times New Roman"/>
          <w:sz w:val="20"/>
        </w:rPr>
        <w:t>. Unless directed otherwise by the Company in writing no less than three Business Days before the Closing Date, Parent shall have, at least one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hAnsi="Times New Roman"/>
          <w:b/>
          <w:sz w:val="20"/>
        </w:rPr>
        <w:t>401(k) Plans</w:t>
      </w:r>
      <w:r>
        <w:rPr>
          <w:rFonts w:ascii="Times New Roman" w:hAnsi="Times New Roman"/>
          <w:sz w:val="20"/>
        </w:rPr>
        <w:t xml:space="preserve">”)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day prior to the Closing Date. Parent shall provide the Company copies of all such corporate actions or documentation related to the same at least three Business Days before their adoption or approval for the Company’s reasonable review and comment.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Options</w:t>
      </w:r>
      <w:r>
        <w:rPr>
          <w:rFonts w:ascii="Times New Roman" w:hAnsi="Times New Roman"/>
          <w:sz w:val="20"/>
        </w:rPr>
        <w:t xml:space="preserve">. At the Effective Time, each Cancelled Parent Option that is then outstanding shall be cancelled for no consideration. At and following the Effective Time, each Continuing Parent Option shall remain outstanding and exercisable in accordance with its terms as in effect as of immediately prior to the Effective Time (taking into account any equitable adjustment made to each Continuing Parent Option to reflect the Parent Pre-Closing Dividend). Prior to the Closing, the Parent Board shall have adopted appropriate resolutions and taken all other actions reasonably necessary and appropriate to provide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shall adopt appropriate resolutions to provide that (i) no new offering periods under the Parent ESPP shall be commenced following or in addition to the offering periods underway as of the date of this Agreement (the “</w:t>
      </w:r>
      <w:r>
        <w:rPr>
          <w:rFonts w:ascii="Times New Roman" w:hAnsi="Times New Roman"/>
          <w:b/>
          <w:sz w:val="20"/>
        </w:rPr>
        <w:t>Current Offering Periods</w:t>
      </w:r>
      <w:r>
        <w:rPr>
          <w:rFonts w:ascii="Times New Roman" w:hAnsi="Times New Roman"/>
          <w:sz w:val="20"/>
        </w:rPr>
        <w:t xml:space="preserve">”), (ii) no payroll deductions or other contributions shall be made or effected after the completion of the Current Offering Periods with respect to the Parent ESPP, (iii) no individual who is not participating in the Parent ESPP as of the date of this Agreement may commence participation therein, (iv) no participant may increase his or her rate of payroll contributions under the Parent ESPP from the rate in effect as of the date of this Agreement, and (iv) if any Current Offering Period would otherwise still be in effect at the Effective Time, then the last day (and purchase date) of such Current Offering Period shall be accelerated to a date determined by the Parent Board that is prior to the Closing Date. </w:t>
      </w:r>
    </w:p>
    <w:p>
      <w:pPr>
        <w:pStyle w:val="TextBody"/>
        <w:bidi w:val="0"/>
        <w:spacing w:before="240" w:after="0"/>
        <w:jc w:val="left"/>
        <w:rPr>
          <w:rFonts w:ascii="Times New Roman" w:hAnsi="Times New Roman"/>
          <w:sz w:val="20"/>
        </w:rPr>
      </w:pPr>
      <w:bookmarkStart w:id="187" w:name="annextoc108148_85"/>
      <w:bookmarkEnd w:id="187"/>
      <w:r>
        <w:rPr>
          <w:rFonts w:ascii="Times New Roman" w:hAnsi="Times New Roman"/>
          <w:sz w:val="20"/>
        </w:rPr>
        <w:t xml:space="preserve">Section 6.7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Effective Time through the sixth anniversary of the date on which the Effective Time occurs, each of Parent and the Surviving Corporation shall indemnify and hold harmless each person who is now, or has been at any time prior to the date hereof, or who becomes prior to the Effective Time, a director or officer of Parent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xml:space="preserve">”), incurred in connection with any claim, action, suit, proceeding or investigation,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civil, criminal, administrative or investigative, arising out of or pertaining to the fact that the D&amp;O Indemnified Party is or was a director or officer of Parent or of the Company (including in connection with this Agreement, any of the Contemplated Transactions or Parent’s initial public offering of shares of Parent Common Stock),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(in advance of the final disposition thereof) from each of Parent and the Surviving Corporation, jointly and severally, upon receipt by Parent or the Surviving Corporation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Latham &amp; Watkins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Parent. The provisions of the certificate of incorporation and bylaws of Parent and the Surviving Corporation with respect to indemnification, advancement of expenses and exculpation of present and former directors and officers shall not be amended, modified or repealed for a period of six years from the Effective Time in a manner that would adversely affect the rights thereunder of any D&amp;O Indemnified Party, unless such amendment, modification or repeal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Effective Time, a six-year prepaid “D&amp;O tail policy” for the non-cancelable extension of the directors’ and officers’ liability coverage of Parent’s existing directors’ and officers’ insurance policies for a claims reporting or discovery period of at least six years from and after the Effective Time (including in connection with this Agreement, any of the Contemplated Transactions or Parent’s initial public offering of shares of Parent Common Stock) with respect to any claim related to any period of time at or prior to the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Effective Time with respect to the procurement of such “D&amp;O tail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From and after the Effective Time, Parent shall pay all expenses, including reasonable attorneys’ fees, that are incurred by the persons referred to in this </w:t>
      </w:r>
      <w:r>
        <w:rPr>
          <w:rFonts w:ascii="Times New Roman" w:hAnsi="Times New Roman"/>
          <w:sz w:val="20"/>
          <w:u w:val="single"/>
        </w:rPr>
        <w:t>Section 6.7</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6.7</w:t>
      </w:r>
      <w:r>
        <w:rPr>
          <w:rFonts w:ascii="Times New Roman" w:hAnsi="Times New Roman"/>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hAnsi="Times New Roman"/>
          <w:sz w:val="20"/>
          <w:u w:val="single"/>
        </w:rPr>
        <w:t>Section 6.7</w:t>
      </w:r>
      <w:r>
        <w:rPr>
          <w:rFonts w:ascii="Times New Roman" w:hAnsi="Times New Roman"/>
          <w:sz w:val="20"/>
        </w:rPr>
        <w:t xml:space="preserve">. Parent shall cause the Surviving Corporation to perform all of the obligations of the Surviving Corporation under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8" w:name="annextoc108148_86"/>
      <w:bookmarkEnd w:id="188"/>
      <w:r>
        <w:rPr>
          <w:rFonts w:ascii="Times New Roman" w:hAnsi="Times New Roman"/>
          <w:sz w:val="20"/>
        </w:rPr>
        <w:t xml:space="preserve">Section 6.8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hAnsi="Times New Roman"/>
          <w:sz w:val="20"/>
          <w:u w:val="single"/>
        </w:rPr>
        <w:t>Section 6.8</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6.2(d)</w:t>
      </w:r>
      <w:r>
        <w:rPr>
          <w:rFonts w:ascii="Times New Roman" w:hAnsi="Times New Roman"/>
          <w:sz w:val="20"/>
        </w:rPr>
        <w:t xml:space="preserve"> or pursuant to </w:t>
      </w:r>
      <w:r>
        <w:rPr>
          <w:rFonts w:ascii="Times New Roman" w:hAnsi="Times New Roman"/>
          <w:sz w:val="20"/>
          <w:u w:val="single"/>
        </w:rPr>
        <w:t>Section 6.3(e)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9" w:name="annextoc108148_87"/>
      <w:bookmarkEnd w:id="189"/>
      <w:r>
        <w:rPr>
          <w:rFonts w:ascii="Times New Roman" w:hAnsi="Times New Roman"/>
          <w:sz w:val="20"/>
        </w:rPr>
        <w:t xml:space="preserve">Section 6.9 </w:t>
      </w:r>
      <w:r>
        <w:rPr>
          <w:rFonts w:ascii="Times New Roman" w:hAnsi="Times New Roman"/>
          <w:sz w:val="20"/>
          <w:u w:val="single"/>
        </w:rPr>
        <w:t>Listing</w:t>
      </w:r>
      <w:r>
        <w:rPr>
          <w:rFonts w:ascii="Times New Roman" w:hAnsi="Times New Roman"/>
          <w:sz w:val="20"/>
        </w:rPr>
        <w:t>. At or prior to the Effective Time, Parent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action contemplated by this </w:t>
      </w:r>
      <w:r>
        <w:rPr>
          <w:rFonts w:ascii="Times New Roman" w:hAnsi="Times New Roman"/>
          <w:sz w:val="20"/>
          <w:u w:val="single"/>
        </w:rPr>
        <w:t>Section 6.9</w:t>
      </w:r>
      <w:r>
        <w:rPr>
          <w:rFonts w:ascii="Times New Roman" w:hAnsi="Times New Roman"/>
          <w:sz w:val="20"/>
        </w:rPr>
        <w:t xml:space="preserve">. All Nasdaq fees associated with any action contemplated by this </w:t>
      </w:r>
      <w:r>
        <w:rPr>
          <w:rFonts w:ascii="Times New Roman" w:hAnsi="Times New Roman"/>
          <w:sz w:val="20"/>
          <w:u w:val="single"/>
        </w:rPr>
        <w:t>Section 6.9</w:t>
      </w:r>
      <w:r>
        <w:rPr>
          <w:rFonts w:ascii="Times New Roman" w:hAnsi="Times New Roman"/>
          <w:sz w:val="20"/>
        </w:rPr>
        <w:t>, including any fees related to the engagement of a consultant (the “</w:t>
      </w:r>
      <w:r>
        <w:rPr>
          <w:rFonts w:ascii="Times New Roman" w:hAnsi="Times New Roman"/>
          <w:b/>
          <w:sz w:val="20"/>
        </w:rPr>
        <w:t>Nasdaq Fees</w:t>
      </w:r>
      <w:r>
        <w:rPr>
          <w:rFonts w:ascii="Times New Roman" w:hAnsi="Times New Roman"/>
          <w:sz w:val="20"/>
        </w:rPr>
        <w:t xml:space="preserve">”), shall be paid by the Company. </w:t>
      </w:r>
    </w:p>
    <w:p>
      <w:pPr>
        <w:pStyle w:val="TextBody"/>
        <w:bidi w:val="0"/>
        <w:spacing w:before="240" w:after="0"/>
        <w:jc w:val="left"/>
        <w:rPr>
          <w:rFonts w:ascii="Times New Roman" w:hAnsi="Times New Roman"/>
          <w:sz w:val="20"/>
        </w:rPr>
      </w:pPr>
      <w:bookmarkStart w:id="190" w:name="annextoc108148_88"/>
      <w:bookmarkEnd w:id="190"/>
      <w:r>
        <w:rPr>
          <w:rFonts w:ascii="Times New Roman" w:hAnsi="Times New Roman"/>
          <w:sz w:val="20"/>
        </w:rPr>
        <w:t xml:space="preserve">Section 6.10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promptly notify the Company if, at any time before the Effective Time, Parent becomes aware of any fact or circumstance that could reasonably be expected to prevent, cause a failure of, or impede the Intended Tax Treatment. The Company shall promptly notify Parent if, at any time before the Effective Time, the Company becomes aware of any fact or circumstance that could reasonably be expected to prevent, cause a failure of,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and Proxy Statement, (i) Parent and Company shall each use its reasonable best efforts to cause Latham &amp; Watkins LLP (or other nationally recognized law firm reasonably satisfactory to Parent) and Gibson, Dunn &amp; Crutcher LLP (or other nationally recognized law firm reasonably satisfactory to Company), respectively, to furnish such opinion (as so required and subject to customary assumptions and limitations) and (ii) Parent and Company shall each deliver to Latham &amp; Watkins LLP (or other nationally recognized law firm reasonably satisfactory to Parent) and Gibson, Dunn &amp; Crutcher LLP (or other nationally recognized law firm reasonably satisfactory to Company) a Tax certificate, dated as of the date the Registration Statement and Proxy Statement shall have been declared effective by the SEC and signed by an officer of Parent or Company, as applicable, containing customary representations and covenants reasonably acceptable to Company and Parent, as applicable, in each case, as reasonably necessary and appropriate to enable such advisor to render such opinion (the “</w:t>
      </w:r>
      <w:r>
        <w:rPr>
          <w:rFonts w:ascii="Times New Roman" w:hAnsi="Times New Roman"/>
          <w:b/>
          <w:sz w:val="20"/>
        </w:rPr>
        <w:t>Tax Certificates</w:t>
      </w:r>
      <w:r>
        <w:rPr>
          <w:rFonts w:ascii="Times New Roman" w:hAnsi="Times New Roman"/>
          <w:sz w:val="20"/>
        </w:rPr>
        <w:t xml:space="preserve">”). Each of Parent and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bookmarkStart w:id="191" w:name="annextoc108148_89"/>
      <w:bookmarkEnd w:id="191"/>
      <w:r>
        <w:rPr>
          <w:rFonts w:ascii="Times New Roman" w:hAnsi="Times New Roman"/>
          <w:sz w:val="20"/>
        </w:rPr>
        <w:t xml:space="preserve">Section 6.11 </w:t>
      </w:r>
      <w:r>
        <w:rPr>
          <w:rFonts w:ascii="Times New Roman" w:hAnsi="Times New Roman"/>
          <w:sz w:val="20"/>
          <w:u w:val="single"/>
        </w:rPr>
        <w:t>Legends</w:t>
      </w:r>
      <w:r>
        <w:rPr>
          <w:rFonts w:ascii="Times New Roman" w:hAnsi="Times New Roman"/>
          <w:sz w:val="20"/>
        </w:rPr>
        <w:t xml:space="preserve">. Parent shall be entitled to place appropriate legends on the book entries and/or certificates evidencing any shares of Parent Capital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2" w:name="annextoc108148_90"/>
      <w:bookmarkEnd w:id="192"/>
      <w:r>
        <w:rPr>
          <w:rFonts w:ascii="Times New Roman" w:hAnsi="Times New Roman"/>
          <w:sz w:val="20"/>
        </w:rPr>
        <w:t xml:space="preserve">Section 6.12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take all necessary action so that the Persons listed on </w:t>
      </w:r>
      <w:r>
        <w:rPr>
          <w:rFonts w:ascii="Times New Roman" w:hAnsi="Times New Roman"/>
          <w:sz w:val="20"/>
          <w:u w:val="single"/>
        </w:rPr>
        <w:t>Section 6.12</w:t>
      </w:r>
      <w:r>
        <w:rPr>
          <w:rFonts w:ascii="Times New Roman" w:hAnsi="Times New Roman"/>
          <w:sz w:val="20"/>
        </w:rPr>
        <w:t xml:space="preserve"> of the Company Disclosure Letter are elected or appointed, as applicable, to the positions of officers or directors of Parent and the Surviving Corporation, as set forth therein, to serve in such positions effective as of the Effective Time. If any Person listed on </w:t>
      </w:r>
      <w:r>
        <w:rPr>
          <w:rFonts w:ascii="Times New Roman" w:hAnsi="Times New Roman"/>
          <w:sz w:val="20"/>
          <w:u w:val="single"/>
        </w:rPr>
        <w:t>Section 6.12</w:t>
      </w:r>
      <w:r>
        <w:rPr>
          <w:rFonts w:ascii="Times New Roman" w:hAnsi="Times New Roman"/>
          <w:sz w:val="20"/>
        </w:rPr>
        <w:t xml:space="preserve"> of the Company Disclosure Letter is unable or unwilling to serve as officer or director of Parent or the Surviving Corporation, as set forth therein, the Company shall designate a successor. The Parties shall use reasonable best efforts to have each of the Persons that will serve as directors and officers of the Parent following the Closing to execute and deliver a Lock-Up Agreement prior to Closing. The number of directors constituting the board of directors of Parent and of the Surviving Corporation as of immediately following the Effective Time shall be determined by the Company in its sole discretion (subject to compliance with the director independence requirements of Nasdaq), and the individuals serving as such directors, and as the officers of Parent and the Surviving Corporation, shall be those designated by the Company as set forth on </w:t>
      </w:r>
      <w:r>
        <w:rPr>
          <w:rFonts w:ascii="Times New Roman" w:hAnsi="Times New Roman"/>
          <w:sz w:val="20"/>
          <w:u w:val="single"/>
        </w:rPr>
        <w:t>Section 6.12</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193" w:name="annextoc108148_91"/>
      <w:bookmarkEnd w:id="193"/>
      <w:r>
        <w:rPr>
          <w:rFonts w:ascii="Times New Roman" w:hAnsi="Times New Roman"/>
          <w:sz w:val="20"/>
        </w:rPr>
        <w:t xml:space="preserve">Section 6.13 </w:t>
      </w:r>
      <w:r>
        <w:rPr>
          <w:rFonts w:ascii="Times New Roman" w:hAnsi="Times New Roman"/>
          <w:sz w:val="20"/>
          <w:u w:val="single"/>
        </w:rPr>
        <w:t>Termination of Certain Agreements and Rights</w:t>
      </w:r>
      <w:r>
        <w:rPr>
          <w:rFonts w:ascii="Times New Roman" w:hAnsi="Times New Roman"/>
          <w:sz w:val="20"/>
        </w:rPr>
        <w:t>. Other than the Registration Rights Agreement, which shall remain in full force and effect following the Closing,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hAnsi="Times New Roman"/>
          <w:b/>
          <w:sz w:val="20"/>
        </w:rPr>
        <w:t>Investor Agreements</w:t>
      </w:r>
      <w:r>
        <w:rPr>
          <w:rFonts w:ascii="Times New Roman" w:hAnsi="Times New Roman"/>
          <w:sz w:val="20"/>
        </w:rPr>
        <w:t xml:space="preserve">”), including any such Contract granting any Person investor rights, rights of first refusal, registration rights or director registration rights, to be terminated immediately prior to the Effective Time, without any liability being imposed on the part of Parent or the Surviving Corporation. </w:t>
      </w:r>
    </w:p>
    <w:p>
      <w:pPr>
        <w:pStyle w:val="TextBody"/>
        <w:bidi w:val="0"/>
        <w:spacing w:before="240" w:after="0"/>
        <w:jc w:val="left"/>
        <w:rPr>
          <w:rFonts w:ascii="Times New Roman" w:hAnsi="Times New Roman"/>
          <w:sz w:val="20"/>
        </w:rPr>
      </w:pPr>
      <w:bookmarkStart w:id="194" w:name="annextoc108148_92"/>
      <w:bookmarkEnd w:id="194"/>
      <w:r>
        <w:rPr>
          <w:rFonts w:ascii="Times New Roman" w:hAnsi="Times New Roman"/>
          <w:sz w:val="20"/>
        </w:rPr>
        <w:t xml:space="preserve">Section 6.14 </w:t>
      </w:r>
      <w:r>
        <w:rPr>
          <w:rFonts w:ascii="Times New Roman" w:hAnsi="Times New Roman"/>
          <w:sz w:val="20"/>
          <w:u w:val="single"/>
        </w:rPr>
        <w:t>Section 16 Matters</w:t>
      </w:r>
      <w:r>
        <w:rPr>
          <w:rFonts w:ascii="Times New Roman" w:hAnsi="Times New Roman"/>
          <w:sz w:val="20"/>
        </w:rPr>
        <w:t xml:space="preserve">. Prior to the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95" w:name="annextoc108148_93"/>
      <w:bookmarkEnd w:id="195"/>
      <w:r>
        <w:rPr>
          <w:rFonts w:ascii="Times New Roman" w:hAnsi="Times New Roman"/>
          <w:sz w:val="20"/>
        </w:rPr>
        <w:t xml:space="preserve">Section 6.15 </w:t>
      </w:r>
      <w:r>
        <w:rPr>
          <w:rFonts w:ascii="Times New Roman" w:hAnsi="Times New Roman"/>
          <w:sz w:val="20"/>
          <w:u w:val="single"/>
        </w:rPr>
        <w:t>Allocation Information</w:t>
      </w:r>
      <w:r>
        <w:rPr>
          <w:rFonts w:ascii="Times New Roman" w:hAnsi="Times New Roman"/>
          <w:sz w:val="20"/>
        </w:rPr>
        <w:t>. The Company will prepare and deliver to Parent prior to the Closing a spreadsheet setting forth (as of immediately prior to the Effective Time) (a) each holder of (i) Company Capital Stock, (ii) Company Options and (iii) Company Warrants, (b) such holder’s name and address, (c) with respect to holders of Company Capital Stock, the number or percentage and type of Company Capital Stock held as of the Closing Date for each such holder and (d) the number of shares of Parent Capital Stock, Assumed Options and Assumed Warrants to be issued to such holder pursuant to this Agreement in respect of the Company Capital Stock, Company Options and Company Warrants held by such holder as of immediately prior to the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6" w:name="annextoc108148_94"/>
      <w:bookmarkEnd w:id="196"/>
      <w:r>
        <w:rPr>
          <w:rFonts w:ascii="Times New Roman" w:hAnsi="Times New Roman"/>
          <w:sz w:val="20"/>
        </w:rPr>
        <w:t xml:space="preserve">Section 6.16 </w:t>
      </w:r>
      <w:r>
        <w:rPr>
          <w:rFonts w:ascii="Times New Roman" w:hAnsi="Times New Roman"/>
          <w:sz w:val="20"/>
          <w:u w:val="single"/>
        </w:rPr>
        <w:t>Parent SEC Documents</w:t>
      </w:r>
      <w:r>
        <w:rPr>
          <w:rFonts w:ascii="Times New Roman" w:hAnsi="Times New Roman"/>
          <w:sz w:val="20"/>
        </w:rPr>
        <w:t>. From the date of this Agreement to the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hAnsi="Times New Roman"/>
          <w:b/>
          <w:sz w:val="20"/>
        </w:rPr>
        <w:t>SEC Documents</w:t>
      </w:r>
      <w:r>
        <w:rPr>
          <w:rFonts w:ascii="Times New Roman" w:hAnsi="Times New Roman"/>
          <w:sz w:val="20"/>
        </w:rPr>
        <w:t xml:space="preserve">”).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other than with respect to information supplied by or on behalf of the Company to Parent for inclusion in such SEC Document, shall not contain any untrue statement of a material fact or omit to state any material fact required to be stated therein or necessary in order to make the statements made therein, in light of the circumstances under which they were made, not misleading. The Company shall (i) promptly provide all information reasonably requested by Parent to comply with Parent’s obligations under this </w:t>
      </w:r>
      <w:r>
        <w:rPr>
          <w:rFonts w:ascii="Times New Roman" w:hAnsi="Times New Roman"/>
          <w:sz w:val="20"/>
          <w:u w:val="single"/>
        </w:rPr>
        <w:t>Section 6.16</w:t>
      </w:r>
      <w:r>
        <w:rPr>
          <w:rFonts w:ascii="Times New Roman" w:hAnsi="Times New Roman"/>
          <w:sz w:val="20"/>
        </w:rPr>
        <w:t xml:space="preserve">, (ii) review and provide comments on any portions of any SEC Document that relate to the Company or the Contemplated Transactions promptly following of receipt thereof, and (iii) promptly notify Parent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becomes aware that any information previously provided by the Company for inclusion in any SEC Document has become inaccurate or incomplete in any material respect. </w:t>
      </w:r>
    </w:p>
    <w:p>
      <w:pPr>
        <w:pStyle w:val="TextBody"/>
        <w:bidi w:val="0"/>
        <w:spacing w:before="240" w:after="0"/>
        <w:jc w:val="left"/>
        <w:rPr>
          <w:rFonts w:ascii="Times New Roman" w:hAnsi="Times New Roman"/>
          <w:sz w:val="20"/>
        </w:rPr>
      </w:pPr>
      <w:bookmarkStart w:id="197" w:name="annextoc108148_95"/>
      <w:bookmarkEnd w:id="197"/>
      <w:r>
        <w:rPr>
          <w:rFonts w:ascii="Times New Roman" w:hAnsi="Times New Roman"/>
          <w:sz w:val="20"/>
        </w:rPr>
        <w:t xml:space="preserve">Section 6.17 </w:t>
      </w:r>
      <w:r>
        <w:rPr>
          <w:rFonts w:ascii="Times New Roman" w:hAnsi="Times New Roman"/>
          <w:sz w:val="20"/>
          <w:u w:val="single"/>
        </w:rPr>
        <w:t>Notice of Certain Transactions</w:t>
      </w:r>
      <w:r>
        <w:rPr>
          <w:rFonts w:ascii="Times New Roman" w:hAnsi="Times New Roman"/>
          <w:sz w:val="20"/>
        </w:rPr>
        <w:t xml:space="preserve">. Subject to </w:t>
      </w:r>
      <w:r>
        <w:rPr>
          <w:rFonts w:ascii="Times New Roman" w:hAnsi="Times New Roman"/>
          <w:sz w:val="20"/>
          <w:u w:val="single"/>
        </w:rPr>
        <w:t>Section 5.2</w:t>
      </w:r>
      <w:r>
        <w:rPr>
          <w:rFonts w:ascii="Times New Roman" w:hAnsi="Times New Roman"/>
          <w:sz w:val="20"/>
        </w:rPr>
        <w:t xml:space="preserve">, as reasonably practicable following the issuance, sale, transfer or other disposition of any Company Capital Stock (or securities convertible or exercisable into shares of Company Capital Stock) prior to the Closing, the Company shall provide notice to Parent (email being sufficient) setting forth in reasonable detail the terms of such transaction, including (if applicable) the amount of proceeds actually received by the Company in connection with such transaction. </w:t>
      </w:r>
    </w:p>
    <w:p>
      <w:pPr>
        <w:pStyle w:val="TextBody"/>
        <w:bidi w:val="0"/>
        <w:spacing w:before="240" w:after="0"/>
        <w:jc w:val="left"/>
        <w:rPr>
          <w:rFonts w:ascii="Times New Roman" w:hAnsi="Times New Roman"/>
          <w:sz w:val="20"/>
        </w:rPr>
      </w:pPr>
      <w:bookmarkStart w:id="198" w:name="annextoc108148_96"/>
      <w:bookmarkEnd w:id="198"/>
      <w:r>
        <w:rPr>
          <w:rFonts w:ascii="Times New Roman" w:hAnsi="Times New Roman"/>
          <w:sz w:val="20"/>
        </w:rPr>
        <w:t xml:space="preserve">Section 6.18 </w:t>
      </w:r>
      <w:r>
        <w:rPr>
          <w:rFonts w:ascii="Times New Roman" w:hAnsi="Times New Roman"/>
          <w:sz w:val="20"/>
          <w:u w:val="single"/>
        </w:rPr>
        <w:t>Obligations of Merger Sub</w:t>
      </w:r>
      <w:r>
        <w:rPr>
          <w:rFonts w:ascii="Times New Roman" w:hAnsi="Times New Roman"/>
          <w:sz w:val="20"/>
        </w:rPr>
        <w:t xml:space="preserve">. Parent will take all action necessary to cause each Merger Sub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99" w:name="annextoc108148_97"/>
      <w:bookmarkEnd w:id="199"/>
      <w:r>
        <w:rPr>
          <w:rFonts w:ascii="Times New Roman" w:hAnsi="Times New Roman"/>
          <w:sz w:val="20"/>
        </w:rPr>
        <w:t xml:space="preserve">Section 6.19 </w:t>
      </w:r>
      <w:r>
        <w:rPr>
          <w:rFonts w:ascii="Times New Roman" w:hAnsi="Times New Roman"/>
          <w:sz w:val="20"/>
          <w:u w:val="single"/>
        </w:rPr>
        <w:t>Company Pre-Closing Financing</w:t>
      </w:r>
      <w:r>
        <w:rPr>
          <w:rFonts w:ascii="Times New Roman" w:hAnsi="Times New Roman"/>
          <w:sz w:val="20"/>
        </w:rPr>
        <w:t>. Unless otherwise approved in writing by Parent (which approval shall not be unreasonably withheld, conditioned, delayed or denied), the Company shall not (a) reduce the subscription amount under the Series A Financing Agreement or otherwise reduce the aggregate proceeds to be received by the Company from the Company Pre-Closing Financing below the Company Pre-Closing Financing Minimum Amount, or (b) amend, waive or modify the Series A Financing Agreement or the Subscription Agreement in any manner that could reasonably be expected to delay or impede the consummation of the Contemplated Transactions.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w:t>
      </w:r>
      <w:r>
        <w:rPr>
          <w:rFonts w:ascii="Times New Roman" w:hAnsi="Times New Roman"/>
          <w:sz w:val="20"/>
          <w:u w:val="single"/>
        </w:rPr>
        <w:t>’</w:t>
      </w:r>
      <w:r>
        <w:rPr>
          <w:rFonts w:ascii="Times New Roman" w:hAnsi="Times New Roman"/>
          <w:sz w:val="20"/>
        </w:rPr>
        <w:t xml:space="preserve">s applicable Subscription Agreement in accordance with its terms. The Company shall use its commercially reasonable efforts to (A) maintain in effect the Subscription Agreement, (B) enforce its rights under the Subscription Agreement, and (C) comply with its obligations thereunder, and shall give Parent prompt notice of any actual or threatened breach, default, termination or repudiation by any party to the Subscription Agreement of which the Company becomes aware. The Company shall promptly provide information reasonably requested by Parent relating to any such breach, default, termination, or repudiation. </w:t>
      </w:r>
    </w:p>
    <w:p>
      <w:pPr>
        <w:pStyle w:val="TextBody"/>
        <w:bidi w:val="0"/>
        <w:spacing w:before="240" w:after="0"/>
        <w:jc w:val="left"/>
        <w:rPr>
          <w:rFonts w:ascii="Times New Roman" w:hAnsi="Times New Roman"/>
          <w:sz w:val="20"/>
        </w:rPr>
      </w:pPr>
      <w:bookmarkStart w:id="200" w:name="annextoc108148_98"/>
      <w:bookmarkEnd w:id="200"/>
      <w:r>
        <w:rPr>
          <w:rFonts w:ascii="Times New Roman" w:hAnsi="Times New Roman"/>
          <w:sz w:val="20"/>
        </w:rPr>
        <w:t xml:space="preserve">Section 6.20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prior to the Effective Time, Parent shall deposit the Parent Pre-Closing Dividend Amount with Parent’s transfer agent for further distribution to the holders of the shares of Parent Common Stock outstanding as of the record date of the Parent Pre-Closing Dividend. </w:t>
      </w:r>
    </w:p>
    <w:p>
      <w:pPr>
        <w:pStyle w:val="TextBody"/>
        <w:bidi w:val="0"/>
        <w:spacing w:before="0" w:after="0"/>
        <w:jc w:val="center"/>
        <w:rPr>
          <w:rFonts w:ascii="Times New Roman" w:hAnsi="Times New Roman"/>
          <w:sz w:val="22"/>
        </w:rPr>
      </w:pPr>
      <w:bookmarkStart w:id="201" w:name="annextoc108148_99"/>
      <w:bookmarkEnd w:id="201"/>
      <w:r>
        <w:rPr>
          <w:rFonts w:ascii="Times New Roman" w:hAnsi="Times New Roman"/>
          <w:sz w:val="22"/>
        </w:rPr>
        <w:t xml:space="preserve">ARTICLE VII. </w:t>
      </w:r>
    </w:p>
    <w:p>
      <w:pPr>
        <w:pStyle w:val="TextBody"/>
        <w:bidi w:val="0"/>
        <w:spacing w:before="120" w:after="0"/>
        <w:jc w:val="center"/>
        <w:rPr>
          <w:rFonts w:ascii="Times New Roman" w:hAnsi="Times New Roman"/>
          <w:sz w:val="22"/>
        </w:rPr>
      </w:pPr>
      <w:r>
        <w:rPr>
          <w:rFonts w:ascii="Times New Roman" w:hAnsi="Times New Roman"/>
          <w:sz w:val="22"/>
        </w:rPr>
        <w:t xml:space="preserve">CONDITIONS PRECEDENT TO OBLIGATIONS OF EACH PARTY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240" w:after="0"/>
        <w:jc w:val="left"/>
        <w:rPr>
          <w:rFonts w:ascii="Times New Roman" w:hAnsi="Times New Roman"/>
          <w:sz w:val="20"/>
        </w:rPr>
      </w:pPr>
      <w:bookmarkStart w:id="202" w:name="annextoc108148_100"/>
      <w:bookmarkEnd w:id="202"/>
      <w:r>
        <w:rPr>
          <w:rFonts w:ascii="Times New Roman" w:hAnsi="Times New Roman"/>
          <w:sz w:val="20"/>
        </w:rPr>
        <w:t xml:space="preserve">Section 7.1 </w:t>
      </w:r>
      <w:r>
        <w:rPr>
          <w:rFonts w:ascii="Times New Roman" w:hAnsi="Times New Roman"/>
          <w:sz w:val="20"/>
          <w:u w:val="single"/>
        </w:rPr>
        <w:t>No Restraints</w:t>
      </w:r>
      <w:r>
        <w:rPr>
          <w:rFonts w:ascii="Times New Roman" w:hAnsi="Times New Roman"/>
          <w:sz w:val="20"/>
        </w:rPr>
        <w:t xml:space="preserve">.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203" w:name="annextoc108148_101"/>
      <w:bookmarkEnd w:id="203"/>
      <w:r>
        <w:rPr>
          <w:rFonts w:ascii="Times New Roman" w:hAnsi="Times New Roman"/>
          <w:sz w:val="20"/>
        </w:rPr>
        <w:t xml:space="preserve">Section 7.2 </w:t>
      </w:r>
      <w:r>
        <w:rPr>
          <w:rFonts w:ascii="Times New Roman" w:hAnsi="Times New Roman"/>
          <w:sz w:val="20"/>
          <w:u w:val="single"/>
        </w:rPr>
        <w:t>Stockholder Approval</w:t>
      </w:r>
      <w:r>
        <w:rPr>
          <w:rFonts w:ascii="Times New Roman" w:hAnsi="Times New Roman"/>
          <w:sz w:val="20"/>
        </w:rPr>
        <w:t xml:space="preserve">. (a) Parent shall have obtained the Required Parent Stockholder Vote (but solely with respect to such items as are necessary to consummate the transactions contemplated by this Agreement) and (b) the Company shall have obtained the Required Company Stockholder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04" w:name="annextoc108148_102"/>
      <w:bookmarkEnd w:id="204"/>
      <w:r>
        <w:rPr>
          <w:rFonts w:ascii="Times New Roman" w:hAnsi="Times New Roman"/>
          <w:sz w:val="20"/>
        </w:rPr>
        <w:t xml:space="preserve">Section 7.3 </w:t>
      </w:r>
      <w:r>
        <w:rPr>
          <w:rFonts w:ascii="Times New Roman" w:hAnsi="Times New Roman"/>
          <w:sz w:val="20"/>
          <w:u w:val="single"/>
        </w:rPr>
        <w:t>Listing</w:t>
      </w:r>
      <w:r>
        <w:rPr>
          <w:rFonts w:ascii="Times New Roman" w:hAnsi="Times New Roman"/>
          <w:sz w:val="20"/>
        </w:rPr>
        <w:t xml:space="preserve">. The Nasdaq Listing Application shall have been approved by Nasdaq. </w:t>
      </w:r>
    </w:p>
    <w:p>
      <w:pPr>
        <w:pStyle w:val="TextBody"/>
        <w:bidi w:val="0"/>
        <w:spacing w:before="240" w:after="0"/>
        <w:jc w:val="left"/>
        <w:rPr>
          <w:rFonts w:ascii="Times New Roman" w:hAnsi="Times New Roman"/>
          <w:sz w:val="20"/>
        </w:rPr>
      </w:pPr>
      <w:bookmarkStart w:id="205" w:name="annextoc108148_103"/>
      <w:bookmarkEnd w:id="205"/>
      <w:r>
        <w:rPr>
          <w:rFonts w:ascii="Times New Roman" w:hAnsi="Times New Roman"/>
          <w:sz w:val="20"/>
        </w:rPr>
        <w:t xml:space="preserve">Section 7.4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Legal Proceeding seeking a stop order with respect to the Registration Statement that has not been withdrawn; </w:t>
      </w:r>
      <w:r>
        <w:rPr>
          <w:rFonts w:ascii="Times New Roman" w:hAnsi="Times New Roman"/>
          <w:sz w:val="20"/>
          <w:u w:val="single"/>
        </w:rPr>
        <w:t>provided</w:t>
      </w:r>
      <w:r>
        <w:rPr>
          <w:rFonts w:ascii="Times New Roman" w:hAnsi="Times New Roman"/>
          <w:sz w:val="20"/>
        </w:rPr>
        <w:t xml:space="preserve">, that the Company may not rely on the failure of this condition to be satisfied to refuse to consummate the Contemplated Transactions to the extent such failure was caused by or resulted from the Company’s breach of its obligations under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6" w:name="annextoc108148_104"/>
      <w:bookmarkEnd w:id="206"/>
      <w:r>
        <w:rPr>
          <w:rFonts w:ascii="Times New Roman" w:hAnsi="Times New Roman"/>
          <w:sz w:val="20"/>
        </w:rPr>
        <w:t xml:space="preserve">Section 7.5 </w:t>
      </w:r>
      <w:r>
        <w:rPr>
          <w:rFonts w:ascii="Times New Roman" w:hAnsi="Times New Roman"/>
          <w:sz w:val="20"/>
          <w:u w:val="single"/>
        </w:rPr>
        <w:t>Regulatory Approvals</w:t>
      </w:r>
      <w:r>
        <w:rPr>
          <w:rFonts w:ascii="Times New Roman" w:hAnsi="Times New Roman"/>
          <w:sz w:val="20"/>
        </w:rPr>
        <w:t xml:space="preserve">. Any applicable waiting periods (or extensions thereof) under the HSR Act shall have expired or otherwise been terminated. </w:t>
      </w:r>
    </w:p>
    <w:p>
      <w:pPr>
        <w:pStyle w:val="TextBody"/>
        <w:bidi w:val="0"/>
        <w:spacing w:before="480" w:after="0"/>
        <w:jc w:val="center"/>
        <w:rPr>
          <w:rFonts w:ascii="Times New Roman" w:hAnsi="Times New Roman"/>
          <w:sz w:val="22"/>
        </w:rPr>
      </w:pPr>
      <w:bookmarkStart w:id="207" w:name="annextoc108148_105"/>
      <w:bookmarkEnd w:id="207"/>
      <w:r>
        <w:rPr>
          <w:rFonts w:ascii="Times New Roman" w:hAnsi="Times New Roman"/>
          <w:sz w:val="22"/>
        </w:rPr>
        <w:t xml:space="preserve">ARTICLE VIII. </w:t>
      </w:r>
    </w:p>
    <w:p>
      <w:pPr>
        <w:pStyle w:val="TextBody"/>
        <w:bidi w:val="0"/>
        <w:spacing w:before="120" w:after="0"/>
        <w:jc w:val="center"/>
        <w:rPr>
          <w:rFonts w:ascii="Times New Roman" w:hAnsi="Times New Roman"/>
          <w:sz w:val="22"/>
        </w:rPr>
      </w:pPr>
      <w:r>
        <w:rPr>
          <w:rFonts w:ascii="Times New Roman" w:hAnsi="Times New Roman"/>
          <w:sz w:val="22"/>
        </w:rPr>
        <w:t xml:space="preserve">ADDITIONAL CONDITIONS PRECEDENT TO OBLIGATIONS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240" w:after="0"/>
        <w:jc w:val="left"/>
        <w:rPr>
          <w:rFonts w:ascii="Times New Roman" w:hAnsi="Times New Roman"/>
          <w:sz w:val="20"/>
        </w:rPr>
      </w:pPr>
      <w:bookmarkStart w:id="208" w:name="annextoc108148_106"/>
      <w:bookmarkEnd w:id="208"/>
      <w:r>
        <w:rPr>
          <w:rFonts w:ascii="Times New Roman" w:hAnsi="Times New Roman"/>
          <w:sz w:val="20"/>
        </w:rPr>
        <w:t xml:space="preserve">Section 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209" w:name="annextoc108148_107"/>
      <w:bookmarkEnd w:id="209"/>
      <w:r>
        <w:rPr>
          <w:rFonts w:ascii="Times New Roman" w:hAnsi="Times New Roman"/>
          <w:sz w:val="20"/>
        </w:rPr>
        <w:t xml:space="preserve">Section 8.2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bookmarkStart w:id="210" w:name="annextoc108148_108"/>
      <w:bookmarkEnd w:id="210"/>
      <w:r>
        <w:rPr>
          <w:rFonts w:ascii="Times New Roman" w:hAnsi="Times New Roman"/>
          <w:sz w:val="20"/>
        </w:rPr>
        <w:t xml:space="preserve">Section 8.3 </w:t>
      </w:r>
      <w:r>
        <w:rPr>
          <w:rFonts w:ascii="Times New Roman" w:hAnsi="Times New Roman"/>
          <w:sz w:val="20"/>
          <w:u w:val="single"/>
        </w:rPr>
        <w:t>Documents</w:t>
      </w:r>
      <w:r>
        <w:rPr>
          <w:rFonts w:ascii="Times New Roman" w:hAnsi="Times New Roman"/>
          <w:sz w:val="20"/>
        </w:rPr>
        <w:t xml:space="preserve">. Parent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(other than emails and addresses) set forth in the Allocation Certificate delivered by the company in accordance with </w:t>
      </w:r>
      <w:r>
        <w:rPr>
          <w:rFonts w:ascii="Times New Roman" w:hAnsi="Times New Roman"/>
          <w:sz w:val="20"/>
          <w:u w:val="single"/>
        </w:rPr>
        <w:t>Section 6.15</w:t>
      </w:r>
      <w:r>
        <w:rPr>
          <w:rFonts w:ascii="Times New Roman" w:hAnsi="Times New Roman"/>
          <w:sz w:val="20"/>
        </w:rPr>
        <w:t xml:space="preserve"> is true and accurate in all respects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pursuant to Treasury Regulations Sections 1.1445-2(c) and 1.897-2(h), together with a form of notice to the IRS in accordance with the requirements of Treasury Regulations Section 1.897-2(h), in each case, in form and substance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Valuation Schedule; </w:t>
      </w:r>
    </w:p>
    <w:p>
      <w:pPr>
        <w:pStyle w:val="TextBody"/>
        <w:bidi w:val="0"/>
        <w:spacing w:before="240" w:after="0"/>
        <w:jc w:val="left"/>
        <w:rPr>
          <w:rFonts w:ascii="Times New Roman" w:hAnsi="Times New Roman"/>
          <w:sz w:val="20"/>
        </w:rPr>
      </w:pPr>
      <w:r>
        <w:rPr>
          <w:rFonts w:ascii="Times New Roman" w:hAnsi="Times New Roman"/>
          <w:sz w:val="20"/>
        </w:rPr>
        <w:t xml:space="preserve">(d) the Allocation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(e) the Lock-Up Agreements, duly executed by the Persons listed on Section B of the Company Disclosure Letter, which shall be in full force and effect. </w:t>
      </w:r>
    </w:p>
    <w:p>
      <w:pPr>
        <w:pStyle w:val="TextBody"/>
        <w:bidi w:val="0"/>
        <w:spacing w:before="240" w:after="0"/>
        <w:jc w:val="left"/>
        <w:rPr>
          <w:rFonts w:ascii="Times New Roman" w:hAnsi="Times New Roman"/>
          <w:sz w:val="20"/>
        </w:rPr>
      </w:pPr>
      <w:bookmarkStart w:id="211" w:name="annextoc108148_109"/>
      <w:bookmarkEnd w:id="211"/>
      <w:r>
        <w:rPr>
          <w:rFonts w:ascii="Times New Roman" w:hAnsi="Times New Roman"/>
          <w:sz w:val="20"/>
        </w:rPr>
        <w:t xml:space="preserve">Section 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240" w:after="0"/>
        <w:jc w:val="left"/>
        <w:rPr>
          <w:rFonts w:ascii="Times New Roman" w:hAnsi="Times New Roman"/>
          <w:sz w:val="20"/>
        </w:rPr>
      </w:pPr>
      <w:bookmarkStart w:id="212" w:name="annextoc108148_110"/>
      <w:bookmarkEnd w:id="212"/>
      <w:r>
        <w:rPr>
          <w:rFonts w:ascii="Times New Roman" w:hAnsi="Times New Roman"/>
          <w:sz w:val="20"/>
        </w:rPr>
        <w:t xml:space="preserve">Section 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collectively constituting the Required Company Stockholder Vote shall have been obtained and remain in full force and effect. </w:t>
      </w:r>
    </w:p>
    <w:p>
      <w:pPr>
        <w:pStyle w:val="TextBody"/>
        <w:bidi w:val="0"/>
        <w:spacing w:before="240" w:after="0"/>
        <w:jc w:val="left"/>
        <w:rPr>
          <w:rFonts w:ascii="Times New Roman" w:hAnsi="Times New Roman"/>
          <w:sz w:val="20"/>
        </w:rPr>
      </w:pPr>
      <w:bookmarkStart w:id="213" w:name="annextoc108148_111"/>
      <w:bookmarkEnd w:id="213"/>
      <w:r>
        <w:rPr>
          <w:rFonts w:ascii="Times New Roman" w:hAnsi="Times New Roman"/>
          <w:sz w:val="20"/>
        </w:rPr>
        <w:t xml:space="preserve">Section 8.6 </w:t>
      </w:r>
      <w:r>
        <w:rPr>
          <w:rFonts w:ascii="Times New Roman" w:hAnsi="Times New Roman"/>
          <w:sz w:val="20"/>
          <w:u w:val="single"/>
        </w:rPr>
        <w:t>Termination of Investor Agreements</w:t>
      </w:r>
      <w:r>
        <w:rPr>
          <w:rFonts w:ascii="Times New Roman" w:hAnsi="Times New Roman"/>
          <w:sz w:val="20"/>
        </w:rPr>
        <w:t xml:space="preserve">. The Company’s Investor Agreements shall have been terminated (or will be terminated as of the Closing). </w:t>
      </w:r>
    </w:p>
    <w:p>
      <w:pPr>
        <w:pStyle w:val="TextBody"/>
        <w:bidi w:val="0"/>
        <w:spacing w:before="240" w:after="0"/>
        <w:jc w:val="left"/>
        <w:rPr>
          <w:rFonts w:ascii="Times New Roman" w:hAnsi="Times New Roman"/>
          <w:sz w:val="20"/>
        </w:rPr>
      </w:pPr>
      <w:bookmarkStart w:id="214" w:name="annextoc108148_112"/>
      <w:bookmarkEnd w:id="214"/>
      <w:r>
        <w:rPr>
          <w:rFonts w:ascii="Times New Roman" w:hAnsi="Times New Roman"/>
          <w:sz w:val="20"/>
        </w:rPr>
        <w:t xml:space="preserve">Section 8.7 </w:t>
      </w:r>
      <w:r>
        <w:rPr>
          <w:rFonts w:ascii="Times New Roman" w:hAnsi="Times New Roman"/>
          <w:sz w:val="20"/>
          <w:u w:val="single"/>
        </w:rPr>
        <w:t>License Agreement</w:t>
      </w:r>
      <w:r>
        <w:rPr>
          <w:rFonts w:ascii="Times New Roman" w:hAnsi="Times New Roman"/>
          <w:sz w:val="20"/>
        </w:rPr>
        <w:t xml:space="preserve">. The License Agreement shall be in full force and effect and shall not have been modified or amended in any manner that would have a materially adverse impact on the Surviving Corporation or Parent without Parent’s prior written consent. </w:t>
      </w:r>
    </w:p>
    <w:p>
      <w:pPr>
        <w:pStyle w:val="TextBody"/>
        <w:bidi w:val="0"/>
        <w:spacing w:before="240" w:after="0"/>
        <w:jc w:val="left"/>
        <w:rPr>
          <w:rFonts w:ascii="Times New Roman" w:hAnsi="Times New Roman"/>
          <w:sz w:val="20"/>
        </w:rPr>
      </w:pPr>
      <w:bookmarkStart w:id="215" w:name="annextoc108148_113"/>
      <w:bookmarkEnd w:id="215"/>
      <w:r>
        <w:rPr>
          <w:rFonts w:ascii="Times New Roman" w:hAnsi="Times New Roman"/>
          <w:sz w:val="20"/>
        </w:rPr>
        <w:t xml:space="preserve">Section 8.8 </w:t>
      </w:r>
      <w:r>
        <w:rPr>
          <w:rFonts w:ascii="Times New Roman" w:hAnsi="Times New Roman"/>
          <w:sz w:val="20"/>
          <w:u w:val="single"/>
        </w:rPr>
        <w:t>Company Pre-Closing Financing</w:t>
      </w:r>
      <w:r>
        <w:rPr>
          <w:rFonts w:ascii="Times New Roman" w:hAnsi="Times New Roman"/>
          <w:sz w:val="20"/>
        </w:rPr>
        <w:t xml:space="preserve">. The Subscription Agreement shall be in full force and effect and aggregate gross cash proceeds of not less than the Company Pre-Closing Financing Minimum Amount shall have been received by the Company, or will be received by the Company substantially contemporaneously with the Closing, in connection with the consummation of the transactions contemplated by the Subscription Agreement. </w:t>
      </w:r>
    </w:p>
    <w:p>
      <w:pPr>
        <w:pStyle w:val="TextBody"/>
        <w:bidi w:val="0"/>
        <w:spacing w:before="480" w:after="0"/>
        <w:jc w:val="center"/>
        <w:rPr>
          <w:rFonts w:ascii="Times New Roman" w:hAnsi="Times New Roman"/>
          <w:sz w:val="22"/>
        </w:rPr>
      </w:pPr>
      <w:bookmarkStart w:id="216" w:name="annextoc108148_114"/>
      <w:bookmarkEnd w:id="216"/>
      <w:r>
        <w:rPr>
          <w:rFonts w:ascii="Times New Roman" w:hAnsi="Times New Roman"/>
          <w:sz w:val="22"/>
        </w:rPr>
        <w:t xml:space="preserve">ARTICLE IX. </w:t>
      </w:r>
    </w:p>
    <w:p>
      <w:pPr>
        <w:pStyle w:val="TextBody"/>
        <w:bidi w:val="0"/>
        <w:spacing w:before="120" w:after="0"/>
        <w:jc w:val="center"/>
        <w:rPr>
          <w:rFonts w:ascii="Times New Roman" w:hAnsi="Times New Roman"/>
          <w:sz w:val="22"/>
        </w:rPr>
      </w:pPr>
      <w:r>
        <w:rPr>
          <w:rFonts w:ascii="Times New Roman" w:hAnsi="Times New Roman"/>
          <w:sz w:val="22"/>
        </w:rPr>
        <w:t xml:space="preserve">ADDITIONAL CONDITIONS PRECEDENT TO OBLIGATION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240" w:after="0"/>
        <w:jc w:val="left"/>
        <w:rPr>
          <w:rFonts w:ascii="Times New Roman" w:hAnsi="Times New Roman"/>
          <w:sz w:val="20"/>
        </w:rPr>
      </w:pPr>
      <w:bookmarkStart w:id="217" w:name="annextoc108148_115"/>
      <w:bookmarkEnd w:id="217"/>
      <w:r>
        <w:rPr>
          <w:rFonts w:ascii="Times New Roman" w:hAnsi="Times New Roman"/>
          <w:sz w:val="20"/>
        </w:rPr>
        <w:t xml:space="preserve">Section 9.1 </w:t>
      </w:r>
      <w:r>
        <w:rPr>
          <w:rFonts w:ascii="Times New Roman" w:hAnsi="Times New Roman"/>
          <w:sz w:val="20"/>
          <w:u w:val="single"/>
        </w:rPr>
        <w:t>Accuracy of Representations</w:t>
      </w:r>
      <w:r>
        <w:rPr>
          <w:rFonts w:ascii="Times New Roman" w:hAnsi="Times New Roman"/>
          <w:sz w:val="20"/>
        </w:rPr>
        <w:t xml:space="preserve">.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correct, subject to the qualifications as set forth in the preceding clause (x), as of such particular date). The representations and warranties of Parent and Merger Sub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218" w:name="annextoc108148_116"/>
      <w:bookmarkEnd w:id="218"/>
      <w:r>
        <w:rPr>
          <w:rFonts w:ascii="Times New Roman" w:hAnsi="Times New Roman"/>
          <w:sz w:val="20"/>
        </w:rPr>
        <w:t xml:space="preserve">Section 9.2 </w:t>
      </w:r>
      <w:r>
        <w:rPr>
          <w:rFonts w:ascii="Times New Roman" w:hAnsi="Times New Roman"/>
          <w:sz w:val="20"/>
          <w:u w:val="single"/>
        </w:rPr>
        <w:t>Performance of Covenants</w:t>
      </w:r>
      <w:r>
        <w:rPr>
          <w:rFonts w:ascii="Times New Roman" w:hAnsi="Times New Roman"/>
          <w:sz w:val="20"/>
        </w:rPr>
        <w:t xml:space="preserve">. Parent and Merger Sub shall have performed or complied with in all material respects all of their agreements and covenants required to be performed or complied with by each of them under this Agreement at or prior to the Effective Time. </w:t>
      </w:r>
    </w:p>
    <w:p>
      <w:pPr>
        <w:pStyle w:val="TextBody"/>
        <w:bidi w:val="0"/>
        <w:spacing w:before="240" w:after="0"/>
        <w:jc w:val="left"/>
        <w:rPr>
          <w:rFonts w:ascii="Times New Roman" w:hAnsi="Times New Roman"/>
          <w:sz w:val="20"/>
        </w:rPr>
      </w:pPr>
      <w:bookmarkStart w:id="219" w:name="annextoc108148_117"/>
      <w:bookmarkEnd w:id="219"/>
      <w:r>
        <w:rPr>
          <w:rFonts w:ascii="Times New Roman" w:hAnsi="Times New Roman"/>
          <w:sz w:val="20"/>
        </w:rPr>
        <w:t xml:space="preserve">Section 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an executive officer of Parent certifying that the conditions set forth in </w:t>
      </w:r>
      <w:r>
        <w:rPr>
          <w:rFonts w:ascii="Times New Roman" w:hAnsi="Times New Roman"/>
          <w:sz w:val="20"/>
          <w:u w:val="single"/>
        </w:rPr>
        <w:t>Sections 9.1</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6.12</w:t>
      </w:r>
      <w:r>
        <w:rPr>
          <w:rFonts w:ascii="Times New Roman" w:hAnsi="Times New Roman"/>
          <w:sz w:val="20"/>
        </w:rPr>
        <w:t xml:space="preserve"> hereof; and </w:t>
      </w:r>
    </w:p>
    <w:p>
      <w:pPr>
        <w:pStyle w:val="TextBody"/>
        <w:bidi w:val="0"/>
        <w:spacing w:before="240" w:after="0"/>
        <w:jc w:val="left"/>
        <w:rPr>
          <w:rFonts w:ascii="Times New Roman" w:hAnsi="Times New Roman"/>
          <w:sz w:val="20"/>
        </w:rPr>
      </w:pPr>
      <w:r>
        <w:rPr>
          <w:rFonts w:ascii="Times New Roman" w:hAnsi="Times New Roman"/>
          <w:sz w:val="20"/>
        </w:rPr>
        <w:t xml:space="preserve">(c) the Parent Net Cash Schedule. </w:t>
      </w:r>
    </w:p>
    <w:p>
      <w:pPr>
        <w:pStyle w:val="TextBody"/>
        <w:bidi w:val="0"/>
        <w:spacing w:before="240" w:after="0"/>
        <w:jc w:val="left"/>
        <w:rPr>
          <w:rFonts w:ascii="Times New Roman" w:hAnsi="Times New Roman"/>
          <w:sz w:val="20"/>
        </w:rPr>
      </w:pPr>
      <w:bookmarkStart w:id="220" w:name="annextoc108148_118"/>
      <w:bookmarkEnd w:id="220"/>
      <w:r>
        <w:rPr>
          <w:rFonts w:ascii="Times New Roman" w:hAnsi="Times New Roman"/>
          <w:sz w:val="20"/>
        </w:rPr>
        <w:t xml:space="preserve">Section 9.4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that is continuing. </w:t>
      </w:r>
    </w:p>
    <w:p>
      <w:pPr>
        <w:pStyle w:val="TextBody"/>
        <w:bidi w:val="0"/>
        <w:spacing w:before="240" w:after="0"/>
        <w:jc w:val="left"/>
        <w:rPr>
          <w:rFonts w:ascii="Times New Roman" w:hAnsi="Times New Roman"/>
          <w:sz w:val="20"/>
        </w:rPr>
      </w:pPr>
      <w:bookmarkStart w:id="221" w:name="annextoc108148_119"/>
      <w:bookmarkEnd w:id="221"/>
      <w:r>
        <w:rPr>
          <w:rFonts w:ascii="Times New Roman" w:hAnsi="Times New Roman"/>
          <w:sz w:val="20"/>
        </w:rPr>
        <w:t xml:space="preserve">Section 9.5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 </w:t>
      </w:r>
    </w:p>
    <w:p>
      <w:pPr>
        <w:pStyle w:val="TextBody"/>
        <w:bidi w:val="0"/>
        <w:spacing w:before="480" w:after="0"/>
        <w:jc w:val="center"/>
        <w:rPr>
          <w:rFonts w:ascii="Times New Roman" w:hAnsi="Times New Roman"/>
          <w:sz w:val="22"/>
        </w:rPr>
      </w:pPr>
      <w:bookmarkStart w:id="222" w:name="annextoc108148_120"/>
      <w:bookmarkEnd w:id="222"/>
      <w:r>
        <w:rPr>
          <w:rFonts w:ascii="Times New Roman" w:hAnsi="Times New Roman"/>
          <w:sz w:val="22"/>
        </w:rPr>
        <w:t xml:space="preserve">ARTICLE X. </w:t>
      </w:r>
    </w:p>
    <w:p>
      <w:pPr>
        <w:pStyle w:val="TextBody"/>
        <w:bidi w:val="0"/>
        <w:spacing w:before="120" w:after="0"/>
        <w:jc w:val="center"/>
        <w:rPr>
          <w:rFonts w:ascii="Times New Roman" w:hAnsi="Times New Roman"/>
          <w:sz w:val="22"/>
        </w:rPr>
      </w:pPr>
      <w:r>
        <w:rPr>
          <w:rFonts w:ascii="Times New Roman" w:hAnsi="Times New Roman"/>
          <w:sz w:val="22"/>
        </w:rPr>
        <w:t xml:space="preserve">TERMINATION </w:t>
      </w:r>
    </w:p>
    <w:p>
      <w:pPr>
        <w:pStyle w:val="TextBody"/>
        <w:bidi w:val="0"/>
        <w:spacing w:before="240" w:after="0"/>
        <w:jc w:val="left"/>
        <w:rPr>
          <w:rFonts w:ascii="Times New Roman" w:hAnsi="Times New Roman"/>
          <w:sz w:val="20"/>
        </w:rPr>
      </w:pPr>
      <w:bookmarkStart w:id="223" w:name="annextoc108148_121"/>
      <w:bookmarkEnd w:id="223"/>
      <w:r>
        <w:rPr>
          <w:rFonts w:ascii="Times New Roman" w:hAnsi="Times New Roman"/>
          <w:sz w:val="20"/>
        </w:rPr>
        <w:t xml:space="preserve">Section 10.1 </w:t>
      </w:r>
      <w:r>
        <w:rPr>
          <w:rFonts w:ascii="Times New Roman" w:hAnsi="Times New Roman"/>
          <w:sz w:val="20"/>
          <w:u w:val="single"/>
        </w:rPr>
        <w:t>Termination</w:t>
      </w:r>
      <w:r>
        <w:rPr>
          <w:rFonts w:ascii="Times New Roman" w:hAnsi="Times New Roman"/>
          <w:sz w:val="20"/>
        </w:rPr>
        <w:t xml:space="preserve">. This Agreement may be terminated prior to the Effective Time (whether before or after adoption of this Agreement by the Company’s stockholders and whether before or after approval of the Parent Stockholder Matters by Parent’s stockholders, unless otherwise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if the Merger shall not have been consummated by March 23, 2027 (subject to possible extension as provided in this </w:t>
      </w:r>
      <w:r>
        <w:rPr>
          <w:rFonts w:ascii="Times New Roman" w:hAnsi="Times New Roman"/>
          <w:sz w:val="20"/>
          <w:u w:val="single"/>
        </w:rPr>
        <w:t>Section 10.1(b)</w:t>
      </w:r>
      <w:r>
        <w:rPr>
          <w:rFonts w:ascii="Times New Roman" w:hAnsi="Times New Roman"/>
          <w:sz w:val="20"/>
        </w:rPr>
        <w:t>, the “</w:t>
      </w:r>
      <w:r>
        <w:rPr>
          <w:rFonts w:ascii="Times New Roman" w:hAnsi="Times New Roman"/>
          <w:b/>
          <w:sz w:val="20"/>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Parent if such Party’s (or (x) in the case of Parent, Merger Sub’s or (y) in the case of the Company, any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or Affiliates’) action or failure to act has been a principal cause of the failure of the Merger to occur on or before the End Date and such action or failure to act constitutes a breach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SEC has not declared effective under the Securities Act the Registration Statement by the date which is 90 days prior to the End Date, then either the Company or Parent shall be entitled to extend the End Date for an additional 90 days; </w:t>
      </w:r>
    </w:p>
    <w:p>
      <w:pPr>
        <w:pStyle w:val="TextBody"/>
        <w:bidi w:val="0"/>
        <w:spacing w:before="24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Authority shall have issued a final and non-appealable Order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Parent if the Required Company Stockholder Vote shall not have been obtained and evidence thereof has not been delivered to Parent within two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Required Company Stockholder Vote has been obtained (whether timely or not), Parent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Matters and (ii) the Parent Stockholder Matters shall not have been approved at the Parent Stockholder Meeting (or at any adjournment or postponement thereof) by the Required Parent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10.1(e)</w:t>
      </w:r>
      <w:r>
        <w:rPr>
          <w:rFonts w:ascii="Times New Roman" w:hAnsi="Times New Roman"/>
          <w:sz w:val="20"/>
        </w:rPr>
        <w:t xml:space="preserve"> shall not be available to Parent where the failure to obtain the Required Parent Stockholder Vote shall have been caused by the action or failure to act of Parent and such action or failure to act constitutes a material breach by Parent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Parent Stockholder Matters by the Required Parent Stockholder Vote) if a Parent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Parent (at any time prior to the adoption of this Agreement and the approval of the Contemplated Transactions by the Required Company Stockholder Vote)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a Delisting Event occurs; </w:t>
      </w:r>
      <w:r>
        <w:rPr>
          <w:rFonts w:ascii="Times New Roman" w:hAnsi="Times New Roman"/>
          <w:sz w:val="20"/>
          <w:u w:val="single"/>
        </w:rPr>
        <w:t>provided</w:t>
      </w:r>
      <w:r>
        <w:rPr>
          <w:rFonts w:ascii="Times New Roman" w:hAnsi="Times New Roman"/>
          <w:sz w:val="20"/>
        </w:rPr>
        <w:t xml:space="preserve">, that if such Delisting Event was primarily caused by the Company’s refusal or unreasonable delay in consenting to reasonable actions by Parent to maintain the listing of Parent Common Stock on Nasdaq, the Company shall not be permitted to terminate this Agreement pursuant to this </w:t>
      </w:r>
      <w:r>
        <w:rPr>
          <w:rFonts w:ascii="Times New Roman" w:hAnsi="Times New Roman"/>
          <w:sz w:val="20"/>
          <w:u w:val="single"/>
        </w:rPr>
        <w:t>Section 10.1(h)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the Company shall not be permitted to terminate this Agreement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until the earlier of (A)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and (B)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(it being understood that the Company shall not be permitted to terminate this Agreement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until the earlier of (i) the expiration of a 30-day period commencing upon delivery of written notice from Parent to the Company of such breach or inaccuracy and its intention to terminate pursuant to this </w:t>
      </w:r>
      <w:r>
        <w:rPr>
          <w:rFonts w:ascii="Times New Roman" w:hAnsi="Times New Roman"/>
          <w:sz w:val="20"/>
          <w:u w:val="single"/>
        </w:rPr>
        <w:t>Section 10.1(j)</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10.1(j)</w:t>
      </w:r>
      <w:r>
        <w:rPr>
          <w:rFonts w:ascii="Times New Roman" w:hAnsi="Times New Roman"/>
          <w:sz w:val="20"/>
        </w:rPr>
        <w:t xml:space="preserve"> (it being understood that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(k) by Parent (at any time prior to the approval of the Parent Stockholder Matters by the Required Parent Stockholder Vote) and following compliance with all of the requirements set forth in the proviso to this </w:t>
      </w:r>
      <w:r>
        <w:rPr>
          <w:rFonts w:ascii="Times New Roman" w:hAnsi="Times New Roman"/>
          <w:sz w:val="20"/>
          <w:u w:val="single"/>
        </w:rPr>
        <w:t>Section 10.1(k)</w:t>
      </w:r>
      <w:r>
        <w:rPr>
          <w:rFonts w:ascii="Times New Roman" w:hAnsi="Times New Roman"/>
          <w:sz w:val="20"/>
        </w:rPr>
        <w:t xml:space="preserve">, upon the Parent Board authorizing Parent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Parent shall have complied in all material respects with its obligations under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hAnsi="Times New Roman"/>
          <w:sz w:val="20"/>
          <w:u w:val="single"/>
        </w:rPr>
        <w:t>Section 10.3(c)</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(l) by Parent if (A) the conditions set forth in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were satisfied or waived on the date the Closing was required to have occurred pursuant to </w:t>
      </w:r>
      <w:r>
        <w:rPr>
          <w:rFonts w:ascii="Times New Roman" w:hAnsi="Times New Roman"/>
          <w:sz w:val="20"/>
          <w:u w:val="single"/>
        </w:rPr>
        <w:t>Section 2.3</w:t>
      </w:r>
      <w:r>
        <w:rPr>
          <w:rFonts w:ascii="Times New Roman" w:hAnsi="Times New Roman"/>
          <w:sz w:val="20"/>
        </w:rPr>
        <w:t xml:space="preserve"> (other than those conditions that by their nature are to be satisfied at the Closing but </w:t>
      </w:r>
      <w:r>
        <w:rPr>
          <w:rFonts w:ascii="Times New Roman" w:hAnsi="Times New Roman"/>
          <w:sz w:val="20"/>
          <w:u w:val="single"/>
        </w:rPr>
        <w:t>provided</w:t>
      </w:r>
      <w:r>
        <w:rPr>
          <w:rFonts w:ascii="Times New Roman" w:hAnsi="Times New Roman"/>
          <w:sz w:val="20"/>
        </w:rPr>
        <w:t xml:space="preserve"> that such conditions were capable of being satisfied if the Closing were to occur on such date), (B) the Company has failed to consummate the Closing on the date on which the Company is required to consummate the Closing pursuant to </w:t>
      </w:r>
      <w:r>
        <w:rPr>
          <w:rFonts w:ascii="Times New Roman" w:hAnsi="Times New Roman"/>
          <w:sz w:val="20"/>
          <w:u w:val="single"/>
        </w:rPr>
        <w:t>Section 2.3</w:t>
      </w:r>
      <w:r>
        <w:rPr>
          <w:rFonts w:ascii="Times New Roman" w:hAnsi="Times New Roman"/>
          <w:sz w:val="20"/>
        </w:rPr>
        <w:t xml:space="preserve">, (C) Parent has, on or after the date the Closing was required to have occurred and at least two Business Days prior to seeking to terminate this Agreement pursuant to this </w:t>
      </w:r>
      <w:r>
        <w:rPr>
          <w:rFonts w:ascii="Times New Roman" w:hAnsi="Times New Roman"/>
          <w:sz w:val="20"/>
          <w:u w:val="single"/>
        </w:rPr>
        <w:t>Section 10.1(l)</w:t>
      </w:r>
      <w:r>
        <w:rPr>
          <w:rFonts w:ascii="Times New Roman" w:hAnsi="Times New Roman"/>
          <w:sz w:val="20"/>
        </w:rPr>
        <w:t xml:space="preserve">, irrevocably confirmed in a written notice delivered to the Company that Parent is ready, willing and able to consummate the Closing and (D) the Company has not consummated the Closing by the earlier of (i) the End Date and (ii) the end of the second Business Day following delivery of such written confirmation.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224" w:name="annextoc108148_122"/>
      <w:bookmarkEnd w:id="224"/>
      <w:r>
        <w:rPr>
          <w:rFonts w:ascii="Times New Roman" w:hAnsi="Times New Roman"/>
          <w:sz w:val="20"/>
        </w:rPr>
        <w:t xml:space="preserve">Section 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(other than </w:t>
      </w:r>
      <w:r>
        <w:rPr>
          <w:rFonts w:ascii="Times New Roman" w:hAnsi="Times New Roman"/>
          <w:sz w:val="20"/>
          <w:u w:val="single"/>
        </w:rPr>
        <w:t>Section 11.8</w:t>
      </w:r>
      <w:r>
        <w:rPr>
          <w:rFonts w:ascii="Times New Roman" w:hAnsi="Times New Roman"/>
          <w:sz w:val="20"/>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bookmarkStart w:id="225" w:name="annextoc108148_123"/>
      <w:bookmarkEnd w:id="225"/>
      <w:r>
        <w:rPr>
          <w:rFonts w:ascii="Times New Roman" w:hAnsi="Times New Roman"/>
          <w:sz w:val="20"/>
        </w:rPr>
        <w:t xml:space="preserve">Section 10.3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all fees and expenses incurred in connection with this Agreement and the Contemplated Transactions shall be paid by the Party incurring such expenses,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not the Merger is consummated; </w:t>
      </w:r>
      <w:r>
        <w:rPr>
          <w:rFonts w:ascii="Times New Roman" w:hAnsi="Times New Roman"/>
          <w:sz w:val="20"/>
          <w:u w:val="single"/>
        </w:rPr>
        <w:t>provided</w:t>
      </w:r>
      <w:r>
        <w:rPr>
          <w:rFonts w:ascii="Times New Roman" w:hAnsi="Times New Roman"/>
          <w:sz w:val="20"/>
        </w:rPr>
        <w:t xml:space="preserve"> that, for the avoidance of doubt and without limitation to the other applicable provisions of this Agreement, Parent and the Company shall each pay 50% of (i) the fees paid in connection with filing the Registration Statement and any amendments and supplements thereto and (ii) 50% of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if this Agreement is terminated by Parent or the Company pursuant to </w:t>
      </w:r>
      <w:r>
        <w:rPr>
          <w:rFonts w:ascii="Times New Roman" w:hAnsi="Times New Roman"/>
          <w:sz w:val="20"/>
          <w:u w:val="single"/>
        </w:rPr>
        <w:t>Section 10.1(b)</w:t>
      </w:r>
      <w:r>
        <w:rPr>
          <w:rFonts w:ascii="Times New Roman" w:hAnsi="Times New Roman"/>
          <w:sz w:val="20"/>
        </w:rPr>
        <w:t xml:space="preserve"> (</w:t>
      </w:r>
      <w:r>
        <w:rPr>
          <w:rFonts w:ascii="Times New Roman" w:hAnsi="Times New Roman"/>
          <w:i/>
          <w:sz w:val="20"/>
        </w:rPr>
        <w:t>End Date</w:t>
      </w:r>
      <w:r>
        <w:rPr>
          <w:rFonts w:ascii="Times New Roman" w:hAnsi="Times New Roman"/>
          <w:sz w:val="20"/>
        </w:rPr>
        <w:t xml:space="preserve">) due to the failure of the Closing to occur on or prior to the End Date (as the same may have been extended), and such failure is primarily caused by (x) the Company’s failure or inability to timely provide the Company Required S-4 Information or any other information required or reasonably requested by Parent for inclusion in or in connection with the Registration Statement or Proxy Statement or (y) any material delay in the filing or effectiveness of the Registration Statement primarily attributable to the Company’s breach of its obligations under this Agreement, then the Company shall, within 10 Business Days after such termination, reimburse Parent for up to $1,000,000 of documented and reasonable out-of-pocket fees and expenses incurred by Parent in connection with the Contemplated Transactions (including fees and expenses of legal counsel, accountants, financial advisors, investment bankers, brokers, consultants and other advisors and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(c) If (i) this Agreement is terminated by Parent or the Company pursuant to </w:t>
      </w:r>
      <w:r>
        <w:rPr>
          <w:rFonts w:ascii="Times New Roman" w:hAnsi="Times New Roman"/>
          <w:sz w:val="20"/>
          <w:u w:val="single"/>
        </w:rPr>
        <w:t>Section 10.1(e)</w:t>
      </w:r>
      <w:r>
        <w:rPr>
          <w:rFonts w:ascii="Times New Roman" w:hAnsi="Times New Roman"/>
          <w:sz w:val="20"/>
        </w:rPr>
        <w:t xml:space="preserve"> (</w:t>
      </w:r>
      <w:r>
        <w:rPr>
          <w:rFonts w:ascii="Times New Roman" w:hAnsi="Times New Roman"/>
          <w:i/>
          <w:sz w:val="20"/>
        </w:rPr>
        <w:t>Required Parent Stockholder Vote</w:t>
      </w:r>
      <w:r>
        <w:rPr>
          <w:rFonts w:ascii="Times New Roman" w:hAnsi="Times New Roman"/>
          <w:sz w:val="20"/>
        </w:rPr>
        <w:t xml:space="preserve">) or by the Company pursuant to </w:t>
      </w:r>
      <w:r>
        <w:rPr>
          <w:rFonts w:ascii="Times New Roman" w:hAnsi="Times New Roman"/>
          <w:sz w:val="20"/>
          <w:u w:val="single"/>
        </w:rPr>
        <w:t>Section 10.1(f)</w:t>
      </w:r>
      <w:r>
        <w:rPr>
          <w:rFonts w:ascii="Times New Roman" w:hAnsi="Times New Roman"/>
          <w:sz w:val="20"/>
        </w:rPr>
        <w:t xml:space="preserve"> (</w:t>
      </w:r>
      <w:r>
        <w:rPr>
          <w:rFonts w:ascii="Times New Roman" w:hAnsi="Times New Roman"/>
          <w:i/>
          <w:sz w:val="20"/>
        </w:rPr>
        <w:t>Parent Triggering Event</w:t>
      </w:r>
      <w:r>
        <w:rPr>
          <w:rFonts w:ascii="Times New Roman" w:hAnsi="Times New Roman"/>
          <w:sz w:val="20"/>
        </w:rPr>
        <w:t>) (and the Required Parent Stockholder Vote has not been obtained by Parent), (ii) at any time after the date of this Agreement and prior to the Parent Stockholder Meeting, a bona fide third party Acquisition Proposal for a change of control transaction with respect to Parent shall have been publicly announced, disclosed or otherwise communicated to the Parent Board (and shall not have been publicly withdrawn) and (iii) within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10 Business Days after termination (or, if applicable, upon such entry into a definitive agreement or consummation of a Subsequent Transaction), a nonrefundable fee in an amount equal to $1,000,000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Parent pursuant to </w:t>
      </w:r>
      <w:r>
        <w:rPr>
          <w:rFonts w:ascii="Times New Roman" w:hAnsi="Times New Roman"/>
          <w:sz w:val="20"/>
          <w:u w:val="single"/>
        </w:rPr>
        <w:t>Section 10.1(d)</w:t>
      </w:r>
      <w:r>
        <w:rPr>
          <w:rFonts w:ascii="Times New Roman" w:hAnsi="Times New Roman"/>
          <w:sz w:val="20"/>
        </w:rPr>
        <w:t xml:space="preserve"> (</w:t>
      </w:r>
      <w:r>
        <w:rPr>
          <w:rFonts w:ascii="Times New Roman" w:hAnsi="Times New Roman"/>
          <w:i/>
          <w:sz w:val="20"/>
        </w:rPr>
        <w:t>Required Company Stockholder Vote</w:t>
      </w:r>
      <w:r>
        <w:rPr>
          <w:rFonts w:ascii="Times New Roman" w:hAnsi="Times New Roman"/>
          <w:sz w:val="20"/>
        </w:rPr>
        <w:t xml:space="preserve">) or </w:t>
      </w:r>
      <w:r>
        <w:rPr>
          <w:rFonts w:ascii="Times New Roman" w:hAnsi="Times New Roman"/>
          <w:sz w:val="20"/>
          <w:u w:val="single"/>
        </w:rPr>
        <w:t>Section 10.1(g)</w:t>
      </w:r>
      <w:r>
        <w:rPr>
          <w:rFonts w:ascii="Times New Roman" w:hAnsi="Times New Roman"/>
          <w:sz w:val="20"/>
        </w:rPr>
        <w:t xml:space="preserve"> (</w:t>
      </w:r>
      <w:r>
        <w:rPr>
          <w:rFonts w:ascii="Times New Roman" w:hAnsi="Times New Roman"/>
          <w:i/>
          <w:sz w:val="20"/>
        </w:rPr>
        <w:t>Company Triggering Event</w:t>
      </w:r>
      <w:r>
        <w:rPr>
          <w:rFonts w:ascii="Times New Roman" w:hAnsi="Times New Roman"/>
          <w:sz w:val="20"/>
        </w:rPr>
        <w:t>), then the Company shall pay to Parent, within 10 Business Days after termination, a nonrefundable fee in an amount equal to $1,000,000 (the “</w:t>
      </w:r>
      <w:r>
        <w:rPr>
          <w:rFonts w:ascii="Times New Roman" w:hAnsi="Times New Roman"/>
          <w:b/>
          <w:sz w:val="20"/>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(i) this Agreement is terminated by Parent pursuant to </w:t>
      </w:r>
      <w:r>
        <w:rPr>
          <w:rFonts w:ascii="Times New Roman" w:hAnsi="Times New Roman"/>
          <w:sz w:val="20"/>
          <w:u w:val="single"/>
        </w:rPr>
        <w:t>Section 10.1(l)</w:t>
      </w:r>
      <w:r>
        <w:rPr>
          <w:rFonts w:ascii="Times New Roman" w:hAnsi="Times New Roman"/>
          <w:sz w:val="20"/>
        </w:rPr>
        <w:t xml:space="preserve"> (</w:t>
      </w:r>
      <w:r>
        <w:rPr>
          <w:rFonts w:ascii="Times New Roman" w:hAnsi="Times New Roman"/>
          <w:i/>
          <w:sz w:val="20"/>
        </w:rPr>
        <w:t>Company Failure to Close</w:t>
      </w:r>
      <w:r>
        <w:rPr>
          <w:rFonts w:ascii="Times New Roman" w:hAnsi="Times New Roman"/>
          <w:sz w:val="20"/>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12 months after the date of such termination, the Company enters into a definitive agreement with respect to a Subsequent Transaction or consummates a Subsequent Transaction, then the Company shall pay to Parent, within 10 Business Days after termination (or, if applicable, upon such entry into a definitive agreement or consummation of a Subsequent Transaction), the Parent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10.3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Parent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hAnsi="Times New Roman"/>
          <w:sz w:val="20"/>
          <w:u w:val="single"/>
        </w:rPr>
        <w:t>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10.3(g)</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w:t>
      </w:r>
    </w:p>
    <w:p>
      <w:pPr>
        <w:pStyle w:val="TextBody"/>
        <w:bidi w:val="0"/>
        <w:spacing w:before="480" w:after="0"/>
        <w:jc w:val="center"/>
        <w:rPr>
          <w:rFonts w:ascii="Times New Roman" w:hAnsi="Times New Roman"/>
          <w:sz w:val="20"/>
        </w:rPr>
      </w:pPr>
      <w:bookmarkStart w:id="226" w:name="annextoc108148_124"/>
      <w:bookmarkEnd w:id="226"/>
      <w:r>
        <w:rPr>
          <w:rFonts w:ascii="Times New Roman" w:hAnsi="Times New Roman"/>
          <w:sz w:val="20"/>
        </w:rPr>
        <w:t xml:space="preserve">ARTICLE XI.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bookmarkStart w:id="227" w:name="annextoc108148_125"/>
      <w:bookmarkEnd w:id="227"/>
      <w:r>
        <w:rPr>
          <w:rFonts w:ascii="Times New Roman" w:hAnsi="Times New Roman"/>
          <w:sz w:val="20"/>
        </w:rPr>
        <w:t xml:space="preserve">Section 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0"/>
          <w:u w:val="single"/>
        </w:rPr>
        <w:t>Section 11</w:t>
      </w:r>
      <w:r>
        <w:rPr>
          <w:rFonts w:ascii="Times New Roman" w:hAnsi="Times New Roman"/>
          <w:sz w:val="20"/>
        </w:rPr>
        <w:t xml:space="preserve"> shall survive the Effective Time. </w:t>
      </w:r>
    </w:p>
    <w:p>
      <w:pPr>
        <w:pStyle w:val="TextBody"/>
        <w:bidi w:val="0"/>
        <w:spacing w:before="240" w:after="0"/>
        <w:jc w:val="left"/>
        <w:rPr>
          <w:rFonts w:ascii="Times New Roman" w:hAnsi="Times New Roman"/>
          <w:sz w:val="20"/>
        </w:rPr>
      </w:pPr>
      <w:bookmarkStart w:id="228" w:name="annextoc108148_126"/>
      <w:bookmarkEnd w:id="228"/>
      <w:r>
        <w:rPr>
          <w:rFonts w:ascii="Times New Roman" w:hAnsi="Times New Roman"/>
          <w:sz w:val="20"/>
        </w:rPr>
        <w:t xml:space="preserve">Section 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 and Parent at any time (whether before or after the adoption and approval of this Agreement by the Company’s stockholders or before or after obtaining the Required Parent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 </w:t>
      </w:r>
    </w:p>
    <w:p>
      <w:pPr>
        <w:pStyle w:val="TextBody"/>
        <w:bidi w:val="0"/>
        <w:spacing w:before="240" w:after="0"/>
        <w:jc w:val="left"/>
        <w:rPr>
          <w:rFonts w:ascii="Times New Roman" w:hAnsi="Times New Roman"/>
          <w:sz w:val="20"/>
        </w:rPr>
      </w:pPr>
      <w:bookmarkStart w:id="229" w:name="annextoc108148_127"/>
      <w:bookmarkEnd w:id="229"/>
      <w:r>
        <w:rPr>
          <w:rFonts w:ascii="Times New Roman" w:hAnsi="Times New Roman"/>
          <w:sz w:val="20"/>
        </w:rPr>
        <w:t xml:space="preserve">Section 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30" w:name="annextoc108148_128"/>
      <w:bookmarkEnd w:id="230"/>
      <w:r>
        <w:rPr>
          <w:rFonts w:ascii="Times New Roman" w:hAnsi="Times New Roman"/>
          <w:sz w:val="20"/>
        </w:rPr>
        <w:t xml:space="preserve">Section 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not be superseded and shall remain in full force and effect in accordance with its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only Exhibit D (including Exhibit A to such Exhibit) is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231" w:name="annextoc108148_129"/>
      <w:bookmarkEnd w:id="231"/>
      <w:r>
        <w:rPr>
          <w:rFonts w:ascii="Times New Roman" w:hAnsi="Times New Roman"/>
          <w:sz w:val="20"/>
        </w:rPr>
        <w:t xml:space="preserve">Section 11.5 </w:t>
      </w:r>
      <w:r>
        <w:rPr>
          <w:rFonts w:ascii="Times New Roman" w:hAnsi="Times New Roman"/>
          <w:sz w:val="20"/>
          <w:u w:val="single"/>
        </w:rPr>
        <w:t>Applicable Law; Jurisdiction; WAIVER OF RIGHT TO TRIAL BY JURY</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232" w:name="annextoc108148_130"/>
      <w:bookmarkEnd w:id="232"/>
      <w:r>
        <w:rPr>
          <w:rFonts w:ascii="Times New Roman" w:hAnsi="Times New Roman"/>
          <w:sz w:val="20"/>
        </w:rPr>
        <w:t xml:space="preserve">Section 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233" w:name="annextoc108148_131"/>
      <w:bookmarkEnd w:id="233"/>
      <w:r>
        <w:rPr>
          <w:rFonts w:ascii="Times New Roman" w:hAnsi="Times New Roman"/>
          <w:sz w:val="20"/>
        </w:rPr>
        <w:t xml:space="preserve">Section 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9:00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650 Town Center Drive, 20th Floor </w:t>
      </w:r>
    </w:p>
    <w:p>
      <w:pPr>
        <w:pStyle w:val="TextBody"/>
        <w:bidi w:val="0"/>
        <w:spacing w:before="0" w:after="0"/>
        <w:jc w:val="left"/>
        <w:rPr>
          <w:rFonts w:ascii="Times New Roman" w:hAnsi="Times New Roman"/>
          <w:sz w:val="20"/>
        </w:rPr>
      </w:pPr>
      <w:r>
        <w:rPr>
          <w:rFonts w:ascii="Times New Roman" w:hAnsi="Times New Roman"/>
          <w:sz w:val="20"/>
        </w:rPr>
        <w:t xml:space="preserve">Costa Mesa, CA 92626 </w:t>
      </w:r>
    </w:p>
    <w:p>
      <w:pPr>
        <w:pStyle w:val="TextBody"/>
        <w:bidi w:val="0"/>
        <w:spacing w:before="0" w:after="0"/>
        <w:jc w:val="left"/>
        <w:rPr>
          <w:rFonts w:ascii="Times New Roman" w:hAnsi="Times New Roman"/>
          <w:sz w:val="20"/>
        </w:rPr>
      </w:pPr>
      <w:r>
        <w:rPr>
          <w:rFonts w:ascii="Times New Roman" w:hAnsi="Times New Roman"/>
          <w:sz w:val="20"/>
        </w:rPr>
        <w:t xml:space="preserve">Attention: Daniel Rees, Shannon Cheng </w:t>
      </w:r>
    </w:p>
    <w:p>
      <w:pPr>
        <w:pStyle w:val="TextBody"/>
        <w:bidi w:val="0"/>
        <w:spacing w:before="0" w:after="0"/>
        <w:jc w:val="left"/>
        <w:rPr>
          <w:rFonts w:ascii="Times New Roman" w:hAnsi="Times New Roman"/>
          <w:sz w:val="20"/>
        </w:rPr>
      </w:pPr>
      <w:r>
        <w:rPr>
          <w:rFonts w:ascii="Times New Roman" w:hAnsi="Times New Roman"/>
          <w:sz w:val="20"/>
        </w:rPr>
        <w:t xml:space="preserve">Email: Daniel.Rees@lw.com, Shannon.Cheng@lw.com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Serapha Bio, Inc. </w:t>
      </w:r>
    </w:p>
    <w:p>
      <w:pPr>
        <w:pStyle w:val="TextBody"/>
        <w:bidi w:val="0"/>
        <w:spacing w:before="0" w:after="0"/>
        <w:jc w:val="left"/>
        <w:rPr>
          <w:rFonts w:ascii="Times New Roman" w:hAnsi="Times New Roman"/>
          <w:sz w:val="20"/>
        </w:rPr>
      </w:pPr>
      <w:r>
        <w:rPr>
          <w:rFonts w:ascii="Times New Roman" w:hAnsi="Times New Roman"/>
          <w:sz w:val="20"/>
        </w:rPr>
        <w:t xml:space="preserve">40 10th Avenue, 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w:t>
      </w:r>
    </w:p>
    <w:p>
      <w:pPr>
        <w:pStyle w:val="TextBody"/>
        <w:bidi w:val="0"/>
        <w:spacing w:before="240" w:after="0"/>
        <w:jc w:val="left"/>
        <w:rPr>
          <w:rFonts w:ascii="Times New Roman" w:hAnsi="Times New Roman"/>
          <w:sz w:val="20"/>
        </w:rPr>
      </w:pPr>
      <w:bookmarkStart w:id="234" w:name="annextoc108148_132"/>
      <w:bookmarkEnd w:id="234"/>
      <w:r>
        <w:rPr>
          <w:rFonts w:ascii="Times New Roman" w:hAnsi="Times New Roman"/>
          <w:sz w:val="20"/>
        </w:rPr>
        <w:t xml:space="preserve">Section 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235" w:name="annextoc108148_133"/>
      <w:bookmarkEnd w:id="235"/>
      <w:r>
        <w:rPr>
          <w:rFonts w:ascii="Times New Roman" w:hAnsi="Times New Roman"/>
          <w:sz w:val="20"/>
        </w:rPr>
        <w:t xml:space="preserve">Section 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236" w:name="annextoc108148_134"/>
      <w:bookmarkEnd w:id="236"/>
      <w:r>
        <w:rPr>
          <w:rFonts w:ascii="Times New Roman" w:hAnsi="Times New Roman"/>
          <w:sz w:val="20"/>
        </w:rPr>
        <w:t xml:space="preserve">Section 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The Parties acknowledge and agree that (a) each of the Parties shall be entitled to specific performance, injunctive relief or other equitable relief to prevent breaches of this Agreement and to enforce specifically the terms and provisions of this Agreement, in each case, without proof of damages, this being in addition to any other remedy to which the Parties are entitled under this Agreement, and (b)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 of specific enforcement under this </w:t>
      </w:r>
      <w:r>
        <w:rPr>
          <w:rFonts w:ascii="Times New Roman" w:hAnsi="Times New Roman"/>
          <w:sz w:val="20"/>
          <w:u w:val="single"/>
        </w:rPr>
        <w:t>Section 11.10</w:t>
      </w:r>
      <w:r>
        <w:rPr>
          <w:rFonts w:ascii="Times New Roman" w:hAnsi="Times New Roman"/>
          <w:sz w:val="20"/>
        </w:rPr>
        <w:t xml:space="preserve"> is an integral part of the transactions contemplated by this Agreement and without that right, none of the Parties would have entered into this Agreement. </w:t>
      </w:r>
    </w:p>
    <w:p>
      <w:pPr>
        <w:pStyle w:val="TextBody"/>
        <w:bidi w:val="0"/>
        <w:spacing w:before="240" w:after="0"/>
        <w:jc w:val="left"/>
        <w:rPr>
          <w:rFonts w:ascii="Times New Roman" w:hAnsi="Times New Roman"/>
          <w:sz w:val="20"/>
        </w:rPr>
      </w:pPr>
      <w:bookmarkStart w:id="237" w:name="annextoc108148_135"/>
      <w:bookmarkEnd w:id="237"/>
      <w:r>
        <w:rPr>
          <w:rFonts w:ascii="Times New Roman" w:hAnsi="Times New Roman"/>
          <w:sz w:val="20"/>
        </w:rPr>
        <w:t xml:space="preserve">Section 11.11 </w:t>
      </w:r>
      <w:r>
        <w:rPr>
          <w:rFonts w:ascii="Times New Roman" w:hAnsi="Times New Roman"/>
          <w:sz w:val="20"/>
          <w:u w:val="single"/>
        </w:rPr>
        <w:t>No 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6.7</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OUNDLESS</w:t>
            </w:r>
            <w:r>
              <w:rPr>
                <w:b/>
              </w:rPr>
              <w:t xml:space="preserve"> B</w:t>
            </w:r>
            <w:r>
              <w:rPr>
                <w:b/>
                <w:sz w:val="20"/>
              </w:rPr>
              <w:t>IO</w:t>
            </w:r>
            <w:r>
              <w:rPr>
                <w:b/>
              </w:rPr>
              <w:t>, I</w:t>
            </w:r>
            <w:r>
              <w:rPr>
                <w:b/>
                <w:sz w:val="20"/>
              </w:rPr>
              <w:t>NC</w:t>
            </w:r>
            <w:r>
              <w:rPr>
                <w:b/>
              </w:rPr>
              <w:t>.</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Zachary D. Hornby</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Zachary D. Hornby</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OULDER</w:t>
            </w:r>
            <w:r>
              <w:rPr>
                <w:b/>
              </w:rPr>
              <w:t xml:space="preserve"> M</w:t>
            </w:r>
            <w:r>
              <w:rPr>
                <w:b/>
                <w:sz w:val="20"/>
              </w:rPr>
              <w:t>ERGER</w:t>
            </w:r>
            <w:r>
              <w:rPr>
                <w:b/>
              </w:rPr>
              <w:t xml:space="preserve"> S</w:t>
            </w:r>
            <w:r>
              <w:rPr>
                <w:b/>
                <w:sz w:val="20"/>
              </w:rPr>
              <w:t>UB</w:t>
            </w:r>
            <w:r>
              <w:rPr>
                <w:b/>
              </w:rPr>
              <w:t xml:space="preserve"> C</w:t>
            </w:r>
            <w:r>
              <w:rPr>
                <w:b/>
                <w:sz w:val="20"/>
              </w:rPr>
              <w:t>ORP</w:t>
            </w:r>
            <w:r>
              <w:rPr>
                <w:b/>
              </w:rPr>
              <w:t>.</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Jessica Oien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Jesssica Oien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ERAPHA</w:t>
            </w:r>
            <w:r>
              <w:rPr>
                <w:b/>
              </w:rPr>
              <w:t xml:space="preserve"> B</w:t>
            </w:r>
            <w:r>
              <w:rPr>
                <w:b/>
                <w:sz w:val="20"/>
              </w:rPr>
              <w:t>IO</w:t>
            </w:r>
            <w:r>
              <w:rPr>
                <w:b/>
              </w:rPr>
              <w:t>, I</w:t>
            </w:r>
            <w:r>
              <w:rPr>
                <w:b/>
                <w:sz w:val="20"/>
              </w:rPr>
              <w:t>NC</w:t>
            </w:r>
            <w:r>
              <w:rPr>
                <w:b/>
              </w:rPr>
              <w:t>.</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Alice Lee</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SUBSCRIPTION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120" w:after="0"/>
        <w:jc w:val="center"/>
        <w:rPr>
          <w:rFonts w:ascii="Times New Roman" w:hAnsi="Times New Roman"/>
          <w:sz w:val="20"/>
        </w:rPr>
      </w:pPr>
      <w:r>
        <w:rPr>
          <w:rFonts w:ascii="Times New Roman" w:hAnsi="Times New Roman"/>
          <w:b/>
          <w:sz w:val="20"/>
        </w:rPr>
        <w:t>FORM OF COMPANY STOCKHOLDER WRITTEN CONSENT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AMENDMENT NO. 1 TO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AMENDMENT NO.</w:t>
      </w:r>
      <w:r>
        <w:rPr>
          <w:rFonts w:ascii="Times New Roman" w:hAnsi="Times New Roman"/>
          <w:sz w:val="20"/>
        </w:rPr>
        <w:t> </w:t>
      </w:r>
      <w:r>
        <w:rPr>
          <w:rFonts w:ascii="Times New Roman" w:hAnsi="Times New Roman"/>
          <w:b/>
          <w:sz w:val="20"/>
        </w:rPr>
        <w:t>1 TO AGREEMENT AND PLAN OF MERGER AND REORGANIZATION</w:t>
      </w:r>
      <w:r>
        <w:rPr>
          <w:rFonts w:ascii="Times New Roman" w:hAnsi="Times New Roman"/>
          <w:sz w:val="20"/>
        </w:rPr>
        <w:t xml:space="preserve"> (this “</w:t>
      </w:r>
      <w:r>
        <w:rPr>
          <w:rFonts w:ascii="Times New Roman" w:hAnsi="Times New Roman"/>
          <w:b/>
          <w:i/>
          <w:sz w:val="20"/>
        </w:rPr>
        <w:t>Amendment</w:t>
      </w:r>
      <w:r>
        <w:rPr>
          <w:rFonts w:ascii="Times New Roman" w:hAnsi="Times New Roman"/>
          <w:sz w:val="20"/>
        </w:rPr>
        <w:t>”) is made as of August 28, 2026, with respect to that certain Agreement and Plan of Merger and Reorganization (as amended to date, the “</w:t>
      </w:r>
      <w:r>
        <w:rPr>
          <w:rFonts w:ascii="Times New Roman" w:hAnsi="Times New Roman"/>
          <w:b/>
          <w:i/>
          <w:sz w:val="20"/>
        </w:rPr>
        <w:t>Merger Agreement</w:t>
      </w:r>
      <w:r>
        <w:rPr>
          <w:rFonts w:ascii="Times New Roman" w:hAnsi="Times New Roman"/>
          <w:sz w:val="20"/>
        </w:rPr>
        <w:t>”), dated as of June 22, 2026 (the “</w:t>
      </w:r>
      <w:r>
        <w:rPr>
          <w:rFonts w:ascii="Times New Roman" w:hAnsi="Times New Roman"/>
          <w:b/>
          <w:i/>
          <w:sz w:val="20"/>
        </w:rPr>
        <w:t>Agreement Date</w:t>
      </w:r>
      <w:r>
        <w:rPr>
          <w:rFonts w:ascii="Times New Roman" w:hAnsi="Times New Roman"/>
          <w:sz w:val="20"/>
        </w:rPr>
        <w:t>”), by and among Boundless Bio, Inc., a Delaware corporation (“</w:t>
      </w:r>
      <w:r>
        <w:rPr>
          <w:rFonts w:ascii="Times New Roman" w:hAnsi="Times New Roman"/>
          <w:b/>
          <w:i/>
          <w:sz w:val="20"/>
        </w:rPr>
        <w:t>Parent</w:t>
      </w:r>
      <w:r>
        <w:rPr>
          <w:rFonts w:ascii="Times New Roman" w:hAnsi="Times New Roman"/>
          <w:sz w:val="20"/>
        </w:rPr>
        <w:t>”), Boulder Merger Sub Corp., a Delaware corporation and wholly owned subsidiary of Parent (“</w:t>
      </w:r>
      <w:r>
        <w:rPr>
          <w:rFonts w:ascii="Times New Roman" w:hAnsi="Times New Roman"/>
          <w:b/>
          <w:i/>
          <w:sz w:val="20"/>
        </w:rPr>
        <w:t>Merger Sub</w:t>
      </w:r>
      <w:r>
        <w:rPr>
          <w:rFonts w:ascii="Times New Roman" w:hAnsi="Times New Roman"/>
          <w:sz w:val="20"/>
        </w:rPr>
        <w:t>”), and Serapha Bio, Inc., a Delaware corporation (the “</w:t>
      </w:r>
      <w:r>
        <w:rPr>
          <w:rFonts w:ascii="Times New Roman" w:hAnsi="Times New Roman"/>
          <w:b/>
          <w:i/>
          <w:sz w:val="20"/>
        </w:rPr>
        <w:t>Company</w:t>
      </w:r>
      <w:r>
        <w:rPr>
          <w:rFonts w:ascii="Times New Roman" w:hAnsi="Times New Roman"/>
          <w:sz w:val="20"/>
        </w:rPr>
        <w:t xml:space="preserve">”). All capitalized terms used but not otherwise defined herein shall have the respective meanings ascribed to them in the Merger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11.2 of the Merger Agreement, the Merger Agreement may be amended by any instrument in writing signed on behalf of the Company, Parent and Merger Sub, with the approval of the respective boards of directors of the Company, Parent and Merger Sub;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and Merger Sub desire to amend the Merger Agreement as set forth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recitals, the mutual covenants and agreements set forth herein, and other good and valuable consideration, the receipt and sufficiency of which are hereby acknowledged, intending to be legally bound, the Company, Parent and Merger Sub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AMENDMENTS TO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1.1(a) of the Merger Agreement is hereby amended by adding the following defined term in appropriate alphabetical order: </w:t>
            </w:r>
          </w:p>
        </w:tc>
      </w:tr>
    </w:tbl>
    <w:p>
      <w:pPr>
        <w:pStyle w:val="TextBody"/>
        <w:bidi w:val="0"/>
        <w:spacing w:before="120" w:after="0"/>
        <w:jc w:val="left"/>
        <w:rPr/>
      </w:pPr>
      <w:r>
        <w:rPr/>
        <w:t>“</w:t>
      </w:r>
      <w:r>
        <w:rPr>
          <w:rFonts w:ascii="Times New Roman" w:hAnsi="Times New Roman"/>
          <w:b/>
          <w:sz w:val="20"/>
        </w:rPr>
        <w:t>Company RSUs</w:t>
      </w:r>
      <w:r>
        <w:rPr>
          <w:rFonts w:ascii="Times New Roman" w:hAnsi="Times New Roman"/>
          <w:sz w:val="20"/>
        </w:rPr>
        <w:t xml:space="preserve">” means restricted stock unit awards covering shares of Company Common Stock issued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“Company Outstanding Shares” under Section 1.1(a) of the Merger Agreement is hereby amended and restated in its entirety to read as follows: </w:t>
            </w:r>
          </w:p>
        </w:tc>
      </w:tr>
    </w:tbl>
    <w:p>
      <w:pPr>
        <w:pStyle w:val="TextBody"/>
        <w:bidi w:val="0"/>
        <w:spacing w:before="120" w:after="0"/>
        <w:jc w:val="left"/>
        <w:rPr/>
      </w:pPr>
      <w:r>
        <w:rPr/>
        <w:t>“</w:t>
      </w:r>
      <w:r>
        <w:rPr>
          <w:rFonts w:ascii="Times New Roman" w:hAnsi="Times New Roman"/>
          <w:b/>
          <w:sz w:val="20"/>
        </w:rPr>
        <w:t>Company Outstanding Shares</w:t>
      </w:r>
      <w:r>
        <w:rPr>
          <w:rFonts w:ascii="Times New Roman" w:hAnsi="Times New Roman"/>
          <w:sz w:val="20"/>
        </w:rPr>
        <w:t xml:space="preserve">” means, without duplication, the total number of shares of Company Capital Stock outstanding immediately prior to the Effective Time (including any shares of Company Common Stock or Company Preferred Stock that are issued in, or issuable upon the exercise or conversion of securities issued in, the Company Pre-Closing Financing, Series A-1 Preferred Stock equal to the Company Series A-1 Preferred Stock Initial Amount or any additional Series A-1 Preferred Stock in excess of the Company Series A-1 Preferred Stock Remeasurement Maximum Amount), expressed on a fully diluted and as converted to Company Common Stock basis assuming, without limitation or duplication, the exercise and/or settlement (as applicable)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Effective Time, provided that “Company Outstanding Shares” shall exclude a number of shares of Company Series A-1 Preferred Stock issued or issuable upon the exercise of the Yoltech Warrant equal to the Company Series A-1 Preferred Stock Remeasurement Maximum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“Company Stock Plans” under Section 1.1(a) of the Merger Agreement is hereby amended by replacing the words “that may be adopted by the Company from time to time following the date hereof” with the words “that has been or may be adopted by the Company on or following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Pre-Closing 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3"/>
        <w:gridCol w:w="9084"/>
      </w:tblGrid>
      <w:tr>
        <w:trPr/>
        <w:tc>
          <w:tcPr>
            <w:tcW w:w="408"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Recital K of the Merger Agreement is hereby amended and restated in its entirety to read as follows: </w:t>
            </w:r>
          </w:p>
        </w:tc>
      </w:tr>
    </w:tbl>
    <w:p>
      <w:pPr>
        <w:pStyle w:val="TextBody"/>
        <w:bidi w:val="0"/>
        <w:spacing w:before="120" w:after="0"/>
        <w:jc w:val="left"/>
        <w:rPr/>
      </w:pPr>
      <w:r>
        <w:rPr/>
        <w:t>“</w:t>
      </w:r>
      <w:r>
        <w:rPr>
          <w:rFonts w:ascii="Times New Roman" w:hAnsi="Times New Roman"/>
          <w:sz w:val="20"/>
        </w:rPr>
        <w:t>Concurrently with the execution and delivery of this Agreement, certain investors are executing and delivering a Securities Purchase Agreement in the form attached hereto as Exhibit C among the Company and the Persons named therein (including as may be amended, restated and/or superseded from time to time, the “</w:t>
      </w:r>
      <w:r>
        <w:rPr>
          <w:rFonts w:ascii="Times New Roman" w:hAnsi="Times New Roman"/>
          <w:b/>
          <w:sz w:val="20"/>
        </w:rPr>
        <w:t>Subscription Agreement</w:t>
      </w:r>
      <w:r>
        <w:rPr>
          <w:rFonts w:ascii="Times New Roman" w:hAnsi="Times New Roman"/>
          <w:sz w:val="20"/>
        </w:rPr>
        <w:t>”), pursuant to which such Persons will agree to purchase, in the amounts set forth therein, shares of Company Capital Stock (together with the Series A Financing,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3"/>
        <w:gridCol w:w="9085"/>
      </w:tblGrid>
      <w:tr>
        <w:trPr/>
        <w:tc>
          <w:tcPr>
            <w:tcW w:w="407"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1.2.2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furtherance of </w:t>
            </w:r>
            <w:r>
              <w:rPr>
                <w:rFonts w:ascii="Times New Roman" w:hAnsi="Times New Roman"/>
                <w:sz w:val="20"/>
                <w:u w:val="single"/>
              </w:rPr>
              <w:t>Section 1.2.1</w:t>
            </w:r>
            <w:r>
              <w:rPr>
                <w:rFonts w:ascii="Times New Roman" w:hAnsi="Times New Roman"/>
                <w:sz w:val="20"/>
              </w:rPr>
              <w:t xml:space="preserve"> of this Amendment, the definition of “Acquisition Transaction” in Section 1.1(a) of the Merger Agreement is hereby amended by deleting the words “the Series A Financing,” appearing after “any Parent Legacy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8.8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The Subscription Agreement and the Series A Financing Agreement shall each be in full force and effect and aggregate gross cash proceeds of not less than the Company Pre-Closing Financing Minimum Amount shall have been received by the Company, or will be received by the Company substantially contemporaneously with the Closing, in connection with the consummation of the Company Pre-Closing Financing.”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RSUs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15"/>
        <w:gridCol w:w="9084"/>
      </w:tblGrid>
      <w:tr>
        <w:trPr/>
        <w:tc>
          <w:tcPr>
            <w:tcW w:w="406"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1.3.1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2.5(d) of the Merger Agreement is hereby amended by adding the following sentence to the end thereof: “All Company RSUs outstanding immediately prior to the Effective Time shall be treated in accordance with </w:t>
            </w:r>
            <w:r>
              <w:rPr>
                <w:rFonts w:ascii="Times New Roman" w:hAnsi="Times New Roman"/>
                <w:sz w:val="20"/>
                <w:u w:val="single"/>
              </w:rPr>
              <w:t>Section 6.5(c)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2.5(f)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If, between the date of this Agreement and the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3.6(c)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The Company has entered into an employment agreement pursuant to which the Company will reserve a number of shares equal to 5% of the fully-diluted issued and outstanding Company Capital Stock through the closing of the Pre-Closing Financing, which awards will be issued under the Company’s 2026 Equity Incentive Plan (the “</w:t>
      </w:r>
      <w:r>
        <w:rPr>
          <w:rFonts w:ascii="Times New Roman" w:hAnsi="Times New Roman"/>
          <w:b/>
          <w:sz w:val="20"/>
        </w:rPr>
        <w:t>Stock Plan</w:t>
      </w:r>
      <w:r>
        <w:rPr>
          <w:rFonts w:ascii="Times New Roman" w:hAnsi="Times New Roman"/>
          <w:sz w:val="20"/>
        </w:rPr>
        <w:t xml:space="preserve">”). As of the date hereof, there are no other Company Options, Company RSUs, or other equity awards issued, outstanding or subject to executed employment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3.6(e)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1.3.5</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The heading of Section 6.5 of the Merger Agreement is hereby amended and restated in its entirety as “</w:t>
            </w:r>
            <w:r>
              <w:rPr>
                <w:rFonts w:ascii="Times New Roman" w:hAnsi="Times New Roman"/>
                <w:sz w:val="20"/>
                <w:u w:val="single"/>
              </w:rPr>
              <w:t>Company Options; Company Warrants; Company RSUs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6.5 of the Merger Agreement is hereby amended by adding the following as a new Section 6.5(c): </w:t>
            </w:r>
          </w:p>
        </w:tc>
      </w:tr>
    </w:tbl>
    <w:p>
      <w:pPr>
        <w:pStyle w:val="TextBody"/>
        <w:bidi w:val="0"/>
        <w:spacing w:before="120" w:after="0"/>
        <w:jc w:val="left"/>
        <w:rPr/>
      </w:pPr>
      <w:r>
        <w:rPr/>
        <w:t>“</w:t>
      </w:r>
      <w:r>
        <w:rPr>
          <w:rFonts w:ascii="Times New Roman" w:hAnsi="Times New Roman"/>
          <w:sz w:val="20"/>
        </w:rPr>
        <w:t>(c) At the Effective Time, each Company RSU, whether vested or unvested, that is outstanding immediately prior to the Effective Time shall, at the Effective Time, cease to represent a right to receive shares of Company Common Stock and shall be converted, at the Effective Time, into a restricted stock unit award covering shares of Parent Common Stock (an “</w:t>
      </w:r>
      <w:r>
        <w:rPr>
          <w:rFonts w:ascii="Times New Roman" w:hAnsi="Times New Roman"/>
          <w:b/>
          <w:sz w:val="20"/>
        </w:rPr>
        <w:t>Assumed RSU</w:t>
      </w:r>
      <w:r>
        <w:rPr>
          <w:rFonts w:ascii="Times New Roman" w:hAnsi="Times New Roman"/>
          <w:sz w:val="20"/>
        </w:rPr>
        <w:t xml:space="preserve">”), on the same terms and conditions (including any vesting provisions, any provisions providing for vesting upon or following a listing of Parent Common Stock, and any provisions providing for accelerated vesting upon certain events) as were applicable under such Company RSU as of immediately prior to the Effective Time, except for administrative or ministerial changes as determined by the Company Board (or, following the Effective Time, the Parent Board or compensation committee). The number of shares of Parent Common Stock subject to each such Assumed RSU shall be equal to (i) the number of shares of Company Common Stock subject to the respective Company RSU immediately prior to the Effective Time multiplied by (ii) the Exchange Ratio, rounded down, if necessary, to the nearest whole share of Parent Common Stock; provided that, in the case of any Assumed RSU to which Section 409A of the Code applies as of the Effective Time, the number of shares of Parent Common Stock subject to such restricted stock unit award and the terms and conditions of such restricted stock unit award shall be determined in a manner consistent with the requirements of Section 409A of the Code in order to avoid the imposition of any additional taxes thereunder. The Company Board shall, prior to the Effective Time, take all actions necessary to effect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15"/>
        <w:gridCol w:w="9084"/>
      </w:tblGrid>
      <w:tr>
        <w:trPr/>
        <w:tc>
          <w:tcPr>
            <w:tcW w:w="406"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1.3.7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6.15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u w:val="single"/>
        </w:rPr>
        <w:t>Allocation Information</w:t>
      </w:r>
      <w:r>
        <w:rPr>
          <w:rFonts w:ascii="Times New Roman" w:hAnsi="Times New Roman"/>
          <w:sz w:val="20"/>
        </w:rPr>
        <w:t>. The Company will prepare and deliver to Parent prior to the Closing a spreadsheet setting forth (as of immediately prior to the Effective Time) (a) each holder of (i) Company 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Pre-Funded Warrants, Assumed Options, Assumed RSUs, and Assumed Warrants to be issued to such holder pursuant to this Agreement in respect of the Company Capital Stock, Company Options, Company RSUs, and Company Warrants held by such holder as of immediately prior to the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Beneficial Ownership Limitation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2.5(a)(ii)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(including any shares of Company Capital Stock issued pursuant to the Company Pre-Closing Financing) outstanding immediately prior to the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xml:space="preserve">) shall be converted solely into the right to receive a number of shares of Parent Common Stock equal to the Exchange Ratio;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aggregate number of shares of Parent Common Stock issued to any holder of Company Capital Stock at Closing would result in the issuance of shares of Parent Common Stock in an amount (when aggregated with all shares of Parent Common Stock and any other securities of Parent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hAnsi="Times New Roman"/>
          <w:b/>
          <w:sz w:val="20"/>
        </w:rPr>
        <w:t>Remaining Entitlement</w:t>
      </w:r>
      <w:r>
        <w:rPr>
          <w:rFonts w:ascii="Times New Roman" w:hAnsi="Times New Roman"/>
          <w:sz w:val="20"/>
        </w:rPr>
        <w:t xml:space="preserve">”), pre-funded warrants, substantially in the form attached hereto as </w:t>
      </w:r>
      <w:r>
        <w:rPr>
          <w:rFonts w:ascii="Times New Roman" w:hAnsi="Times New Roman"/>
          <w:sz w:val="20"/>
          <w:u w:val="single"/>
        </w:rPr>
        <w:t>Exhibit F</w:t>
      </w:r>
      <w:r>
        <w:rPr>
          <w:rFonts w:ascii="Times New Roman" w:hAnsi="Times New Roman"/>
          <w:sz w:val="20"/>
        </w:rPr>
        <w:t xml:space="preserve"> (“</w:t>
      </w:r>
      <w:r>
        <w:rPr>
          <w:rFonts w:ascii="Times New Roman" w:hAnsi="Times New Roman"/>
          <w:b/>
          <w:sz w:val="20"/>
        </w:rPr>
        <w:t>Pre-Funded Warrants</w:t>
      </w:r>
      <w:r>
        <w:rPr>
          <w:rFonts w:ascii="Times New Roman" w:hAnsi="Times New Roman"/>
          <w:sz w:val="20"/>
        </w:rPr>
        <w:t>”), to purchase a number of shares of Parent Common Stock upon exercise of such Pre-Funded Warrants equal to the Remaining Entitlement, in such manner to provide any such holder of Company Capital Stock with the same economic effect as contemplated by this Agreement (such shares of Parent Common Stock and Pre-Funded Warrants, collectively,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Section 2.5(g) is hereby inserted into the Merger Agreement as follows: </w:t>
            </w:r>
          </w:p>
        </w:tc>
      </w:tr>
    </w:tbl>
    <w:p>
      <w:pPr>
        <w:pStyle w:val="TextBody"/>
        <w:bidi w:val="0"/>
        <w:spacing w:before="120" w:after="0"/>
        <w:jc w:val="left"/>
        <w:rPr/>
      </w:pPr>
      <w:r>
        <w:rPr/>
        <w:t>“</w:t>
      </w:r>
      <w:r>
        <w:rPr>
          <w:rFonts w:ascii="Times New Roman" w:hAnsi="Times New Roman"/>
          <w:sz w:val="20"/>
        </w:rPr>
        <w:t>(g) The “</w:t>
      </w:r>
      <w:r>
        <w:rPr>
          <w:rFonts w:ascii="Times New Roman" w:hAnsi="Times New Roman"/>
          <w:b/>
          <w:sz w:val="20"/>
        </w:rPr>
        <w:t>Beneficial Ownership Limitation</w:t>
      </w:r>
      <w:r>
        <w:rPr>
          <w:rFonts w:ascii="Times New Roman" w:hAnsi="Times New Roman"/>
          <w:sz w:val="20"/>
        </w:rPr>
        <w:t xml:space="preserve">” may be set at the discretion of each holder of Company Capital Stock to a percentage designated by such Person in writing to Parent and to the Company between 0% and 19.99% of the number of shares of the Parent Common Stock outstanding immediately after giving effect to the issuance of the Merger Consideration; </w:t>
      </w:r>
      <w:r>
        <w:rPr>
          <w:rFonts w:ascii="Times New Roman" w:hAnsi="Times New Roman"/>
          <w:sz w:val="20"/>
          <w:u w:val="single"/>
        </w:rPr>
        <w:t>provided</w:t>
      </w:r>
      <w:r>
        <w:rPr>
          <w:rFonts w:ascii="Times New Roman" w:hAnsi="Times New Roman"/>
          <w:sz w:val="20"/>
        </w:rPr>
        <w:t xml:space="preserve">, that, for any holder of Company Capital Stock that does not make such designation in writing to Parent and to the Company at least ten (10) Business Days prior to the Closing, such percentage shall be set at (x) if such holder is an “Investor” under and as defined in the Subscription Agreement, the Beneficial Ownership Limitation applicable to such holder under the Subscription Agreement as in effect as of immediately prior to the Effective Time and (y) otherwise, 9.99%. Notwithstanding the foregoing, by written notice to the Surviving Corporation, any Person may reset the Beneficial Ownership Limitation percentage to a higher or lower percentage, not to exceed 19.99%; </w:t>
      </w:r>
      <w:r>
        <w:rPr>
          <w:rFonts w:ascii="Times New Roman" w:hAnsi="Times New Roman"/>
          <w:sz w:val="20"/>
          <w:u w:val="single"/>
        </w:rPr>
        <w:t>provided</w:t>
      </w:r>
      <w:r>
        <w:rPr>
          <w:rFonts w:ascii="Times New Roman" w:hAnsi="Times New Roman"/>
          <w:sz w:val="20"/>
        </w:rPr>
        <w:t xml:space="preserve">, that any increase will not be effective until the sixty-first (61st) day after such written notice is delivered to the Surviving Corporation. Upon such a change by any Person of the Beneficial Ownership Limitation, the Beneficial Ownership Limitation may not be further amended by such Person without first providing the minimum notice required by this </w:t>
      </w:r>
      <w:r>
        <w:rPr>
          <w:rFonts w:ascii="Times New Roman" w:hAnsi="Times New Roman"/>
          <w:sz w:val="20"/>
          <w:u w:val="single"/>
        </w:rPr>
        <w:t>Section 2.5(g)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Exhibit F to the Merger Agreement shall be, and hereby is, inserted into the Merger Agreement with the form of Pre-Funded Warrant attached hereto as </w:t>
            </w:r>
            <w:r>
              <w:rPr>
                <w:rFonts w:ascii="Times New Roman" w:hAnsi="Times New Roman"/>
                <w:sz w:val="20"/>
                <w:u w:val="single"/>
              </w:rPr>
              <w:t>Exhibit 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4.22 of the Merger Agreement is hereby amended by adding the following at the end thereof: “Each Pre-Funded Warrant, when issued in accordance with the provisions of this Agreement, will constitute a valid and binding obligation of Parent, enforceable against Parent in accordance with its terms, subject to the Enforceability Exceptions. The Parent Common Stock issuable upon exercise of the Pre-Funded Warrants will, as of the Effective Time, be duly reserved for issuance and, upon issuance in accordance with the terms of the Pre-Funded Warrants,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5"/>
        <w:gridCol w:w="9083"/>
      </w:tblGrid>
      <w:tr>
        <w:trPr/>
        <w:tc>
          <w:tcPr>
            <w:tcW w:w="407"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1.4.5</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6.9 of the Merger Agreement is hereby amended by replacing the words “the shares of Parent Common Stock to be issued in connection with the Contemplated Transactions” with the words “the shares of Parent Common Stock to be issued in connection with the Contemplated Transactions (including the shares of Parent Common Stock issuable upon exercise of the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Required Parent Stockholder Vote.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1.5.1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amended by deleting the designation “(i)” appearing at the beginning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1.5.2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further amended by replacing the words “the Nasdaq rules and (b)” with the words “the Nasdaq rules,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1.5.3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further amended by replacing the words “and (ii) the affirmative vote of a majority of the shares of Parent Common Stock outstanding and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18"/>
        <w:gridCol w:w="9087"/>
      </w:tblGrid>
      <w:tr>
        <w:trPr/>
        <w:tc>
          <w:tcPr>
            <w:tcW w:w="1118" w:type="dxa"/>
            <w:tcBorders/>
            <w:vAlign w:val="center"/>
          </w:tcPr>
          <w:p>
            <w:pPr>
              <w:pStyle w:val="TableContents"/>
              <w:bidi w:val="0"/>
              <w:spacing w:before="0" w:after="283"/>
              <w:jc w:val="left"/>
              <w:rPr/>
            </w:pPr>
            <w:r>
              <w:rPr/>
              <w:t> </w:t>
            </w:r>
          </w:p>
        </w:tc>
        <w:tc>
          <w:tcPr>
            <w:tcW w:w="9087" w:type="dxa"/>
            <w:tcBorders/>
          </w:tcPr>
          <w:p>
            <w:pPr>
              <w:pStyle w:val="TableContents"/>
              <w:bidi w:val="0"/>
              <w:spacing w:before="0" w:after="283"/>
              <w:jc w:val="left"/>
              <w:rPr/>
            </w:pPr>
            <w:r>
              <w:rPr/>
              <w:t xml:space="preserve">thereon is the only vote of the holders of any class or series of Parent’s capital stock necessary to approve clause (iii)” with the words “and (c) clause (iii)”.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2 MISCELLANEOUS </w:t>
      </w:r>
    </w:p>
    <w:p>
      <w:pPr>
        <w:pStyle w:val="TextBody"/>
        <w:bidi w:val="0"/>
        <w:spacing w:before="240" w:after="0"/>
        <w:jc w:val="left"/>
        <w:rPr>
          <w:rFonts w:ascii="Times New Roman" w:hAnsi="Times New Roman"/>
          <w:sz w:val="20"/>
        </w:rPr>
      </w:pPr>
      <w:r>
        <w:rPr>
          <w:rFonts w:ascii="Times New Roman" w:hAnsi="Times New Roman"/>
          <w:sz w:val="20"/>
        </w:rPr>
        <w:t xml:space="preserve">2.1. Except as specifically modified herein, the Merger Agreement remains in full force and effect, and the Parties hereto reserve all of their respective rights and remedies with respect to all other matters and claims, whether known or unknown, arising under the Merger Agreement. In the event of any conflict or inconsistency between this Amendment and the Merger Agreement, this Amendment shall control. All references in the Merger Agreement to “this Agreement” or “herein” or words of similar import shall be deemed to refer to the Merger Agreement as amended by this Amendment. The Merger Agreement (including as amended hereby) and the other schedules, exhibits, certificates, instruments and agreements referred to in the Merger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2.2. This Amendment may be executed in one or more counterparts, each of which shall be deemed an original, but all of which together shall constitute one and the same instrument, with the same effect as if the signatures thereto were in the same instrument. The exchange of a fully executed Amendment (in counterparts or otherwise) by all Parties by electronic transmission in PDF format shall be sufficient to bind the Parties to the terms and conditions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2.3. Sections 11.2 through 11.11 of the Merger Agreement are hereby incorporated by reference into this Amendment,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as of the date first above written. </w:t>
      </w:r>
    </w:p>
    <w:p>
      <w:pPr>
        <w:pStyle w:val="TextBody"/>
        <w:bidi w:val="0"/>
        <w:spacing w:before="0" w:after="0"/>
        <w:jc w:val="left"/>
        <w:rPr/>
      </w:pPr>
      <w:r>
        <w:rPr/>
        <w:t> </w:t>
      </w:r>
    </w:p>
    <w:tbl>
      <w:tblPr>
        <w:tblW w:w="5770" w:type="dxa"/>
        <w:jc w:val="right"/>
        <w:tblInd w:w="0" w:type="dxa"/>
        <w:tblLayout w:type="fixed"/>
        <w:tblCellMar>
          <w:top w:w="0" w:type="dxa"/>
          <w:left w:w="0" w:type="dxa"/>
          <w:bottom w:w="0" w:type="dxa"/>
          <w:right w:w="0" w:type="dxa"/>
        </w:tblCellMar>
      </w:tblPr>
      <w:tblGrid>
        <w:gridCol w:w="485"/>
        <w:gridCol w:w="60"/>
        <w:gridCol w:w="5225"/>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577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BOUNDLESS BIO, INC.</w:t>
            </w:r>
          </w:p>
        </w:tc>
      </w:tr>
      <w:tr>
        <w:trPr>
          <w:trHeight w:val="240" w:hRule="atLeast"/>
        </w:trPr>
        <w:tc>
          <w:tcPr>
            <w:tcW w:w="485" w:type="dxa"/>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President, Chief Legal Officer and Corporate Secretary</w:t>
            </w:r>
          </w:p>
        </w:tc>
      </w:tr>
      <w:tr>
        <w:trPr>
          <w:trHeight w:val="240" w:hRule="atLeast"/>
        </w:trPr>
        <w:tc>
          <w:tcPr>
            <w:tcW w:w="5770" w:type="dxa"/>
            <w:gridSpan w:val="3"/>
            <w:tcBorders/>
            <w:vAlign w:val="center"/>
          </w:tcPr>
          <w:p>
            <w:pPr>
              <w:pStyle w:val="TableContents"/>
              <w:bidi w:val="0"/>
              <w:spacing w:before="0" w:after="283"/>
              <w:jc w:val="left"/>
              <w:rPr>
                <w:sz w:val="4"/>
                <w:szCs w:val="4"/>
              </w:rPr>
            </w:pPr>
            <w:r>
              <w:rPr>
                <w:sz w:val="4"/>
                <w:szCs w:val="4"/>
              </w:rPr>
            </w:r>
          </w:p>
        </w:tc>
      </w:tr>
      <w:tr>
        <w:trPr/>
        <w:tc>
          <w:tcPr>
            <w:tcW w:w="577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BOULDER MERGER SUB CORP.</w:t>
            </w:r>
          </w:p>
        </w:tc>
      </w:tr>
      <w:tr>
        <w:trPr>
          <w:trHeight w:val="240" w:hRule="atLeast"/>
        </w:trPr>
        <w:tc>
          <w:tcPr>
            <w:tcW w:w="485" w:type="dxa"/>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President and Secretary</w:t>
            </w:r>
          </w:p>
        </w:tc>
      </w:tr>
    </w:tbl>
    <w:p>
      <w:pPr>
        <w:pStyle w:val="TextBody"/>
        <w:bidi w:val="0"/>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2"/>
        <w:gridCol w:w="60"/>
        <w:gridCol w:w="3430"/>
      </w:tblGrid>
      <w:tr>
        <w:trPr/>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SERAPHA BIO, INC.</w:t>
            </w:r>
          </w:p>
        </w:tc>
      </w:tr>
      <w:tr>
        <w:trPr>
          <w:trHeight w:val="240" w:hRule="atLeast"/>
        </w:trPr>
        <w:tc>
          <w:tcPr>
            <w:tcW w:w="592" w:type="dxa"/>
            <w:tcBorders/>
            <w:vAlign w:val="center"/>
          </w:tcPr>
          <w:p>
            <w:pPr>
              <w:pStyle w:val="TableContents"/>
              <w:bidi w:val="0"/>
              <w:spacing w:before="0" w:after="283"/>
              <w:jc w:val="left"/>
              <w:rPr>
                <w:sz w:val="4"/>
                <w:szCs w:val="4"/>
              </w:rPr>
            </w:pPr>
            <w:r>
              <w:rPr>
                <w:sz w:val="4"/>
                <w:szCs w:val="4"/>
              </w:rPr>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59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3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t>
            </w:r>
          </w:p>
        </w:tc>
      </w:tr>
      <w:tr>
        <w:trPr/>
        <w:tc>
          <w:tcPr>
            <w:tcW w:w="59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283"/>
              <w:jc w:val="left"/>
              <w:rPr/>
            </w:pPr>
            <w:r>
              <w:rPr/>
              <w:t>[***]</w:t>
            </w:r>
          </w:p>
        </w:tc>
      </w:tr>
      <w:tr>
        <w:trPr/>
        <w:tc>
          <w:tcPr>
            <w:tcW w:w="59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PRE-FUNDED WARRANT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Warrant No. [●]</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Original Issue Date: [●], 20[]</w:t>
            </w:r>
          </w:p>
        </w:tc>
      </w:tr>
    </w:tbl>
    <w:p>
      <w:pPr>
        <w:pStyle w:val="TextBody"/>
        <w:bidi w:val="0"/>
        <w:spacing w:before="240" w:after="0"/>
        <w:jc w:val="left"/>
        <w:rPr>
          <w:rFonts w:ascii="Times New Roman" w:hAnsi="Times New Roman"/>
          <w:sz w:val="20"/>
        </w:rPr>
      </w:pPr>
      <w:r>
        <w:rPr>
          <w:rFonts w:ascii="Times New Roman" w:hAnsi="Times New Roman"/>
          <w:sz w:val="20"/>
        </w:rPr>
        <w:t>Serapha Bio,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as adjusted from time to time as provided in </w:t>
      </w:r>
      <w:r>
        <w:rPr>
          <w:rFonts w:ascii="Times New Roman" w:hAnsi="Times New Roman"/>
          <w:sz w:val="20"/>
          <w:u w:val="single"/>
        </w:rPr>
        <w:t>Section 9</w:t>
      </w:r>
      <w:r>
        <w:rPr>
          <w:rFonts w:ascii="Times New Roman" w:hAnsi="Times New Roman"/>
          <w:sz w:val="20"/>
        </w:rPr>
        <w:t>, at an exercise price per share equal to $0.00001 (the “</w:t>
      </w:r>
      <w:r>
        <w:rPr>
          <w:rFonts w:ascii="Times New Roman" w:hAnsi="Times New Roman"/>
          <w:b/>
          <w:sz w:val="20"/>
        </w:rPr>
        <w:t>Exercise Price</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tc>
      </w:tr>
    </w:tbl>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(as defined below). </w:t>
      </w:r>
    </w:p>
    <w:p>
      <w:pPr>
        <w:pStyle w:val="TextBody"/>
        <w:bidi w:val="0"/>
        <w:spacing w:before="24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Stock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(as defined below),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Exercise of Warrants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its representations contained in Sections 4.1 and 4.3 through 4.14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Delivery of Warrant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(i) the Holder’s or its designee’s balance account with The Depository Trust Company (“</w:t>
      </w:r>
      <w:r>
        <w:rPr>
          <w:rFonts w:ascii="Times New Roman" w:hAnsi="Times New Roman"/>
          <w:b/>
          <w:sz w:val="20"/>
        </w:rPr>
        <w:t>DTC</w:t>
      </w:r>
      <w:r>
        <w:rPr>
          <w:rFonts w:ascii="Times New Roman" w:hAnsi="Times New Roman"/>
          <w:sz w:val="20"/>
        </w:rPr>
        <w:t xml:space="preserve">”) through its Deposit Withdrawal At Custodian system or (ii) in book-entry form via a direct registration system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is subject to adjustment from time to time as set forth in this </w:t>
      </w:r>
      <w:r>
        <w:rPr>
          <w:rFonts w:ascii="Times New Roman" w:hAnsi="Times New Roman"/>
          <w:sz w:val="20"/>
          <w:u w:val="single"/>
        </w:rPr>
        <w:t>Section 9</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to the nearest share.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b/>
              </w:rPr>
            </w:pPr>
            <w:r>
              <w:rPr>
                <w:b/>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Limitations on Exercise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9(d)</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7"/>
        <w:gridCol w:w="92"/>
        <w:gridCol w:w="3103"/>
      </w:tblGrid>
      <w:tr>
        <w:trPr/>
        <w:tc>
          <w:tcPr>
            <w:tcW w:w="887"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SERAPHA BIO, INC.</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2" w:type="dxa"/>
            <w:tcBorders/>
            <w:vAlign w:val="bottom"/>
          </w:tcPr>
          <w:p>
            <w:pPr>
              <w:pStyle w:val="TableContents"/>
              <w:bidi w:val="0"/>
              <w:spacing w:before="0" w:after="283"/>
              <w:jc w:val="left"/>
              <w:rPr/>
            </w:pPr>
            <w:r>
              <w:rPr/>
              <w:t> </w:t>
            </w:r>
          </w:p>
        </w:tc>
        <w:tc>
          <w:tcPr>
            <w:tcW w:w="3103" w:type="dxa"/>
            <w:tcBorders/>
          </w:tcPr>
          <w:p>
            <w:pPr>
              <w:pStyle w:val="TableContents"/>
              <w:pBdr>
                <w:bottom w:val="single" w:sz="2" w:space="1" w:color="000000"/>
              </w:pBdr>
              <w:bidi w:val="0"/>
              <w:spacing w:before="0" w:after="20"/>
              <w:jc w:val="left"/>
              <w:rPr/>
            </w:pPr>
            <w:r>
              <w:rPr/>
              <w:t> </w:t>
            </w:r>
          </w:p>
        </w:tc>
      </w:tr>
      <w:tr>
        <w:trPr/>
        <w:tc>
          <w:tcPr>
            <w:tcW w:w="88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9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9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 (the “Warrant”) issued by Serapha Bio, Inc.,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w:t>
            </w:r>
            <w:r>
              <w:rPr>
                <w:rFonts w:ascii="Times New Roman" w:hAnsi="Times New Roman"/>
                <w:sz w:val="20"/>
                <w:u w:val="single"/>
              </w:rPr>
              <w:t>Section 10</w:t>
            </w:r>
            <w:r>
              <w:rPr>
                <w:rFonts w:ascii="Times New Roman" w:hAnsi="Times New Roman"/>
                <w:sz w:val="20"/>
              </w:rPr>
              <w:t xml:space="preserve"> of the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
        <w:gridCol w:w="102"/>
        <w:gridCol w:w="4082"/>
        <w:gridCol w:w="102"/>
        <w:gridCol w:w="5410"/>
      </w:tblGrid>
      <w:tr>
        <w:trPr/>
        <w:tc>
          <w:tcPr>
            <w:tcW w:w="5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410" w:type="dxa"/>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to the following DWAC Account Number: </w:t>
            </w:r>
          </w:p>
        </w:tc>
        <w:tc>
          <w:tcPr>
            <w:tcW w:w="102" w:type="dxa"/>
            <w:tcBorders/>
            <w:vAlign w:val="bottom"/>
          </w:tcPr>
          <w:p>
            <w:pPr>
              <w:pStyle w:val="TableContents"/>
              <w:bidi w:val="0"/>
              <w:spacing w:before="0" w:after="283"/>
              <w:jc w:val="left"/>
              <w:rPr/>
            </w:pPr>
            <w:r>
              <w:rPr/>
              <w:t> </w:t>
            </w:r>
          </w:p>
        </w:tc>
        <w:tc>
          <w:tcPr>
            <w:tcW w:w="5410" w:type="dxa"/>
            <w:tcBorders/>
          </w:tcPr>
          <w:p>
            <w:pPr>
              <w:pStyle w:val="TableContents"/>
              <w:pBdr>
                <w:bottom w:val="single" w:sz="2" w:space="1" w:color="000000"/>
              </w:pBdr>
              <w:bidi w:val="0"/>
              <w:spacing w:before="0" w:after="20"/>
              <w:jc w:val="left"/>
              <w:rPr/>
            </w:pPr>
            <w:r>
              <w:rPr/>
              <w:t> </w:t>
            </w:r>
          </w:p>
        </w:tc>
      </w:tr>
    </w:tbl>
    <w:tbl>
      <w:tblPr>
        <w:tblW w:w="5000" w:type="pct"/>
        <w:jc w:val="center"/>
        <w:tblInd w:w="0" w:type="dxa"/>
        <w:tblLayout w:type="fixed"/>
        <w:tblCellMar>
          <w:top w:w="0" w:type="dxa"/>
          <w:left w:w="0" w:type="dxa"/>
          <w:bottom w:w="0" w:type="dxa"/>
          <w:right w:w="0" w:type="dxa"/>
        </w:tblCellMar>
      </w:tblPr>
      <w:tblGrid>
        <w:gridCol w:w="541"/>
        <w:gridCol w:w="111"/>
        <w:gridCol w:w="4972"/>
        <w:gridCol w:w="123"/>
        <w:gridCol w:w="4458"/>
      </w:tblGrid>
      <w:tr>
        <w:trPr/>
        <w:tc>
          <w:tcPr>
            <w:tcW w:w="54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97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4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41" w:type="dxa"/>
            <w:tcBorders/>
            <w:vAlign w:val="center"/>
          </w:tcPr>
          <w:p>
            <w:pPr>
              <w:pStyle w:val="TableContents"/>
              <w:bidi w:val="0"/>
              <w:spacing w:before="0" w:after="283"/>
              <w:jc w:val="left"/>
              <w:rPr>
                <w:sz w:val="4"/>
                <w:szCs w:val="4"/>
              </w:rPr>
            </w:pPr>
            <w:r>
              <w:rPr>
                <w:sz w:val="4"/>
                <w:szCs w:val="4"/>
              </w:rPr>
            </w:r>
          </w:p>
        </w:tc>
        <w:tc>
          <w:tcPr>
            <w:tcW w:w="5083" w:type="dxa"/>
            <w:gridSpan w:val="2"/>
            <w:tcBorders/>
            <w:vAlign w:val="center"/>
          </w:tcPr>
          <w:p>
            <w:pPr>
              <w:pStyle w:val="TableContents"/>
              <w:bidi w:val="0"/>
              <w:spacing w:before="0" w:after="283"/>
              <w:jc w:val="left"/>
              <w:rPr>
                <w:sz w:val="4"/>
                <w:szCs w:val="4"/>
              </w:rPr>
            </w:pPr>
            <w:r>
              <w:rPr>
                <w:sz w:val="4"/>
                <w:szCs w:val="4"/>
              </w:rPr>
            </w:r>
          </w:p>
        </w:tc>
        <w:tc>
          <w:tcPr>
            <w:tcW w:w="4581"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w:t>
            </w:r>
          </w:p>
        </w:tc>
        <w:tc>
          <w:tcPr>
            <w:tcW w:w="111" w:type="dxa"/>
            <w:tcBorders/>
            <w:vAlign w:val="bottom"/>
          </w:tcPr>
          <w:p>
            <w:pPr>
              <w:pStyle w:val="TableContents"/>
              <w:bidi w:val="0"/>
              <w:spacing w:before="0" w:after="283"/>
              <w:jc w:val="left"/>
              <w:rPr/>
            </w:pPr>
            <w:r>
              <w:rPr/>
              <w:t> </w:t>
            </w:r>
          </w:p>
        </w:tc>
        <w:tc>
          <w:tcPr>
            <w:tcW w:w="4972" w:type="dxa"/>
            <w:tcBorders/>
          </w:tcPr>
          <w:p>
            <w:pPr>
              <w:pStyle w:val="TableContents"/>
              <w:bidi w:val="0"/>
              <w:spacing w:before="0" w:after="283"/>
              <w:jc w:val="left"/>
              <w:rPr/>
            </w:pPr>
            <w:r>
              <w:rPr/>
              <w:t>in book-entry form via a direct registration system</w:t>
            </w:r>
          </w:p>
        </w:tc>
        <w:tc>
          <w:tcPr>
            <w:tcW w:w="123" w:type="dxa"/>
            <w:tcBorders/>
            <w:vAlign w:val="bottom"/>
          </w:tcPr>
          <w:p>
            <w:pPr>
              <w:pStyle w:val="TableContents"/>
              <w:bidi w:val="0"/>
              <w:spacing w:before="0" w:after="283"/>
              <w:jc w:val="left"/>
              <w:rPr/>
            </w:pPr>
            <w:r>
              <w:rPr/>
              <w:t>  </w:t>
            </w:r>
          </w:p>
        </w:tc>
        <w:tc>
          <w:tcPr>
            <w:tcW w:w="4458"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509"/>
        <w:gridCol w:w="102"/>
        <w:gridCol w:w="3674"/>
        <w:gridCol w:w="101"/>
        <w:gridCol w:w="5819"/>
      </w:tblGrid>
      <w:tr>
        <w:trPr/>
        <w:tc>
          <w:tcPr>
            <w:tcW w:w="5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0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5920" w:type="dxa"/>
            <w:gridSpan w:val="2"/>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283"/>
              <w:jc w:val="left"/>
              <w:rPr/>
            </w:pPr>
            <w:r>
              <w:rPr/>
              <w:t>by physical delivery of a certificate to: </w:t>
            </w:r>
          </w:p>
        </w:tc>
        <w:tc>
          <w:tcPr>
            <w:tcW w:w="101" w:type="dxa"/>
            <w:tcBorders/>
            <w:vAlign w:val="bottom"/>
          </w:tcPr>
          <w:p>
            <w:pPr>
              <w:pStyle w:val="TableContents"/>
              <w:bidi w:val="0"/>
              <w:spacing w:before="0" w:after="283"/>
              <w:jc w:val="left"/>
              <w:rPr/>
            </w:pPr>
            <w:r>
              <w:rPr/>
              <w:t> </w:t>
            </w:r>
          </w:p>
        </w:tc>
        <w:tc>
          <w:tcPr>
            <w:tcW w:w="5819" w:type="dxa"/>
            <w:tcBorders/>
          </w:tcPr>
          <w:p>
            <w:pPr>
              <w:pStyle w:val="TableContents"/>
              <w:pBdr>
                <w:bottom w:val="single" w:sz="2" w:space="1" w:color="000000"/>
              </w:pBdr>
              <w:bidi w:val="0"/>
              <w:spacing w:before="0" w:after="20"/>
              <w:jc w:val="left"/>
              <w:rPr/>
            </w:pPr>
            <w:r>
              <w:rPr/>
              <w:t>  </w:t>
            </w:r>
          </w:p>
        </w:tc>
      </w:tr>
      <w:tr>
        <w:trPr>
          <w:trHeight w:val="60" w:hRule="atLeast"/>
        </w:trPr>
        <w:tc>
          <w:tcPr>
            <w:tcW w:w="50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5920" w:type="dxa"/>
            <w:gridSpan w:val="2"/>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819" w:type="dxa"/>
            <w:tcBorders/>
          </w:tcPr>
          <w:p>
            <w:pPr>
              <w:pStyle w:val="TableContents"/>
              <w:pBdr>
                <w:bottom w:val="single" w:sz="2" w:space="1" w:color="000000"/>
              </w:pBdr>
              <w:bidi w:val="0"/>
              <w:spacing w:before="0" w:after="20"/>
              <w:jc w:val="left"/>
              <w:rPr/>
            </w:pPr>
            <w:r>
              <w:rPr/>
              <w:t>  </w:t>
            </w:r>
          </w:p>
        </w:tc>
      </w:tr>
      <w:tr>
        <w:trPr>
          <w:trHeight w:val="60" w:hRule="atLeast"/>
        </w:trPr>
        <w:tc>
          <w:tcPr>
            <w:tcW w:w="509" w:type="dxa"/>
            <w:tcBorders/>
            <w:vAlign w:val="center"/>
          </w:tcPr>
          <w:p>
            <w:pPr>
              <w:pStyle w:val="TableContents"/>
              <w:bidi w:val="0"/>
              <w:spacing w:before="0" w:after="283"/>
              <w:jc w:val="left"/>
              <w:rPr>
                <w:sz w:val="4"/>
                <w:szCs w:val="4"/>
              </w:rPr>
            </w:pPr>
            <w:r>
              <w:rPr>
                <w:sz w:val="4"/>
                <w:szCs w:val="4"/>
              </w:rPr>
            </w:r>
          </w:p>
        </w:tc>
        <w:tc>
          <w:tcPr>
            <w:tcW w:w="9696" w:type="dxa"/>
            <w:gridSpan w:val="4"/>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9594" w:type="dxa"/>
            <w:gridSpan w:val="3"/>
            <w:tcBorders/>
          </w:tcPr>
          <w:p>
            <w:pPr>
              <w:pStyle w:val="TableContents"/>
              <w:bidi w:val="0"/>
              <w:spacing w:before="0" w:after="283"/>
              <w:jc w:val="left"/>
              <w:rPr/>
            </w:pPr>
            <w:r>
              <w:rPr/>
              <w:t>in restricted book-entry form in the Company’s share register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07"/>
        <w:gridCol w:w="60"/>
        <w:gridCol w:w="2315"/>
      </w:tblGrid>
      <w:tr>
        <w:trPr/>
        <w:tc>
          <w:tcPr>
            <w:tcW w:w="17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8" w:name="tx108148_45"/>
      <w:bookmarkEnd w:id="238"/>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240" w:after="0"/>
        <w:jc w:val="left"/>
        <w:rPr>
          <w:rFonts w:ascii="Times New Roman" w:hAnsi="Times New Roman"/>
          <w:sz w:val="20"/>
        </w:rPr>
      </w:pPr>
      <w:r>
        <w:rPr>
          <w:rFonts w:ascii="Times New Roman" w:hAnsi="Times New Roman"/>
          <w:sz w:val="20"/>
        </w:rPr>
        <w:t>Boundless Bio, Inc. (the “</w:t>
      </w:r>
      <w:r>
        <w:rPr>
          <w:rFonts w:ascii="Times New Roman" w:hAnsi="Times New Roman"/>
          <w:sz w:val="20"/>
          <w:u w:val="single"/>
        </w:rPr>
        <w:t>Corporation</w:t>
      </w:r>
      <w:r>
        <w:rPr>
          <w:rFonts w:ascii="Times New Roman" w:hAnsi="Times New Roman"/>
          <w:sz w:val="20"/>
        </w:rPr>
        <w:t>”), a corporation organized and existing under and by virtue of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sz w:val="20"/>
        </w:rPr>
        <w:t xml:space="preserve">1. That the Corporation, which was originally known as Pretzel Therapeutics, Inc., filed its original Certificate of Incorporation on April 10, 2018. </w:t>
      </w:r>
    </w:p>
    <w:p>
      <w:pPr>
        <w:pStyle w:val="TextBody"/>
        <w:bidi w:val="0"/>
        <w:spacing w:before="240" w:after="0"/>
        <w:jc w:val="left"/>
        <w:rPr>
          <w:rFonts w:ascii="Times New Roman" w:hAnsi="Times New Roman"/>
          <w:sz w:val="20"/>
        </w:rPr>
      </w:pPr>
      <w:r>
        <w:rPr>
          <w:rFonts w:ascii="Times New Roman" w:hAnsi="Times New Roman"/>
          <w:sz w:val="20"/>
        </w:rPr>
        <w:t xml:space="preserve">2.  That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 </w:t>
      </w:r>
    </w:p>
    <w:p>
      <w:pPr>
        <w:pStyle w:val="TextBody"/>
        <w:bidi w:val="0"/>
        <w:spacing w:before="240" w:after="0"/>
        <w:jc w:val="left"/>
        <w:rPr>
          <w:rFonts w:ascii="Times New Roman" w:hAnsi="Times New Roman"/>
          <w:sz w:val="20"/>
        </w:rPr>
      </w:pPr>
      <w:r>
        <w:rPr>
          <w:rFonts w:ascii="Times New Roman" w:hAnsi="Times New Roman"/>
          <w:sz w:val="20"/>
        </w:rPr>
        <w:t xml:space="preserve">THEREFORE, BE IT RESOLVED, that Article IV of the Certificate is hereby amended to add the following new paragraphs immediately following the last paragraph of Article IV: </w:t>
      </w:r>
    </w:p>
    <w:p>
      <w:pPr>
        <w:pStyle w:val="TextBody"/>
        <w:bidi w:val="0"/>
        <w:spacing w:before="240" w:after="0"/>
        <w:jc w:val="left"/>
        <w:rPr/>
      </w:pPr>
      <w:r>
        <w:rPr/>
        <w:t>“</w:t>
      </w:r>
      <w:r>
        <w:rPr>
          <w:rFonts w:ascii="Times New Roman" w:hAnsi="Times New Roman"/>
          <w:sz w:val="20"/>
        </w:rPr>
        <w:t xml:space="preserve">C. </w:t>
      </w:r>
      <w:r>
        <w:rPr>
          <w:rFonts w:ascii="Times New Roman" w:hAnsi="Times New Roman"/>
          <w:sz w:val="20"/>
          <w:u w:val="single"/>
        </w:rPr>
        <w:t>REVERSE STOCK SPLIT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at      Eastern Time, on      , 2026 (the “</w:t>
      </w:r>
      <w:r>
        <w:rPr>
          <w:rFonts w:ascii="Times New Roman" w:hAnsi="Times New Roman"/>
          <w:sz w:val="20"/>
          <w:u w:val="single"/>
        </w:rPr>
        <w:t>Effective Time</w:t>
      </w:r>
      <w:r>
        <w:rPr>
          <w:rFonts w:ascii="Times New Roman" w:hAnsi="Times New Roman"/>
          <w:sz w:val="20"/>
        </w:rPr>
        <w:t>”), a one-for-     reverse stock split of the shares of Common Stock shall become effective, pursuant to which each [●] shares of Common Stock issued and held of record by each stockholder of the Corporation (including treasury shares) immediately prior to the Effective Time shall be reclassified and combined into one validly issued, fully paid and nonassessable share of Common Stock automatically and without any action by the Corporation or the holder thereof upon the Effective Time and shall represent one share of Common Stock from and after the Effective Time (such reclassification and combination of shares, the “</w:t>
      </w:r>
      <w:r>
        <w:rPr>
          <w:rFonts w:ascii="Times New Roman" w:hAnsi="Times New Roman"/>
          <w:sz w:val="20"/>
          <w:u w:val="single"/>
        </w:rPr>
        <w:t>Reverse Stock Split</w:t>
      </w:r>
      <w:r>
        <w:rPr>
          <w:rFonts w:ascii="Times New Roman" w:hAnsi="Times New Roman"/>
          <w:sz w:val="20"/>
        </w:rPr>
        <w:t xml:space="preserve">”). The par value of the Common Stock following the Reverse Stock Split shall remain at $0.0001. No fractional shares of Common Stock shall be issued as a result of the Reverse Stock Split. In lieu of any fractional shares,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Each stock certificate or book-entry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book-entry share have been combined (as well as the right to receive cash in lieu of fractional shares of Common Stock after the Effective Time); provided, however, that each stockholder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 That, at a meeting of the stockholders of the Corporation, the aforesaid amendment was duly adopted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4. That the aforesaid amendment was duly adopted in accordance with the applicable provisions of Section 242 of the DGCL. </w:t>
      </w:r>
    </w:p>
    <w:p>
      <w:pPr>
        <w:pStyle w:val="TextBody"/>
        <w:bidi w:val="0"/>
        <w:spacing w:before="240" w:after="0"/>
        <w:jc w:val="left"/>
        <w:rPr>
          <w:rFonts w:ascii="Times New Roman" w:hAnsi="Times New Roman"/>
          <w:sz w:val="20"/>
        </w:rPr>
      </w:pPr>
      <w:r>
        <w:rPr>
          <w:rFonts w:ascii="Times New Roman" w:hAnsi="Times New Roman"/>
          <w:sz w:val="20"/>
        </w:rPr>
        <w:t xml:space="preserve">5. That this Certificate of Amendment shall become effective at      Eastern Time on      , 2026.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of the Amended and Restated Certificate of Incorporation has been executed as of this      day of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00"/>
        <w:gridCol w:w="83"/>
        <w:gridCol w:w="3099"/>
      </w:tblGrid>
      <w:tr>
        <w:trPr/>
        <w:tc>
          <w:tcPr>
            <w:tcW w:w="90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Boundless Bio,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900" w:type="dxa"/>
            <w:tcBorders/>
            <w:vAlign w:val="center"/>
          </w:tcPr>
          <w:p>
            <w:pPr>
              <w:pStyle w:val="TableContents"/>
              <w:bidi w:val="0"/>
              <w:spacing w:before="0" w:after="283"/>
              <w:jc w:val="left"/>
              <w:rPr>
                <w:sz w:val="4"/>
                <w:szCs w:val="4"/>
              </w:rPr>
            </w:pPr>
            <w:r>
              <w:rPr>
                <w:sz w:val="4"/>
                <w:szCs w:val="4"/>
              </w:rPr>
            </w:r>
          </w:p>
        </w:tc>
        <w:tc>
          <w:tcPr>
            <w:tcW w:w="3182"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pBdr>
                <w:bottom w:val="single" w:sz="2" w:space="1" w:color="000000"/>
              </w:pBdr>
              <w:bidi w:val="0"/>
              <w:spacing w:before="0" w:after="20"/>
              <w:jc w:val="left"/>
              <w:rPr/>
            </w:pPr>
            <w:r>
              <w:rPr/>
              <w:t> </w:t>
            </w:r>
          </w:p>
        </w:tc>
      </w:tr>
      <w:tr>
        <w:trPr/>
        <w:tc>
          <w:tcPr>
            <w:tcW w:w="900" w:type="dxa"/>
            <w:tcBorders/>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9" w:name="tx108148_46"/>
      <w:bookmarkEnd w:id="239"/>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240" w:after="0"/>
        <w:jc w:val="left"/>
        <w:rPr>
          <w:rFonts w:ascii="Times New Roman" w:hAnsi="Times New Roman"/>
          <w:sz w:val="20"/>
        </w:rPr>
      </w:pPr>
      <w:r>
        <w:rPr>
          <w:rFonts w:ascii="Times New Roman" w:hAnsi="Times New Roman"/>
          <w:sz w:val="20"/>
        </w:rPr>
        <w:t>Boundless Bio, Inc. (the “</w:t>
      </w:r>
      <w:r>
        <w:rPr>
          <w:rFonts w:ascii="Times New Roman" w:hAnsi="Times New Roman"/>
          <w:sz w:val="20"/>
          <w:u w:val="single"/>
        </w:rPr>
        <w:t>Corporation</w:t>
      </w:r>
      <w:r>
        <w:rPr>
          <w:rFonts w:ascii="Times New Roman" w:hAnsi="Times New Roman"/>
          <w:sz w:val="20"/>
        </w:rPr>
        <w:t>”), a corporation organized and existing under and by virtue of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sz w:val="20"/>
        </w:rPr>
        <w:t xml:space="preserve">1. That the Corporation, which was originally known as Pretzel Therapeutics, Inc., filed its original Certificate of Incorporation on April 10, 2018. </w:t>
      </w:r>
    </w:p>
    <w:p>
      <w:pPr>
        <w:pStyle w:val="TextBody"/>
        <w:bidi w:val="0"/>
        <w:spacing w:before="240" w:after="0"/>
        <w:jc w:val="left"/>
        <w:rPr>
          <w:rFonts w:ascii="Times New Roman" w:hAnsi="Times New Roman"/>
          <w:sz w:val="20"/>
        </w:rPr>
      </w:pPr>
      <w:r>
        <w:rPr>
          <w:rFonts w:ascii="Times New Roman" w:hAnsi="Times New Roman"/>
          <w:sz w:val="20"/>
        </w:rPr>
        <w:t>2.  That the Board of Directors of said Corporation duly adopted resolutions setting forth a proposed amendment of the Amended and Restated Certificate of Incorporation of the Corporation (the “</w:t>
      </w:r>
      <w:r>
        <w:rPr>
          <w:rFonts w:ascii="Times New Roman" w:hAnsi="Times New Roman"/>
          <w:sz w:val="20"/>
          <w:u w:val="single"/>
        </w:rPr>
        <w:t>Certificate</w:t>
      </w:r>
      <w:r>
        <w:rPr>
          <w:rFonts w:ascii="Times New Roman" w:hAnsi="Times New Roman"/>
          <w:sz w:val="20"/>
        </w:rPr>
        <w:t xml:space="preserve">”), declaring said amendment to be advisable and directing its officers to submit said amendment to the stockholders of the Corporation for consideration thereof. The resolution setting forth the proposed amendment is as follows: </w:t>
      </w:r>
    </w:p>
    <w:p>
      <w:pPr>
        <w:pStyle w:val="TextBody"/>
        <w:bidi w:val="0"/>
        <w:spacing w:before="240" w:after="0"/>
        <w:jc w:val="left"/>
        <w:rPr>
          <w:rFonts w:ascii="Times New Roman" w:hAnsi="Times New Roman"/>
          <w:sz w:val="20"/>
        </w:rPr>
      </w:pPr>
      <w:r>
        <w:rPr>
          <w:rFonts w:ascii="Times New Roman" w:hAnsi="Times New Roman"/>
          <w:sz w:val="20"/>
        </w:rPr>
        <w:t xml:space="preserve">THEREFORE, BE IT RESOLVED, that the first paragraph of Article IV of the Certificate is hereby amended and restated in its entirety to read as follows: </w:t>
      </w:r>
    </w:p>
    <w:p>
      <w:pPr>
        <w:pStyle w:val="TextBody"/>
        <w:bidi w:val="0"/>
        <w:spacing w:before="120" w:after="0"/>
        <w:jc w:val="left"/>
        <w:rPr/>
      </w:pPr>
      <w:r>
        <w:rPr/>
        <w:t>“</w:t>
      </w:r>
      <w:r>
        <w:rPr>
          <w:rFonts w:ascii="Times New Roman" w:hAnsi="Times New Roman"/>
          <w:sz w:val="20"/>
        </w:rPr>
        <w:t>The Corporation is authorized to issue two classes of stock to be designated, respectively, “</w:t>
      </w:r>
      <w:r>
        <w:rPr>
          <w:rFonts w:ascii="Times New Roman" w:hAnsi="Times New Roman"/>
          <w:sz w:val="20"/>
          <w:u w:val="single"/>
        </w:rPr>
        <w:t>Common Stock</w:t>
      </w:r>
      <w:r>
        <w:rPr>
          <w:rFonts w:ascii="Times New Roman" w:hAnsi="Times New Roman"/>
          <w:sz w:val="20"/>
        </w:rPr>
        <w:t>” and “</w:t>
      </w:r>
      <w:r>
        <w:rPr>
          <w:rFonts w:ascii="Times New Roman" w:hAnsi="Times New Roman"/>
          <w:sz w:val="20"/>
          <w:u w:val="single"/>
        </w:rPr>
        <w:t>Preferred Stock</w:t>
      </w:r>
      <w:r>
        <w:rPr>
          <w:rFonts w:ascii="Times New Roman" w:hAnsi="Times New Roman"/>
          <w:sz w:val="20"/>
        </w:rPr>
        <w:t xml:space="preserve">.” The total number of shares of capital stock which the Corporation shall have authority to issue is     . The total number of shares of Common Stock that the Corporation is authorized to issue is     , having a par value of $0.0001 per share, and the total number of shares of Preferred Stock that the Corporation is authorized to issue is 70,000,000, having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3.  That, at a meeting of the stockholders of the Corporation, the aforesaid amendment was duly adopted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4. That the aforesaid amendment was duly adopted in accordance with the applicable provisions of Section 242 of the DGCL. </w:t>
      </w:r>
    </w:p>
    <w:p>
      <w:pPr>
        <w:pStyle w:val="TextBody"/>
        <w:bidi w:val="0"/>
        <w:spacing w:before="240" w:after="0"/>
        <w:jc w:val="left"/>
        <w:rPr>
          <w:rFonts w:ascii="Times New Roman" w:hAnsi="Times New Roman"/>
          <w:sz w:val="20"/>
        </w:rPr>
      </w:pPr>
      <w:r>
        <w:rPr>
          <w:rFonts w:ascii="Times New Roman" w:hAnsi="Times New Roman"/>
          <w:sz w:val="20"/>
        </w:rPr>
        <w:t xml:space="preserve">5. That this Certificate of Amendment shall become effective at      Eastern Time on    , 2026.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of the Amended and Restated Certificate of Incorporation has been executed as of this      day of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00"/>
        <w:gridCol w:w="83"/>
        <w:gridCol w:w="3099"/>
      </w:tblGrid>
      <w:tr>
        <w:trPr/>
        <w:tc>
          <w:tcPr>
            <w:tcW w:w="90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Boundless Bio,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900" w:type="dxa"/>
            <w:tcBorders/>
            <w:vAlign w:val="center"/>
          </w:tcPr>
          <w:p>
            <w:pPr>
              <w:pStyle w:val="TableContents"/>
              <w:bidi w:val="0"/>
              <w:spacing w:before="0" w:after="283"/>
              <w:jc w:val="left"/>
              <w:rPr>
                <w:sz w:val="4"/>
                <w:szCs w:val="4"/>
              </w:rPr>
            </w:pPr>
            <w:r>
              <w:rPr>
                <w:sz w:val="4"/>
                <w:szCs w:val="4"/>
              </w:rPr>
            </w:r>
          </w:p>
        </w:tc>
        <w:tc>
          <w:tcPr>
            <w:tcW w:w="3182"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pBdr>
                <w:bottom w:val="single" w:sz="2" w:space="1" w:color="000000"/>
              </w:pBdr>
              <w:bidi w:val="0"/>
              <w:spacing w:before="0" w:after="20"/>
              <w:jc w:val="left"/>
              <w:rPr/>
            </w:pPr>
            <w:r>
              <w:rPr/>
              <w:t> </w:t>
            </w:r>
          </w:p>
        </w:tc>
      </w:tr>
      <w:tr>
        <w:trPr/>
        <w:tc>
          <w:tcPr>
            <w:tcW w:w="900" w:type="dxa"/>
            <w:tcBorders/>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0" w:name="tx108148_47"/>
      <w:bookmarkStart w:id="241" w:name="annexd"/>
      <w:bookmarkEnd w:id="240"/>
      <w:bookmarkEnd w:id="241"/>
      <w:r>
        <w:rPr>
          <w:rFonts w:ascii="Times New Roman" w:hAnsi="Times New Roman"/>
          <w:b/>
          <w:sz w:val="20"/>
        </w:rPr>
        <w:t xml:space="preserve">Annex D </w:t>
      </w:r>
    </w:p>
    <w:p>
      <w:pPr>
        <w:pStyle w:val="TextBody"/>
        <w:bidi w:val="0"/>
        <w:spacing w:before="0" w:after="0"/>
        <w:jc w:val="left"/>
        <w:rPr/>
      </w:pPr>
      <w:r>
        <w:rPr/>
        <w:t> </w:t>
      </w:r>
    </w:p>
    <w:tbl>
      <w:tblPr>
        <w:tblW w:w="10410" w:type="dxa"/>
        <w:jc w:val="center"/>
        <w:tblInd w:w="0" w:type="dxa"/>
        <w:tblLayout w:type="fixed"/>
        <w:tblCellMar>
          <w:top w:w="0" w:type="dxa"/>
          <w:left w:w="0" w:type="dxa"/>
          <w:bottom w:w="0" w:type="dxa"/>
          <w:right w:w="0" w:type="dxa"/>
        </w:tblCellMar>
      </w:tblPr>
      <w:tblGrid>
        <w:gridCol w:w="3619"/>
        <w:gridCol w:w="60"/>
        <w:gridCol w:w="23"/>
        <w:gridCol w:w="60"/>
        <w:gridCol w:w="6275"/>
        <w:gridCol w:w="60"/>
        <w:gridCol w:w="230"/>
        <w:gridCol w:w="60"/>
        <w:gridCol w:w="23"/>
      </w:tblGrid>
      <w:tr>
        <w:trPr/>
        <w:tc>
          <w:tcPr>
            <w:tcW w:w="36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r>
        <w:trPr/>
        <w:tc>
          <w:tcPr>
            <w:tcW w:w="3619" w:type="dxa"/>
            <w:tcBorders/>
          </w:tcPr>
          <w:p>
            <w:pPr>
              <w:pStyle w:val="TableContents"/>
              <w:bidi w:val="0"/>
              <w:spacing w:before="0" w:after="283"/>
              <w:jc w:val="left"/>
              <w:rPr>
                <w:color w:val="FF0200"/>
                <w:sz w:val="16"/>
              </w:rPr>
            </w:pPr>
            <w:r>
              <w:rPr>
                <w:color w:val="FF0200"/>
                <w:sz w:val="16"/>
              </w:rPr>
              <w:t>PRELIMINARY FILING - SUBJECT TO COMPLETION</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vMerge w:val="restart"/>
            <w:tcBorders/>
            <w:vAlign w:val="bottom"/>
          </w:tcPr>
          <w:p>
            <w:pPr>
              <w:pStyle w:val="TableContents"/>
              <w:bidi w:val="0"/>
              <w:spacing w:before="0" w:after="283"/>
              <w:jc w:val="left"/>
              <w:rPr/>
            </w:pPr>
            <w:r>
              <w:rPr/>
              <w:t> </w:t>
            </w:r>
          </w:p>
        </w:tc>
        <w:tc>
          <w:tcPr>
            <w:tcW w:w="6275" w:type="dxa"/>
            <w:vMerge w:val="restart"/>
            <w:tcBorders/>
          </w:tcPr>
          <w:p>
            <w:pPr>
              <w:pStyle w:val="TableContents"/>
              <w:bidi w:val="0"/>
              <w:spacing w:before="0" w:after="0"/>
              <w:jc w:val="left"/>
              <w:rPr>
                <w:rFonts w:ascii="Times New Roman" w:hAnsi="Times New Roman"/>
                <w:b/>
                <w:color w:val="FF281C"/>
                <w:sz w:val="68"/>
              </w:rPr>
            </w:pPr>
            <w:r>
              <w:rPr>
                <w:rFonts w:ascii="Times New Roman" w:hAnsi="Times New Roman"/>
                <w:b/>
                <w:color w:val="FF281C"/>
                <w:sz w:val="68"/>
              </w:rPr>
              <w:t>Your vote</w:t>
            </w:r>
          </w:p>
          <w:p>
            <w:pPr>
              <w:pStyle w:val="TableContents"/>
              <w:bidi w:val="0"/>
              <w:spacing w:before="0" w:after="20"/>
              <w:jc w:val="left"/>
              <w:rPr>
                <w:rFonts w:ascii="Times New Roman" w:hAnsi="Times New Roman"/>
                <w:b/>
                <w:color w:val="FF281C"/>
                <w:sz w:val="68"/>
              </w:rPr>
            </w:pPr>
            <w:r>
              <w:rPr>
                <w:rFonts w:ascii="Times New Roman" w:hAnsi="Times New Roman"/>
                <w:b/>
                <w:color w:val="FF281C"/>
                <w:sz w:val="68"/>
              </w:rPr>
              <w:t>matters!</w:t>
            </w:r>
          </w:p>
        </w:tc>
        <w:tc>
          <w:tcPr>
            <w:tcW w:w="60" w:type="dxa"/>
            <w:vMerge w:val="restart"/>
            <w:tcBorders/>
            <w:vAlign w:val="bottom"/>
          </w:tcPr>
          <w:p>
            <w:pPr>
              <w:pStyle w:val="TableContents"/>
              <w:bidi w:val="0"/>
              <w:spacing w:before="0" w:after="283"/>
              <w:jc w:val="left"/>
              <w:rPr/>
            </w:pPr>
            <w:r>
              <w:rPr/>
              <w:t> </w:t>
            </w:r>
          </w:p>
        </w:tc>
        <w:tc>
          <w:tcPr>
            <w:tcW w:w="230" w:type="dxa"/>
            <w:vMerge w:val="restart"/>
            <w:tcBorders/>
          </w:tcPr>
          <w:p>
            <w:pPr>
              <w:pStyle w:val="TableContents"/>
              <w:bidi w:val="0"/>
              <w:spacing w:before="0" w:after="0"/>
              <w:jc w:val="left"/>
              <w:rPr/>
            </w:pPr>
            <w:r>
              <w:rPr/>
              <w:t> </w:t>
            </w:r>
          </w:p>
          <w:p>
            <w:pPr>
              <w:pStyle w:val="TableContents"/>
              <w:bidi w:val="0"/>
              <w:spacing w:before="0" w:after="20"/>
              <w:jc w:val="left"/>
              <w:rPr>
                <w:color w:val="FF281C"/>
              </w:rPr>
            </w:pPr>
            <w:r>
              <w:rPr>
                <w:color w:val="FF281C"/>
              </w:rPr>
              <w:t>☒</w:t>
            </w:r>
          </w:p>
        </w:tc>
        <w:tc>
          <w:tcPr>
            <w:tcW w:w="60" w:type="dxa"/>
            <w:vMerge w:val="restart"/>
            <w:tcBorders/>
            <w:shd w:fill="214944" w:val="clear"/>
            <w:vAlign w:val="bottom"/>
          </w:tcPr>
          <w:p>
            <w:pPr>
              <w:pStyle w:val="TableContents"/>
              <w:bidi w:val="0"/>
              <w:spacing w:before="0" w:after="283"/>
              <w:jc w:val="left"/>
              <w:rPr/>
            </w:pPr>
            <w:r>
              <w:rPr/>
              <w:t> </w:t>
            </w:r>
          </w:p>
        </w:tc>
        <w:tc>
          <w:tcPr>
            <w:tcW w:w="23" w:type="dxa"/>
            <w:vMerge w:val="restart"/>
            <w:tcBorders/>
            <w:shd w:fill="214944" w:val="clear"/>
          </w:tcPr>
          <w:p>
            <w:pPr>
              <w:pStyle w:val="TableContents"/>
              <w:bidi w:val="0"/>
              <w:spacing w:before="0" w:after="283"/>
              <w:jc w:val="left"/>
              <w:rPr>
                <w:sz w:val="4"/>
                <w:szCs w:val="4"/>
              </w:rPr>
            </w:pPr>
            <w:r>
              <w:rPr>
                <w:sz w:val="4"/>
                <w:szCs w:val="4"/>
              </w:rPr>
            </w:r>
          </w:p>
        </w:tc>
      </w:tr>
      <w:tr>
        <w:trPr/>
        <w:tc>
          <w:tcPr>
            <w:tcW w:w="3619" w:type="dxa"/>
            <w:tcBorders/>
          </w:tcPr>
          <w:p>
            <w:pPr>
              <w:pStyle w:val="TableContents"/>
              <w:bidi w:val="0"/>
              <w:spacing w:before="0" w:after="283"/>
              <w:jc w:val="center"/>
              <w:rPr/>
            </w:pPr>
            <w:r>
              <w:rPr/>
              <w:drawing>
                <wp:inline distT="0" distB="0" distL="0" distR="0">
                  <wp:extent cx="2298065" cy="3962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98065" cy="396240"/>
                          </a:xfrm>
                          <a:prstGeom prst="rect">
                            <a:avLst/>
                          </a:prstGeom>
                        </pic:spPr>
                      </pic:pic>
                    </a:graphicData>
                  </a:graphic>
                </wp:inline>
              </w:drawing>
            </w:r>
            <w:r>
              <w:rPr/>
              <w:t xml:space="preserve"> </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vMerge w:val="continue"/>
            <w:tcBorders/>
            <w:vAlign w:val="bottom"/>
          </w:tcPr>
          <w:p>
            <w:pPr>
              <w:pStyle w:val="Normal"/>
              <w:bidi w:val="0"/>
              <w:jc w:val="left"/>
              <w:rPr/>
            </w:pPr>
            <w:r>
              <w:rPr/>
            </w:r>
          </w:p>
        </w:tc>
        <w:tc>
          <w:tcPr>
            <w:tcW w:w="6275" w:type="dxa"/>
            <w:vMerge w:val="continue"/>
            <w:tcBorders/>
            <w:vAlign w:val="bottom"/>
          </w:tcPr>
          <w:p>
            <w:pPr>
              <w:pStyle w:val="Normal"/>
              <w:bidi w:val="0"/>
              <w:jc w:val="left"/>
              <w:rPr/>
            </w:pPr>
            <w:r>
              <w:rPr/>
            </w:r>
          </w:p>
        </w:tc>
        <w:tc>
          <w:tcPr>
            <w:tcW w:w="60" w:type="dxa"/>
            <w:vMerge w:val="continue"/>
            <w:tcBorders/>
            <w:shd w:fill="214944" w:val="clear"/>
            <w:vAlign w:val="bottom"/>
          </w:tcPr>
          <w:p>
            <w:pPr>
              <w:pStyle w:val="Normal"/>
              <w:bidi w:val="0"/>
              <w:jc w:val="left"/>
              <w:rPr/>
            </w:pPr>
            <w:r>
              <w:rPr/>
            </w:r>
          </w:p>
        </w:tc>
        <w:tc>
          <w:tcPr>
            <w:tcW w:w="230" w:type="dxa"/>
            <w:vMerge w:val="continue"/>
            <w:tcBorders/>
            <w:shd w:fill="214944" w:val="clear"/>
          </w:tcPr>
          <w:p>
            <w:pPr>
              <w:pStyle w:val="Normal"/>
              <w:bidi w:val="0"/>
              <w:jc w:val="left"/>
              <w:rPr/>
            </w:pPr>
            <w:r>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center"/>
              <w:rPr>
                <w:sz w:val="16"/>
              </w:rPr>
            </w:pPr>
            <w:r>
              <w:rPr>
                <w:sz w:val="16"/>
              </w:rPr>
              <w:t>C/O TABULATOR P.O. BOX 8016, CARY, NC 27512-9903</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vMerge w:val="continue"/>
            <w:tcBorders/>
            <w:vAlign w:val="bottom"/>
          </w:tcPr>
          <w:p>
            <w:pPr>
              <w:pStyle w:val="Normal"/>
              <w:bidi w:val="0"/>
              <w:jc w:val="left"/>
              <w:rPr/>
            </w:pPr>
            <w:r>
              <w:rPr/>
            </w:r>
          </w:p>
        </w:tc>
        <w:tc>
          <w:tcPr>
            <w:tcW w:w="6275" w:type="dxa"/>
            <w:vMerge w:val="continue"/>
            <w:tcBorders/>
            <w:vAlign w:val="bottom"/>
          </w:tcPr>
          <w:p>
            <w:pPr>
              <w:pStyle w:val="Normal"/>
              <w:bidi w:val="0"/>
              <w:jc w:val="left"/>
              <w:rPr/>
            </w:pPr>
            <w:r>
              <w:rPr/>
            </w:r>
          </w:p>
        </w:tc>
        <w:tc>
          <w:tcPr>
            <w:tcW w:w="60" w:type="dxa"/>
            <w:vMerge w:val="continue"/>
            <w:tcBorders/>
            <w:shd w:fill="214944" w:val="clear"/>
            <w:vAlign w:val="bottom"/>
          </w:tcPr>
          <w:p>
            <w:pPr>
              <w:pStyle w:val="Normal"/>
              <w:bidi w:val="0"/>
              <w:jc w:val="left"/>
              <w:rPr/>
            </w:pPr>
            <w:r>
              <w:rPr/>
            </w:r>
          </w:p>
        </w:tc>
        <w:tc>
          <w:tcPr>
            <w:tcW w:w="230" w:type="dxa"/>
            <w:vMerge w:val="continue"/>
            <w:tcBorders/>
            <w:shd w:fill="214944" w:val="clear"/>
          </w:tcPr>
          <w:p>
            <w:pPr>
              <w:pStyle w:val="Normal"/>
              <w:bidi w:val="0"/>
              <w:jc w:val="left"/>
              <w:rPr/>
            </w:pPr>
            <w:r>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75" w:type="dxa"/>
            <w:tcBorders/>
            <w:vAlign w:val="bottom"/>
          </w:tcPr>
          <w:p>
            <w:pPr>
              <w:pStyle w:val="TableContents"/>
              <w:bidi w:val="0"/>
              <w:spacing w:before="0" w:after="283"/>
              <w:jc w:val="left"/>
              <w:rPr>
                <w:color w:val="FF281C"/>
              </w:rPr>
            </w:pPr>
            <w:r>
              <w:rPr>
                <w:color w:val="FF281C"/>
              </w:rPr>
              <w:t>Have your ballot ready and please use one</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75" w:type="dxa"/>
            <w:tcBorders/>
            <w:vAlign w:val="bottom"/>
          </w:tcPr>
          <w:p>
            <w:pPr>
              <w:pStyle w:val="TableContents"/>
              <w:bidi w:val="0"/>
              <w:spacing w:before="0" w:after="283"/>
              <w:jc w:val="left"/>
              <w:rPr>
                <w:color w:val="FF281C"/>
              </w:rPr>
            </w:pPr>
            <w:r>
              <w:rPr>
                <w:color w:val="FF281C"/>
              </w:rPr>
              <w:t xml:space="preserve">of the methods below for </w:t>
            </w:r>
            <w:r>
              <w:rPr>
                <w:b/>
                <w:color w:val="FF281C"/>
                <w:u w:val="single"/>
              </w:rPr>
              <w:t>easy voting</w:t>
            </w:r>
            <w:r>
              <w:rPr>
                <w:b/>
                <w:color w:val="FF281C"/>
              </w:rPr>
              <w:t xml:space="preserve">: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top w:val="single" w:sz="2" w:space="0" w:color="FF281C"/>
              <w:left w:val="single" w:sz="2" w:space="0" w:color="FF281C"/>
            </w:tcBorders>
            <w:tcMar>
              <w:top w:w="28" w:type="dxa"/>
              <w:left w:w="28" w:type="dxa"/>
            </w:tcMar>
            <w:vAlign w:val="bottom"/>
          </w:tcPr>
          <w:p>
            <w:pPr>
              <w:pStyle w:val="TableContents"/>
              <w:bidi w:val="0"/>
              <w:spacing w:before="0" w:after="283"/>
              <w:jc w:val="left"/>
              <w:rPr/>
            </w:pPr>
            <w:r>
              <w:rPr/>
              <w:t> </w:t>
            </w:r>
          </w:p>
        </w:tc>
        <w:tc>
          <w:tcPr>
            <w:tcW w:w="6275" w:type="dxa"/>
            <w:tcBorders>
              <w:top w:val="single" w:sz="2" w:space="0" w:color="FF281C"/>
              <w:right w:val="single" w:sz="2" w:space="0" w:color="FF281C"/>
            </w:tcBorders>
            <w:tcMar>
              <w:top w:w="28" w:type="dxa"/>
              <w:right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Your control number</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left w:val="single" w:sz="2" w:space="0" w:color="FF281C"/>
              <w:bottom w:val="single" w:sz="2" w:space="0" w:color="FF281C"/>
            </w:tcBorders>
            <w:tcMar>
              <w:left w:w="28" w:type="dxa"/>
              <w:bottom w:w="28" w:type="dxa"/>
            </w:tcMar>
            <w:vAlign w:val="bottom"/>
          </w:tcPr>
          <w:p>
            <w:pPr>
              <w:pStyle w:val="TableContents"/>
              <w:bidi w:val="0"/>
              <w:spacing w:before="0" w:after="283"/>
              <w:jc w:val="left"/>
              <w:rPr/>
            </w:pPr>
            <w:r>
              <w:rPr/>
              <w:t> </w:t>
            </w:r>
          </w:p>
        </w:tc>
        <w:tc>
          <w:tcPr>
            <w:tcW w:w="6275" w:type="dxa"/>
            <w:tcBorders>
              <w:bottom w:val="single" w:sz="2" w:space="0" w:color="FF281C"/>
              <w:right w:val="single" w:sz="2" w:space="0" w:color="FF281C"/>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75" w:type="dxa"/>
            <w:tcBorders/>
            <w:vAlign w:val="bottom"/>
          </w:tcPr>
          <w:p>
            <w:pPr>
              <w:pStyle w:val="TableContents"/>
              <w:bidi w:val="0"/>
              <w:spacing w:before="0" w:after="283"/>
              <w:jc w:val="left"/>
              <w:rPr/>
            </w:pPr>
            <w:r>
              <w:rPr/>
              <w:t>Have the 12 digit control number located in the box above</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r>
        <w:trPr/>
        <w:tc>
          <w:tcPr>
            <w:tcW w:w="36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75" w:type="dxa"/>
            <w:tcBorders/>
            <w:vAlign w:val="bottom"/>
          </w:tcPr>
          <w:p>
            <w:pPr>
              <w:pStyle w:val="TableContents"/>
              <w:bidi w:val="0"/>
              <w:spacing w:before="0" w:after="283"/>
              <w:jc w:val="left"/>
              <w:rPr/>
            </w:pPr>
            <w:r>
              <w:rPr/>
              <w:t>available when you access the website and follow the instructions.</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60" w:type="dxa"/>
            <w:vMerge w:val="continue"/>
            <w:tcBorders/>
            <w:shd w:fill="214944" w:val="clear"/>
            <w:vAlign w:val="bottom"/>
          </w:tcPr>
          <w:p>
            <w:pPr>
              <w:pStyle w:val="Normal"/>
              <w:bidi w:val="0"/>
              <w:jc w:val="left"/>
              <w:rPr/>
            </w:pPr>
            <w:r>
              <w:rPr/>
            </w:r>
          </w:p>
        </w:tc>
        <w:tc>
          <w:tcPr>
            <w:tcW w:w="23" w:type="dxa"/>
            <w:vMerge w:val="continue"/>
            <w:tcBorders/>
            <w:shd w:fill="214944" w:val="clea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2"/>
        <w:gridCol w:w="215"/>
        <w:gridCol w:w="628"/>
        <w:gridCol w:w="124"/>
        <w:gridCol w:w="4526"/>
      </w:tblGrid>
      <w:tr>
        <w:trPr/>
        <w:tc>
          <w:tcPr>
            <w:tcW w:w="4712"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526" w:type="dxa"/>
            <w:tcBorders/>
            <w:vAlign w:val="center"/>
          </w:tcPr>
          <w:p>
            <w:pPr>
              <w:pStyle w:val="TableContents"/>
              <w:bidi w:val="0"/>
              <w:spacing w:before="0" w:after="283"/>
              <w:jc w:val="left"/>
              <w:rPr>
                <w:sz w:val="4"/>
                <w:szCs w:val="4"/>
              </w:rPr>
            </w:pPr>
            <w:r>
              <w:rPr>
                <w:sz w:val="4"/>
                <w:szCs w:val="4"/>
              </w:rPr>
            </w:r>
          </w:p>
        </w:tc>
      </w:tr>
      <w:tr>
        <w:trPr/>
        <w:tc>
          <w:tcPr>
            <w:tcW w:w="4712" w:type="dxa"/>
            <w:tcBorders/>
            <w:vAlign w:val="bottom"/>
          </w:tcPr>
          <w:p>
            <w:pPr>
              <w:pStyle w:val="TableContents"/>
              <w:bidi w:val="0"/>
              <w:spacing w:before="0" w:after="283"/>
              <w:jc w:val="center"/>
              <w:rPr>
                <w:b/>
                <w:color w:val="FF281C"/>
                <w:sz w:val="24"/>
              </w:rPr>
            </w:pPr>
            <w:r>
              <w:rPr>
                <w:b/>
                <w:color w:val="FF281C"/>
                <w:sz w:val="24"/>
              </w:rPr>
              <w:t>Boundless Bio, Inc.</w:t>
            </w:r>
          </w:p>
        </w:tc>
        <w:tc>
          <w:tcPr>
            <w:tcW w:w="215"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bidi w:val="0"/>
              <w:spacing w:before="0" w:after="283"/>
              <w:jc w:val="left"/>
              <w:rPr>
                <w:b/>
                <w:color w:val="FF281C"/>
              </w:rPr>
            </w:pPr>
            <w:r>
              <w:rPr>
                <w:b/>
                <w:color w:val="FF281C"/>
              </w:rPr>
              <w:t>Internet:</w:t>
            </w:r>
          </w:p>
        </w:tc>
      </w:tr>
      <w:tr>
        <w:trPr/>
        <w:tc>
          <w:tcPr>
            <w:tcW w:w="4712" w:type="dxa"/>
            <w:tcBorders/>
            <w:vAlign w:val="center"/>
          </w:tcPr>
          <w:p>
            <w:pPr>
              <w:pStyle w:val="TableContents"/>
              <w:bidi w:val="0"/>
              <w:spacing w:before="0" w:after="283"/>
              <w:jc w:val="center"/>
              <w:rPr>
                <w:b/>
                <w:color w:val="FFFFFF"/>
                <w:sz w:val="28"/>
              </w:rPr>
            </w:pPr>
            <w:r>
              <w:rPr>
                <w:b/>
                <w:color w:val="FFFFFF"/>
                <w:sz w:val="28"/>
              </w:rPr>
              <w:t>Special Meeting of Stockholders</w:t>
            </w:r>
          </w:p>
        </w:tc>
        <w:tc>
          <w:tcPr>
            <w:tcW w:w="215" w:type="dxa"/>
            <w:tcBorders/>
            <w:vAlign w:val="bottom"/>
          </w:tcPr>
          <w:p>
            <w:pPr>
              <w:pStyle w:val="TableContents"/>
              <w:bidi w:val="0"/>
              <w:spacing w:before="0" w:after="283"/>
              <w:jc w:val="left"/>
              <w:rPr/>
            </w:pPr>
            <w:r>
              <w:rPr/>
              <w:t>  </w:t>
            </w:r>
          </w:p>
        </w:tc>
        <w:tc>
          <w:tcPr>
            <w:tcW w:w="628" w:type="dxa"/>
            <w:tcBorders/>
            <w:vAlign w:val="center"/>
          </w:tcPr>
          <w:p>
            <w:pPr>
              <w:pStyle w:val="TableContents"/>
              <w:bidi w:val="0"/>
              <w:spacing w:before="0" w:after="283"/>
              <w:jc w:val="center"/>
              <w:rPr/>
            </w:pPr>
            <w:r>
              <w:rPr/>
              <w:drawing>
                <wp:inline distT="0" distB="0" distL="0" distR="0">
                  <wp:extent cx="365760" cy="307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 cy="30797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4526" w:type="dxa"/>
            <w:tcBorders/>
          </w:tcPr>
          <w:p>
            <w:pPr>
              <w:pStyle w:val="TableContents"/>
              <w:bidi w:val="0"/>
              <w:spacing w:before="0" w:after="0"/>
              <w:jc w:val="left"/>
              <w:rPr>
                <w:rFonts w:ascii="Times New Roman" w:hAnsi="Times New Roman"/>
                <w:b/>
                <w:sz w:val="16"/>
              </w:rPr>
            </w:pPr>
            <w:r>
              <w:rPr>
                <w:rFonts w:ascii="Times New Roman" w:hAnsi="Times New Roman"/>
                <w:b/>
                <w:sz w:val="16"/>
              </w:rPr>
              <w:t>www.proxypush.com/BOLD</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Cast your vote online</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 xml:space="preserve">Have your Proxy Card ready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instructions to record your vote</w:t>
            </w:r>
          </w:p>
        </w:tc>
      </w:tr>
      <w:tr>
        <w:trPr/>
        <w:tc>
          <w:tcPr>
            <w:tcW w:w="471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bidi w:val="0"/>
              <w:spacing w:before="0" w:after="283"/>
              <w:jc w:val="left"/>
              <w:rPr>
                <w:sz w:val="4"/>
                <w:szCs w:val="4"/>
              </w:rPr>
            </w:pPr>
            <w:r>
              <w:rPr>
                <w:sz w:val="4"/>
                <w:szCs w:val="4"/>
              </w:rPr>
            </w:r>
          </w:p>
        </w:tc>
      </w:tr>
      <w:tr>
        <w:trPr/>
        <w:tc>
          <w:tcPr>
            <w:tcW w:w="4712" w:type="dxa"/>
            <w:tcBorders/>
          </w:tcPr>
          <w:p>
            <w:pPr>
              <w:pStyle w:val="TableContents"/>
              <w:bidi w:val="0"/>
              <w:spacing w:before="0" w:after="283"/>
              <w:jc w:val="center"/>
              <w:rPr>
                <w:sz w:val="20"/>
              </w:rPr>
            </w:pPr>
            <w:r>
              <w:rPr>
                <w:sz w:val="20"/>
              </w:rPr>
              <w:t>for stockholders of record as of [ ], 2026</w:t>
            </w:r>
          </w:p>
        </w:tc>
        <w:tc>
          <w:tcPr>
            <w:tcW w:w="215" w:type="dxa"/>
            <w:vMerge w:val="restart"/>
            <w:tcBorders/>
            <w:vAlign w:val="bottom"/>
          </w:tcPr>
          <w:p>
            <w:pPr>
              <w:pStyle w:val="TableContents"/>
              <w:bidi w:val="0"/>
              <w:spacing w:before="0" w:after="283"/>
              <w:jc w:val="left"/>
              <w:rPr/>
            </w:pPr>
            <w:r>
              <w:rPr/>
              <w:t>  </w:t>
            </w:r>
          </w:p>
        </w:tc>
        <w:tc>
          <w:tcPr>
            <w:tcW w:w="628" w:type="dxa"/>
            <w:vMerge w:val="restart"/>
            <w:tcBorders/>
            <w:vAlign w:val="center"/>
          </w:tcPr>
          <w:p>
            <w:pPr>
              <w:pStyle w:val="TableContents"/>
              <w:bidi w:val="0"/>
              <w:spacing w:before="0" w:after="283"/>
              <w:jc w:val="center"/>
              <w:rPr/>
            </w:pPr>
            <w:r>
              <w:rPr/>
              <w:drawing>
                <wp:inline distT="0" distB="0" distL="0" distR="0">
                  <wp:extent cx="240665" cy="3625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0665" cy="36258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bidi w:val="0"/>
              <w:spacing w:before="0" w:after="0"/>
              <w:jc w:val="left"/>
              <w:rPr>
                <w:rFonts w:ascii="Times New Roman" w:hAnsi="Times New Roman"/>
                <w:b/>
                <w:color w:val="FF281C"/>
                <w:sz w:val="16"/>
              </w:rPr>
            </w:pPr>
            <w:r>
              <w:rPr>
                <w:rFonts w:ascii="Times New Roman" w:hAnsi="Times New Roman"/>
                <w:b/>
                <w:color w:val="FF281C"/>
                <w:sz w:val="16"/>
              </w:rPr>
              <w:t>Phone:</w:t>
            </w:r>
          </w:p>
          <w:p>
            <w:pPr>
              <w:pStyle w:val="TableContents"/>
              <w:bidi w:val="0"/>
              <w:spacing w:before="0" w:after="20"/>
              <w:jc w:val="left"/>
              <w:rPr>
                <w:rFonts w:ascii="Times New Roman" w:hAnsi="Times New Roman"/>
                <w:b/>
                <w:sz w:val="16"/>
              </w:rPr>
            </w:pPr>
            <w:r>
              <w:rPr>
                <w:rFonts w:ascii="Times New Roman" w:hAnsi="Times New Roman"/>
                <w:b/>
                <w:sz w:val="16"/>
              </w:rPr>
              <w:t xml:space="preserve">1-866-390-5243 </w:t>
            </w:r>
          </w:p>
        </w:tc>
      </w:tr>
      <w:tr>
        <w:trPr/>
        <w:tc>
          <w:tcPr>
            <w:tcW w:w="4712" w:type="dxa"/>
            <w:tcBorders>
              <w:bottom w:val="single" w:sz="2" w:space="0" w:color="FF4338"/>
            </w:tcBorders>
            <w:tcMar>
              <w:bottom w:w="28" w:type="dxa"/>
            </w:tcMar>
            <w:vAlign w:val="bottom"/>
          </w:tcPr>
          <w:p>
            <w:pPr>
              <w:pStyle w:val="TableContents"/>
              <w:bidi w:val="0"/>
              <w:spacing w:before="0" w:after="0"/>
              <w:jc w:val="center"/>
              <w:rPr>
                <w:rFonts w:ascii="Times New Roman" w:hAnsi="Times New Roman"/>
                <w:color w:val="FF281C"/>
                <w:sz w:val="18"/>
              </w:rPr>
            </w:pPr>
            <w:r>
              <w:rPr>
                <w:rFonts w:ascii="Times New Roman" w:hAnsi="Times New Roman"/>
                <w:color w:val="FF281C"/>
                <w:sz w:val="18"/>
              </w:rPr>
              <w:t>[   ], 2026 [    ] [AM][PM], Pacific Time</w:t>
            </w:r>
          </w:p>
          <w:p>
            <w:pPr>
              <w:pStyle w:val="TableContents"/>
              <w:bidi w:val="0"/>
              <w:spacing w:before="0" w:after="20"/>
              <w:jc w:val="center"/>
              <w:rPr>
                <w:rFonts w:ascii="Times New Roman" w:hAnsi="Times New Roman"/>
                <w:color w:val="FF281C"/>
                <w:sz w:val="18"/>
              </w:rPr>
            </w:pPr>
            <w:r>
              <w:rPr>
                <w:rFonts w:ascii="Times New Roman" w:hAnsi="Times New Roman"/>
                <w:color w:val="FF281C"/>
                <w:sz w:val="18"/>
              </w:rPr>
              <w:t>Special meeting will be held via live webcast. Please visit www.proxydocs.com/BOLD for more details.</w:t>
            </w:r>
          </w:p>
        </w:tc>
        <w:tc>
          <w:tcPr>
            <w:tcW w:w="215" w:type="dxa"/>
            <w:vMerge w:val="continue"/>
            <w:tcBorders/>
            <w:vAlign w:val="bottom"/>
          </w:tcPr>
          <w:p>
            <w:pPr>
              <w:pStyle w:val="Normal"/>
              <w:bidi w:val="0"/>
              <w:jc w:val="left"/>
              <w:rPr/>
            </w:pPr>
            <w:r>
              <w:rPr/>
            </w:r>
          </w:p>
        </w:tc>
        <w:tc>
          <w:tcPr>
            <w:tcW w:w="628" w:type="dxa"/>
            <w:vMerge w:val="continue"/>
            <w:tcBorders/>
            <w:vAlign w:val="center"/>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4526"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Use any touch-tone telephone</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 xml:space="preserve">Have your Proxy Card ready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recorded instructions</w:t>
            </w:r>
          </w:p>
        </w:tc>
      </w:tr>
      <w:tr>
        <w:trPr/>
        <w:tc>
          <w:tcPr>
            <w:tcW w:w="4712" w:type="dxa"/>
            <w:tcBorders/>
            <w:vAlign w:val="bottom"/>
          </w:tcPr>
          <w:p>
            <w:pPr>
              <w:pStyle w:val="TableContents"/>
              <w:bidi w:val="0"/>
              <w:spacing w:before="0" w:after="283"/>
              <w:jc w:val="left"/>
              <w:rPr>
                <w:sz w:val="4"/>
                <w:szCs w:val="4"/>
              </w:rPr>
            </w:pPr>
            <w:r>
              <w:rPr>
                <w:sz w:val="4"/>
                <w:szCs w:val="4"/>
              </w:rPr>
            </w:r>
          </w:p>
        </w:tc>
        <w:tc>
          <w:tcPr>
            <w:tcW w:w="215" w:type="dxa"/>
            <w:vMerge w:val="restart"/>
            <w:tcBorders/>
            <w:vAlign w:val="bottom"/>
          </w:tcPr>
          <w:p>
            <w:pPr>
              <w:pStyle w:val="TableContents"/>
              <w:bidi w:val="0"/>
              <w:spacing w:before="0" w:after="283"/>
              <w:jc w:val="left"/>
              <w:rPr/>
            </w:pPr>
            <w:r>
              <w:rPr/>
              <w:t>  </w:t>
            </w:r>
          </w:p>
        </w:tc>
        <w:tc>
          <w:tcPr>
            <w:tcW w:w="628" w:type="dxa"/>
            <w:vMerge w:val="restart"/>
            <w:tcBorders/>
            <w:vAlign w:val="center"/>
          </w:tcPr>
          <w:p>
            <w:pPr>
              <w:pStyle w:val="TableContents"/>
              <w:bidi w:val="0"/>
              <w:spacing w:before="0" w:after="283"/>
              <w:jc w:val="center"/>
              <w:rPr/>
            </w:pPr>
            <w:r>
              <w:rPr/>
              <w:drawing>
                <wp:inline distT="0" distB="0" distL="0" distR="0">
                  <wp:extent cx="347345" cy="3473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47345" cy="34734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b/>
                <w:color w:val="FF281C"/>
                <w:sz w:val="16"/>
              </w:rPr>
            </w:pPr>
            <w:r>
              <w:rPr>
                <w:rFonts w:ascii="Times New Roman" w:hAnsi="Times New Roman"/>
                <w:b/>
                <w:color w:val="FF281C"/>
                <w:sz w:val="16"/>
              </w:rPr>
              <w:t>Mail:</w:t>
            </w:r>
          </w:p>
        </w:tc>
      </w:tr>
      <w:tr>
        <w:trPr/>
        <w:tc>
          <w:tcPr>
            <w:tcW w:w="4712" w:type="dxa"/>
            <w:tcBorders/>
            <w:vAlign w:val="bottom"/>
          </w:tcPr>
          <w:p>
            <w:pPr>
              <w:pStyle w:val="TableContents"/>
              <w:bidi w:val="0"/>
              <w:spacing w:before="0" w:after="283"/>
              <w:jc w:val="center"/>
              <w:rPr>
                <w:b/>
              </w:rPr>
            </w:pPr>
            <w:r>
              <w:rPr>
                <w:b/>
              </w:rPr>
              <w:t>YOUR VOTE IS IMPORTANT!</w:t>
            </w:r>
          </w:p>
        </w:tc>
        <w:tc>
          <w:tcPr>
            <w:tcW w:w="215" w:type="dxa"/>
            <w:vMerge w:val="continue"/>
            <w:tcBorders/>
            <w:vAlign w:val="bottom"/>
          </w:tcPr>
          <w:p>
            <w:pPr>
              <w:pStyle w:val="Normal"/>
              <w:bidi w:val="0"/>
              <w:jc w:val="left"/>
              <w:rPr/>
            </w:pPr>
            <w:r>
              <w:rPr/>
            </w:r>
          </w:p>
        </w:tc>
        <w:tc>
          <w:tcPr>
            <w:tcW w:w="628" w:type="dxa"/>
            <w:vMerge w:val="continue"/>
            <w:tcBorders/>
            <w:vAlign w:val="center"/>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Mark, sign and date your Proxy Card</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Fold and return your Proxy Card in the postage-paid envelope provided</w:t>
            </w:r>
          </w:p>
        </w:tc>
      </w:tr>
      <w:tr>
        <w:trPr/>
        <w:tc>
          <w:tcPr>
            <w:tcW w:w="4712" w:type="dxa"/>
            <w:tcBorders/>
            <w:vAlign w:val="bottom"/>
          </w:tcPr>
          <w:p>
            <w:pPr>
              <w:pStyle w:val="TableContents"/>
              <w:bidi w:val="0"/>
              <w:spacing w:before="0" w:after="283"/>
              <w:jc w:val="center"/>
              <w:rPr>
                <w:b/>
              </w:rPr>
            </w:pPr>
            <w:r>
              <w:rPr>
                <w:b/>
              </w:rPr>
              <w:t>PLEASE VOTE BY: 8:59 PM Pacific Time, on [  ], 2026</w:t>
            </w:r>
          </w:p>
        </w:tc>
        <w:tc>
          <w:tcPr>
            <w:tcW w:w="215" w:type="dxa"/>
            <w:vMerge w:val="restart"/>
            <w:tcBorders/>
            <w:vAlign w:val="bottom"/>
          </w:tcPr>
          <w:p>
            <w:pPr>
              <w:pStyle w:val="TableContents"/>
              <w:bidi w:val="0"/>
              <w:spacing w:before="0" w:after="283"/>
              <w:jc w:val="left"/>
              <w:rPr/>
            </w:pPr>
            <w:r>
              <w:rPr/>
              <w:t>  </w:t>
            </w:r>
          </w:p>
        </w:tc>
        <w:tc>
          <w:tcPr>
            <w:tcW w:w="628" w:type="dxa"/>
            <w:vMerge w:val="restart"/>
            <w:tcBorders/>
            <w:vAlign w:val="center"/>
          </w:tcPr>
          <w:p>
            <w:pPr>
              <w:pStyle w:val="TableContents"/>
              <w:bidi w:val="0"/>
              <w:spacing w:before="0" w:after="283"/>
              <w:jc w:val="center"/>
              <w:rPr/>
            </w:pPr>
            <w:r>
              <w:rPr/>
              <w:drawing>
                <wp:inline distT="0" distB="0" distL="0" distR="0">
                  <wp:extent cx="393065" cy="307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93065" cy="30797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b/>
                <w:color w:val="FF281C"/>
                <w:sz w:val="16"/>
              </w:rPr>
            </w:pPr>
            <w:r>
              <w:rPr>
                <w:rFonts w:ascii="Times New Roman" w:hAnsi="Times New Roman"/>
                <w:b/>
                <w:color w:val="FF281C"/>
                <w:sz w:val="16"/>
              </w:rPr>
              <w:t>Virtual:</w:t>
            </w:r>
          </w:p>
        </w:tc>
      </w:tr>
      <w:tr>
        <w:trPr/>
        <w:tc>
          <w:tcPr>
            <w:tcW w:w="4712" w:type="dxa"/>
            <w:tcBorders/>
            <w:vAlign w:val="bottom"/>
          </w:tcPr>
          <w:p>
            <w:pPr>
              <w:pStyle w:val="TableContents"/>
              <w:bidi w:val="0"/>
              <w:spacing w:before="0" w:after="283"/>
              <w:jc w:val="left"/>
              <w:rPr>
                <w:sz w:val="4"/>
                <w:szCs w:val="4"/>
              </w:rPr>
            </w:pPr>
            <w:r>
              <w:rPr>
                <w:sz w:val="4"/>
                <w:szCs w:val="4"/>
              </w:rPr>
            </w:r>
          </w:p>
        </w:tc>
        <w:tc>
          <w:tcPr>
            <w:tcW w:w="215" w:type="dxa"/>
            <w:vMerge w:val="continue"/>
            <w:tcBorders/>
            <w:vAlign w:val="bottom"/>
          </w:tcPr>
          <w:p>
            <w:pPr>
              <w:pStyle w:val="Normal"/>
              <w:bidi w:val="0"/>
              <w:jc w:val="left"/>
              <w:rPr/>
            </w:pPr>
            <w:r>
              <w:rPr/>
            </w:r>
          </w:p>
        </w:tc>
        <w:tc>
          <w:tcPr>
            <w:tcW w:w="628" w:type="dxa"/>
            <w:vMerge w:val="continue"/>
            <w:tcBorders/>
            <w:vAlign w:val="center"/>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You may register to attend the meeting online</w:t>
            </w:r>
          </w:p>
          <w:p>
            <w:pPr>
              <w:pStyle w:val="TableContents"/>
              <w:bidi w:val="0"/>
              <w:spacing w:before="0" w:after="20"/>
              <w:jc w:val="left"/>
              <w:rPr>
                <w:rFonts w:ascii="Times New Roman" w:hAnsi="Times New Roman"/>
                <w:sz w:val="16"/>
              </w:rPr>
            </w:pPr>
            <w:r>
              <w:rPr>
                <w:rFonts w:ascii="Times New Roman" w:hAnsi="Times New Roman"/>
                <w:sz w:val="16"/>
              </w:rPr>
              <w:t>and/or participate at www.proxydocs.com/BOLD.</w:t>
            </w:r>
          </w:p>
        </w:tc>
      </w:tr>
    </w:tbl>
    <w:p>
      <w:pPr>
        <w:pStyle w:val="TextBody"/>
        <w:bidi w:val="0"/>
        <w:spacing w:before="240" w:after="0"/>
        <w:jc w:val="left"/>
        <w:rPr>
          <w:rFonts w:ascii="Times New Roman" w:hAnsi="Times New Roman"/>
          <w:color w:val="FF281C"/>
          <w:sz w:val="20"/>
        </w:rPr>
      </w:pPr>
      <w:r>
        <w:rPr>
          <w:rFonts w:ascii="Times New Roman" w:hAnsi="Times New Roman"/>
          <w:b/>
          <w:color w:val="FF281C"/>
          <w:sz w:val="20"/>
        </w:rPr>
        <w:t>This proxy is being solicited on behalf of the Board of Directors</w:t>
      </w:r>
      <w:r>
        <w:rPr>
          <w:rFonts w:ascii="Times New Roman" w:hAnsi="Times New Roman"/>
          <w:color w:val="FF281C"/>
          <w:sz w:val="20"/>
        </w:rPr>
        <w:t xml:space="preserve"> </w:t>
      </w:r>
    </w:p>
    <w:p>
      <w:pPr>
        <w:pStyle w:val="TextBody"/>
        <w:bidi w:val="0"/>
        <w:spacing w:before="40" w:after="0"/>
        <w:jc w:val="left"/>
        <w:rPr>
          <w:rFonts w:ascii="Times New Roman" w:hAnsi="Times New Roman"/>
          <w:sz w:val="16"/>
        </w:rPr>
      </w:pPr>
      <w:r>
        <w:rPr>
          <w:rFonts w:ascii="Times New Roman" w:hAnsi="Times New Roman"/>
          <w:sz w:val="16"/>
        </w:rPr>
        <w:t xml:space="preserve">The undersigned hereby appoints Jessica Oien, J.D. and David Hinkle (the “Named Proxies”), and each or either of them, as the true and lawful attorneys of the undersigned, with full power of substitution and revocation, and authorizes them, and each of them, to vote all the shares of capital stock of Boundless Bio, Inc. which the undersigned is entitled to vote at said meeting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240" w:after="0"/>
        <w:jc w:val="left"/>
        <w:rPr>
          <w:rFonts w:ascii="Times New Roman" w:hAnsi="Times New Roman"/>
          <w:sz w:val="16"/>
        </w:rPr>
      </w:pPr>
      <w:r>
        <w:rPr>
          <w:rFonts w:ascii="Times New Roman" w:hAnsi="Times New Roman"/>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40" w:after="0"/>
        <w:jc w:val="left"/>
        <w:rPr>
          <w:rFonts w:ascii="Times New Roman" w:hAnsi="Times New Roman"/>
          <w:sz w:val="16"/>
        </w:rPr>
      </w:pPr>
      <w:r>
        <w:rPr>
          <w:rFonts w:ascii="Times New Roman" w:hAnsi="Times New Roman"/>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(SEE REVERSE SIDE) and return this card. </w:t>
      </w:r>
    </w:p>
    <w:p>
      <w:pPr>
        <w:pStyle w:val="TextBody"/>
        <w:bidi w:val="0"/>
        <w:spacing w:before="480" w:after="0"/>
        <w:jc w:val="center"/>
        <w:rPr>
          <w:rFonts w:ascii="Times New Roman" w:hAnsi="Times New Roman"/>
          <w:sz w:val="16"/>
        </w:rPr>
      </w:pPr>
      <w:r>
        <w:rPr>
          <w:rFonts w:ascii="Times New Roman" w:hAnsi="Times New Roman"/>
          <w:sz w:val="16"/>
        </w:rPr>
        <w:t xml:space="preserve">PLEASE BE SURE TO SIGN AND DATE THIS PROXY CARD AND MARK ON THE REVERSE SIDE </w:t>
      </w:r>
    </w:p>
    <w:p>
      <w:pPr>
        <w:pStyle w:val="TextBody"/>
        <w:bidi w:val="0"/>
        <w:spacing w:before="240" w:after="0"/>
        <w:jc w:val="right"/>
        <w:rPr>
          <w:rFonts w:ascii="Times New Roman" w:hAnsi="Times New Roman"/>
          <w:sz w:val="16"/>
        </w:rPr>
      </w:pPr>
      <w:r>
        <w:rPr>
          <w:rFonts w:ascii="Times New Roman" w:hAnsi="Times New Roman"/>
          <w:sz w:val="16"/>
        </w:rPr>
        <w:t xml:space="preserve">Copyright © 2026 BetaNXT, Inc. or its affiliates. All Rights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746"/>
        <w:gridCol w:w="175"/>
        <w:gridCol w:w="5284"/>
      </w:tblGrid>
      <w:tr>
        <w:trPr/>
        <w:tc>
          <w:tcPr>
            <w:tcW w:w="474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5284" w:type="dxa"/>
            <w:tcBorders/>
            <w:vAlign w:val="center"/>
          </w:tcPr>
          <w:p>
            <w:pPr>
              <w:pStyle w:val="TableContents"/>
              <w:bidi w:val="0"/>
              <w:spacing w:before="0" w:after="283"/>
              <w:jc w:val="left"/>
              <w:rPr>
                <w:sz w:val="4"/>
                <w:szCs w:val="4"/>
              </w:rPr>
            </w:pPr>
            <w:r>
              <w:rPr>
                <w:sz w:val="4"/>
                <w:szCs w:val="4"/>
              </w:rPr>
            </w:r>
          </w:p>
        </w:tc>
      </w:tr>
      <w:tr>
        <w:trPr/>
        <w:tc>
          <w:tcPr>
            <w:tcW w:w="4746" w:type="dxa"/>
            <w:tcBorders/>
          </w:tcPr>
          <w:p>
            <w:pPr>
              <w:pStyle w:val="TableContents"/>
              <w:bidi w:val="0"/>
              <w:spacing w:before="0" w:after="283"/>
              <w:jc w:val="left"/>
              <w:rPr/>
            </w:pPr>
            <w:r>
              <w:rPr/>
              <w:drawing>
                <wp:inline distT="0" distB="0" distL="0" distR="0">
                  <wp:extent cx="2298065" cy="3962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298065" cy="396240"/>
                          </a:xfrm>
                          <a:prstGeom prst="rect">
                            <a:avLst/>
                          </a:prstGeom>
                        </pic:spPr>
                      </pic:pic>
                    </a:graphicData>
                  </a:graphic>
                </wp:inline>
              </w:drawing>
            </w:r>
            <w:r>
              <w:rPr/>
              <w:t xml:space="preserve"> </w:t>
            </w:r>
          </w:p>
        </w:tc>
        <w:tc>
          <w:tcPr>
            <w:tcW w:w="175" w:type="dxa"/>
            <w:tcBorders/>
            <w:vAlign w:val="bottom"/>
          </w:tcPr>
          <w:p>
            <w:pPr>
              <w:pStyle w:val="TableContents"/>
              <w:bidi w:val="0"/>
              <w:spacing w:before="0" w:after="283"/>
              <w:jc w:val="left"/>
              <w:rPr/>
            </w:pPr>
            <w:r>
              <w:rPr/>
              <w:t>  </w:t>
            </w:r>
          </w:p>
        </w:tc>
        <w:tc>
          <w:tcPr>
            <w:tcW w:w="5284" w:type="dxa"/>
            <w:tcBorders/>
          </w:tcPr>
          <w:p>
            <w:pPr>
              <w:pStyle w:val="TableContents"/>
              <w:bidi w:val="0"/>
              <w:spacing w:before="0" w:after="283"/>
              <w:jc w:val="right"/>
              <w:rPr>
                <w:b/>
                <w:color w:val="FF4338"/>
              </w:rPr>
            </w:pPr>
            <w:r>
              <w:rPr>
                <w:b/>
                <w:color w:val="FF4338"/>
              </w:rPr>
              <w:t>Boundless Bio, Inc. Special Meeting of Stockholders</w:t>
            </w:r>
          </w:p>
        </w:tc>
      </w:tr>
    </w:tbl>
    <w:p>
      <w:pPr>
        <w:pStyle w:val="TextBody"/>
        <w:bidi w:val="0"/>
        <w:spacing w:before="480" w:after="0"/>
        <w:jc w:val="left"/>
        <w:rPr>
          <w:rFonts w:ascii="Times New Roman" w:hAnsi="Times New Roman"/>
          <w:sz w:val="20"/>
        </w:rPr>
      </w:pPr>
      <w:r>
        <w:rPr>
          <w:rFonts w:ascii="Times New Roman" w:hAnsi="Times New Roman"/>
          <w:b/>
          <w:sz w:val="20"/>
        </w:rPr>
        <w:t>Please make your marks like this: 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RECOMMENDS A VOTE FOR PROPOSALS 1, 2, 3, 4, 5 AND 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
        <w:gridCol w:w="129"/>
        <w:gridCol w:w="3706"/>
        <w:gridCol w:w="95"/>
        <w:gridCol w:w="978"/>
        <w:gridCol w:w="95"/>
        <w:gridCol w:w="1523"/>
        <w:gridCol w:w="95"/>
        <w:gridCol w:w="1310"/>
        <w:gridCol w:w="95"/>
        <w:gridCol w:w="95"/>
        <w:gridCol w:w="95"/>
        <w:gridCol w:w="1850"/>
      </w:tblGrid>
      <w:tr>
        <w:trPr/>
        <w:tc>
          <w:tcPr>
            <w:tcW w:w="13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39" w:type="dxa"/>
            <w:tcBorders/>
            <w:shd w:fill="B2B2B2" w:val="clear"/>
            <w:vAlign w:val="bottom"/>
          </w:tcPr>
          <w:p>
            <w:pPr>
              <w:pStyle w:val="TableContents"/>
              <w:bidi w:val="0"/>
              <w:spacing w:before="0" w:after="283"/>
              <w:jc w:val="left"/>
              <w:rPr/>
            </w:pPr>
            <w:r>
              <w:rPr/>
              <w:t> </w:t>
            </w:r>
          </w:p>
        </w:tc>
        <w:tc>
          <w:tcPr>
            <w:tcW w:w="129" w:type="dxa"/>
            <w:tcBorders/>
            <w:shd w:fill="B2B2B2" w:val="clear"/>
            <w:vAlign w:val="bottom"/>
          </w:tcPr>
          <w:p>
            <w:pPr>
              <w:pStyle w:val="TableContents"/>
              <w:bidi w:val="0"/>
              <w:spacing w:before="0" w:after="283"/>
              <w:jc w:val="left"/>
              <w:rPr/>
            </w:pPr>
            <w:r>
              <w:rPr/>
              <w:t>  </w:t>
            </w:r>
          </w:p>
        </w:tc>
        <w:tc>
          <w:tcPr>
            <w:tcW w:w="3706" w:type="dxa"/>
            <w:tcBorders/>
            <w:shd w:fill="B2B2B2" w:val="clear"/>
            <w:vAlign w:val="bottom"/>
          </w:tcPr>
          <w:p>
            <w:pPr>
              <w:pStyle w:val="TableContents"/>
              <w:bidi w:val="0"/>
              <w:spacing w:before="0" w:after="283"/>
              <w:jc w:val="left"/>
              <w:rPr>
                <w:b/>
              </w:rPr>
            </w:pPr>
            <w:r>
              <w:rPr>
                <w:b/>
              </w:rPr>
              <w:t>PROPOSAL</w:t>
            </w:r>
          </w:p>
        </w:tc>
        <w:tc>
          <w:tcPr>
            <w:tcW w:w="95" w:type="dxa"/>
            <w:tcBorders/>
            <w:shd w:fill="B2B2B2" w:val="clear"/>
            <w:vAlign w:val="bottom"/>
          </w:tcPr>
          <w:p>
            <w:pPr>
              <w:pStyle w:val="TableContents"/>
              <w:bidi w:val="0"/>
              <w:spacing w:before="0" w:after="283"/>
              <w:jc w:val="left"/>
              <w:rPr/>
            </w:pPr>
            <w:r>
              <w:rPr/>
              <w:t> </w:t>
            </w:r>
          </w:p>
        </w:tc>
        <w:tc>
          <w:tcPr>
            <w:tcW w:w="978" w:type="dxa"/>
            <w:tcBorders/>
            <w:shd w:fill="B2B2B2" w:val="clear"/>
            <w:vAlign w:val="bottom"/>
          </w:tcPr>
          <w:p>
            <w:pPr>
              <w:pStyle w:val="TableContents"/>
              <w:bidi w:val="0"/>
              <w:spacing w:before="0" w:after="283"/>
              <w:jc w:val="left"/>
              <w:rPr/>
            </w:pPr>
            <w:r>
              <w:rPr/>
              <w:t> </w:t>
            </w:r>
          </w:p>
        </w:tc>
        <w:tc>
          <w:tcPr>
            <w:tcW w:w="95" w:type="dxa"/>
            <w:tcBorders/>
            <w:shd w:fill="B2B2B2" w:val="clear"/>
            <w:vAlign w:val="bottom"/>
          </w:tcPr>
          <w:p>
            <w:pPr>
              <w:pStyle w:val="TableContents"/>
              <w:bidi w:val="0"/>
              <w:spacing w:before="0" w:after="283"/>
              <w:jc w:val="left"/>
              <w:rPr/>
            </w:pPr>
            <w:r>
              <w:rPr/>
              <w:t> </w:t>
            </w:r>
          </w:p>
        </w:tc>
        <w:tc>
          <w:tcPr>
            <w:tcW w:w="1523" w:type="dxa"/>
            <w:tcBorders/>
            <w:shd w:fill="B2B2B2" w:val="clear"/>
            <w:vAlign w:val="bottom"/>
          </w:tcPr>
          <w:p>
            <w:pPr>
              <w:pStyle w:val="TableContents"/>
              <w:bidi w:val="0"/>
              <w:spacing w:before="0" w:after="283"/>
              <w:jc w:val="center"/>
              <w:rPr>
                <w:b/>
              </w:rPr>
            </w:pPr>
            <w:r>
              <w:rPr>
                <w:b/>
              </w:rPr>
              <w:t>YOUR VOTE</w:t>
            </w:r>
          </w:p>
        </w:tc>
        <w:tc>
          <w:tcPr>
            <w:tcW w:w="95" w:type="dxa"/>
            <w:tcBorders/>
            <w:shd w:fill="B2B2B2" w:val="clear"/>
            <w:vAlign w:val="bottom"/>
          </w:tcPr>
          <w:p>
            <w:pPr>
              <w:pStyle w:val="TableContents"/>
              <w:bidi w:val="0"/>
              <w:spacing w:before="0" w:after="283"/>
              <w:jc w:val="left"/>
              <w:rPr/>
            </w:pPr>
            <w:r>
              <w:rPr/>
              <w:t> </w:t>
            </w:r>
          </w:p>
        </w:tc>
        <w:tc>
          <w:tcPr>
            <w:tcW w:w="1310" w:type="dxa"/>
            <w:tcBorders/>
            <w:shd w:fill="B2B2B2" w:val="cle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center"/>
              <w:rPr>
                <w:b/>
              </w:rPr>
            </w:pPr>
            <w:r>
              <w:rPr>
                <w:b/>
              </w:rPr>
              <w:t>BOARD OF</w:t>
              <w:br/>
              <w:t>DIRECTORS</w:t>
              <w:br/>
              <w:t>RECOMMENDS</w:t>
            </w:r>
          </w:p>
        </w:tc>
      </w:tr>
      <w:tr>
        <w:trPr/>
        <w:tc>
          <w:tcPr>
            <w:tcW w:w="13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70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center"/>
              <w:rPr>
                <w:b/>
              </w:rPr>
            </w:pPr>
            <w:r>
              <w:rPr>
                <w:b/>
              </w:rPr>
              <w:t>FOR</w:t>
            </w:r>
          </w:p>
        </w:tc>
        <w:tc>
          <w:tcPr>
            <w:tcW w:w="95"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center"/>
              <w:rPr>
                <w:b/>
                <w:sz w:val="16"/>
              </w:rPr>
            </w:pPr>
            <w:r>
              <w:rPr>
                <w:b/>
                <w:sz w:val="16"/>
              </w:rPr>
              <w:t>AGAINST</w:t>
            </w:r>
          </w:p>
        </w:tc>
        <w:tc>
          <w:tcPr>
            <w:tcW w:w="95"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center"/>
              <w:rPr>
                <w:b/>
              </w:rPr>
            </w:pPr>
            <w:r>
              <w:rPr>
                <w:b/>
              </w:rPr>
              <w:t>ABSTAIN</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left"/>
              <w:rPr/>
            </w:pPr>
            <w:r>
              <w:rPr/>
              <w:t> </w:t>
            </w:r>
          </w:p>
        </w:tc>
      </w:tr>
      <w:tr>
        <w:trPr>
          <w:trHeight w:val="60" w:hRule="atLeast"/>
        </w:trPr>
        <w:tc>
          <w:tcPr>
            <w:tcW w:w="139" w:type="dxa"/>
            <w:tcBorders/>
            <w:vAlign w:val="center"/>
          </w:tcPr>
          <w:p>
            <w:pPr>
              <w:pStyle w:val="TableContents"/>
              <w:bidi w:val="0"/>
              <w:spacing w:before="0" w:after="283"/>
              <w:jc w:val="left"/>
              <w:rPr>
                <w:sz w:val="4"/>
                <w:szCs w:val="4"/>
              </w:rPr>
            </w:pPr>
            <w:r>
              <w:rPr>
                <w:sz w:val="4"/>
                <w:szCs w:val="4"/>
              </w:rPr>
            </w:r>
          </w:p>
        </w:tc>
        <w:tc>
          <w:tcPr>
            <w:tcW w:w="383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1.</w:t>
            </w:r>
          </w:p>
        </w:tc>
        <w:tc>
          <w:tcPr>
            <w:tcW w:w="129" w:type="dxa"/>
            <w:tcBorders/>
            <w:vAlign w:val="bottom"/>
          </w:tcPr>
          <w:p>
            <w:pPr>
              <w:pStyle w:val="TableContents"/>
              <w:bidi w:val="0"/>
              <w:spacing w:before="0" w:after="283"/>
              <w:jc w:val="left"/>
              <w:rPr/>
            </w:pPr>
            <w:r>
              <w:rPr/>
              <w:t>  </w:t>
            </w:r>
          </w:p>
        </w:tc>
        <w:tc>
          <w:tcPr>
            <w:tcW w:w="3706" w:type="dxa"/>
            <w:tcBorders/>
          </w:tcPr>
          <w:p>
            <w:pPr>
              <w:pStyle w:val="TableContents"/>
              <w:bidi w:val="0"/>
              <w:spacing w:before="0" w:after="283"/>
              <w:jc w:val="left"/>
              <w:rPr/>
            </w:pPr>
            <w:r>
              <w:rPr/>
              <w:t>Nasdaq Stock Issuance Proposal: To approve the issuance of shares of Boundless Bio Common Stock (including the shares of Boundless Bio Common Stock issuable upon exercise of Boundless Bio Pre Funded Warrants) to stockholders of Serapha Bio, Inc. (“Serapha”) pursuant to the terms of the Merger Agreement, a copy of which is attached as Annex A to the accompanying proxy statement/prospectus, which will (i) represent more than 20% of the shares of Boundless Bio Common Stock outstanding immediately prior to the Merger under Nasdaq Listing Rule 5635(a), and (ii) result in a change of control under Nasdaq Listing Rule 5635(b).</w:t>
            </w:r>
          </w:p>
        </w:tc>
        <w:tc>
          <w:tcPr>
            <w:tcW w:w="95"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50" w:type="dxa"/>
            <w:tcBorders/>
          </w:tcPr>
          <w:p>
            <w:pPr>
              <w:pStyle w:val="TableContents"/>
              <w:bidi w:val="0"/>
              <w:spacing w:before="0" w:after="283"/>
              <w:jc w:val="center"/>
              <w:rPr>
                <w:b/>
              </w:rPr>
            </w:pPr>
            <w:r>
              <w:rPr>
                <w:b/>
              </w:rPr>
              <w:t>FOR</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383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2.</w:t>
            </w:r>
          </w:p>
        </w:tc>
        <w:tc>
          <w:tcPr>
            <w:tcW w:w="129" w:type="dxa"/>
            <w:tcBorders/>
            <w:vAlign w:val="bottom"/>
          </w:tcPr>
          <w:p>
            <w:pPr>
              <w:pStyle w:val="TableContents"/>
              <w:bidi w:val="0"/>
              <w:spacing w:before="0" w:after="283"/>
              <w:jc w:val="left"/>
              <w:rPr/>
            </w:pPr>
            <w:r>
              <w:rPr/>
              <w:t>  </w:t>
            </w:r>
          </w:p>
        </w:tc>
        <w:tc>
          <w:tcPr>
            <w:tcW w:w="3706" w:type="dxa"/>
            <w:tcBorders/>
          </w:tcPr>
          <w:p>
            <w:pPr>
              <w:pStyle w:val="TableContents"/>
              <w:bidi w:val="0"/>
              <w:spacing w:before="0" w:after="283"/>
              <w:jc w:val="left"/>
              <w:rPr/>
            </w:pPr>
            <w:r>
              <w:rPr/>
              <w:t>Nasdaq Reverse Split Proposal: To approve an amendment to the amended and restated certificate of incorporation of Boundless Bio (the “Boundless Bio Charter”) to effect a reverse stock split of Boundless Bio’s issued and outstanding common stock at a ratio determined by the Boundless Bio board of directors and agreed to by Serapha, of one new share of Boundless Bio Common Stock for every [   ] to [   ] shares (or any number in between) of issued and outstanding Boundless Bio Common Stock.</w:t>
            </w:r>
          </w:p>
        </w:tc>
        <w:tc>
          <w:tcPr>
            <w:tcW w:w="95"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50" w:type="dxa"/>
            <w:tcBorders/>
          </w:tcPr>
          <w:p>
            <w:pPr>
              <w:pStyle w:val="TableContents"/>
              <w:bidi w:val="0"/>
              <w:spacing w:before="0" w:after="283"/>
              <w:jc w:val="center"/>
              <w:rPr>
                <w:b/>
              </w:rPr>
            </w:pPr>
            <w:r>
              <w:rPr>
                <w:b/>
              </w:rPr>
              <w:t>FOR</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383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3.</w:t>
            </w:r>
          </w:p>
        </w:tc>
        <w:tc>
          <w:tcPr>
            <w:tcW w:w="129" w:type="dxa"/>
            <w:tcBorders/>
            <w:vAlign w:val="bottom"/>
          </w:tcPr>
          <w:p>
            <w:pPr>
              <w:pStyle w:val="TableContents"/>
              <w:bidi w:val="0"/>
              <w:spacing w:before="0" w:after="283"/>
              <w:jc w:val="left"/>
              <w:rPr/>
            </w:pPr>
            <w:r>
              <w:rPr/>
              <w:t>  </w:t>
            </w:r>
          </w:p>
        </w:tc>
        <w:tc>
          <w:tcPr>
            <w:tcW w:w="3706" w:type="dxa"/>
            <w:tcBorders/>
          </w:tcPr>
          <w:p>
            <w:pPr>
              <w:pStyle w:val="TableContents"/>
              <w:bidi w:val="0"/>
              <w:spacing w:before="0" w:after="283"/>
              <w:jc w:val="left"/>
              <w:rPr/>
            </w:pPr>
            <w:r>
              <w:rPr/>
              <w:t>Authorized Share Increase Proposal: To approve an amendment to the Boundless Bio Charter to increase the number of shares of Boundless Bio Common Stock that Boundless Bio is authorized to issue from 700,000,000 to [   ].</w:t>
            </w:r>
          </w:p>
        </w:tc>
        <w:tc>
          <w:tcPr>
            <w:tcW w:w="95"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50" w:type="dxa"/>
            <w:tcBorders/>
          </w:tcPr>
          <w:p>
            <w:pPr>
              <w:pStyle w:val="TableContents"/>
              <w:bidi w:val="0"/>
              <w:spacing w:before="0" w:after="283"/>
              <w:jc w:val="center"/>
              <w:rPr>
                <w:b/>
              </w:rPr>
            </w:pPr>
            <w:r>
              <w:rPr>
                <w:b/>
              </w:rPr>
              <w:t>FOR</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383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4.</w:t>
            </w:r>
          </w:p>
        </w:tc>
        <w:tc>
          <w:tcPr>
            <w:tcW w:w="129" w:type="dxa"/>
            <w:tcBorders/>
            <w:vAlign w:val="bottom"/>
          </w:tcPr>
          <w:p>
            <w:pPr>
              <w:pStyle w:val="TableContents"/>
              <w:bidi w:val="0"/>
              <w:spacing w:before="0" w:after="283"/>
              <w:jc w:val="left"/>
              <w:rPr/>
            </w:pPr>
            <w:r>
              <w:rPr/>
              <w:t>  </w:t>
            </w:r>
          </w:p>
        </w:tc>
        <w:tc>
          <w:tcPr>
            <w:tcW w:w="3706" w:type="dxa"/>
            <w:tcBorders/>
          </w:tcPr>
          <w:p>
            <w:pPr>
              <w:pStyle w:val="TableContents"/>
              <w:bidi w:val="0"/>
              <w:spacing w:before="0" w:after="283"/>
              <w:jc w:val="left"/>
              <w:rPr/>
            </w:pPr>
            <w:r>
              <w:rPr/>
              <w:t>Stock Plan Proposal: To approve the Serapha Bio, Inc. 2026 Stock Incentive Plan (approval of this proposal is conditioned on the approval of the Nasdaq Stock Issuance Proposal).</w:t>
            </w:r>
          </w:p>
        </w:tc>
        <w:tc>
          <w:tcPr>
            <w:tcW w:w="95"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50" w:type="dxa"/>
            <w:tcBorders/>
          </w:tcPr>
          <w:p>
            <w:pPr>
              <w:pStyle w:val="TableContents"/>
              <w:bidi w:val="0"/>
              <w:spacing w:before="0" w:after="283"/>
              <w:jc w:val="center"/>
              <w:rPr>
                <w:b/>
              </w:rPr>
            </w:pPr>
            <w:r>
              <w:rPr>
                <w:b/>
              </w:rPr>
              <w:t>FOR</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383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5.</w:t>
            </w:r>
          </w:p>
        </w:tc>
        <w:tc>
          <w:tcPr>
            <w:tcW w:w="129" w:type="dxa"/>
            <w:tcBorders/>
            <w:vAlign w:val="bottom"/>
          </w:tcPr>
          <w:p>
            <w:pPr>
              <w:pStyle w:val="TableContents"/>
              <w:bidi w:val="0"/>
              <w:spacing w:before="0" w:after="283"/>
              <w:jc w:val="left"/>
              <w:rPr/>
            </w:pPr>
            <w:r>
              <w:rPr/>
              <w:t>  </w:t>
            </w:r>
          </w:p>
        </w:tc>
        <w:tc>
          <w:tcPr>
            <w:tcW w:w="3706" w:type="dxa"/>
            <w:tcBorders/>
          </w:tcPr>
          <w:p>
            <w:pPr>
              <w:pStyle w:val="TableContents"/>
              <w:bidi w:val="0"/>
              <w:spacing w:before="0" w:after="283"/>
              <w:jc w:val="left"/>
              <w:rPr/>
            </w:pPr>
            <w:r>
              <w:rPr/>
              <w:t>ESPP Proposal: To approve the Serapha Bio, Inc. 2026 Employee Stock Purchase Plan (approval of this proposal is conditioned on the approval of the Nasdaq Stock Issuance Proposal).</w:t>
            </w:r>
          </w:p>
        </w:tc>
        <w:tc>
          <w:tcPr>
            <w:tcW w:w="95"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50" w:type="dxa"/>
            <w:tcBorders/>
          </w:tcPr>
          <w:p>
            <w:pPr>
              <w:pStyle w:val="TableContents"/>
              <w:bidi w:val="0"/>
              <w:spacing w:before="0" w:after="283"/>
              <w:jc w:val="center"/>
              <w:rPr>
                <w:b/>
              </w:rPr>
            </w:pPr>
            <w:r>
              <w:rPr>
                <w:b/>
              </w:rPr>
              <w:t>FOR</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383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6.</w:t>
            </w:r>
          </w:p>
        </w:tc>
        <w:tc>
          <w:tcPr>
            <w:tcW w:w="129" w:type="dxa"/>
            <w:tcBorders/>
            <w:vAlign w:val="bottom"/>
          </w:tcPr>
          <w:p>
            <w:pPr>
              <w:pStyle w:val="TableContents"/>
              <w:bidi w:val="0"/>
              <w:spacing w:before="0" w:after="283"/>
              <w:jc w:val="left"/>
              <w:rPr/>
            </w:pPr>
            <w:r>
              <w:rPr/>
              <w:t>  </w:t>
            </w:r>
          </w:p>
        </w:tc>
        <w:tc>
          <w:tcPr>
            <w:tcW w:w="3706" w:type="dxa"/>
            <w:tcBorders/>
          </w:tcPr>
          <w:p>
            <w:pPr>
              <w:pStyle w:val="TableContents"/>
              <w:bidi w:val="0"/>
              <w:spacing w:before="0" w:after="0"/>
              <w:jc w:val="left"/>
              <w:rPr>
                <w:rFonts w:ascii="Times New Roman" w:hAnsi="Times New Roman"/>
                <w:sz w:val="16"/>
              </w:rPr>
            </w:pPr>
            <w:r>
              <w:rPr>
                <w:rFonts w:ascii="Times New Roman" w:hAnsi="Times New Roman"/>
                <w:sz w:val="16"/>
              </w:rPr>
              <w:t>Adjournment Proposal: To approve an adjournment of the Boundless Bio Special Meeting, if necessary, to solicit additional proxies if there are not sufficient votes in favor of Proposal Nos. 1, 2 and 3.</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Note: To transact such other business as may properly come before the stockholders at the Boundless Bio Special Meeting or any adjournment or postponement thereof.</w:t>
            </w:r>
          </w:p>
        </w:tc>
        <w:tc>
          <w:tcPr>
            <w:tcW w:w="95"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523" w:type="dxa"/>
            <w:tcBorders/>
          </w:tcPr>
          <w:p>
            <w:pPr>
              <w:pStyle w:val="TableContents"/>
              <w:bidi w:val="0"/>
              <w:spacing w:before="0" w:after="283"/>
              <w:jc w:val="center"/>
              <w:rPr/>
            </w:pPr>
            <w:r>
              <w:rPr/>
              <w:t>☐</w:t>
            </w:r>
          </w:p>
        </w:tc>
        <w:tc>
          <w:tcPr>
            <w:tcW w:w="95"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center"/>
              <w:rPr/>
            </w:pPr>
            <w:r>
              <w:rPr/>
              <w:t>☐</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50" w:type="dxa"/>
            <w:tcBorders/>
          </w:tcPr>
          <w:p>
            <w:pPr>
              <w:pStyle w:val="TableContents"/>
              <w:bidi w:val="0"/>
              <w:spacing w:before="0" w:after="283"/>
              <w:jc w:val="center"/>
              <w:rPr>
                <w:b/>
              </w:rPr>
            </w:pPr>
            <w:r>
              <w:rPr>
                <w:b/>
              </w:rPr>
              <w:t>FOR</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b/>
                <w:sz w:val="16"/>
              </w:rPr>
            </w:pPr>
            <w:r>
              <w:rPr>
                <w:rFonts w:ascii="Times New Roman" w:hAnsi="Times New Roman"/>
                <w:b/>
                <w:sz w:val="16"/>
              </w:rPr>
              <w:t>You may register to attend the meeting online and/or participate at www.proxydocs.com/BOLD.</w:t>
            </w:r>
          </w:p>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Authorized Signatures - This section must be completed for your vote to be executed in accordance with the terms on the reverse side. Please sign and date below.</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20"/>
        <w:gridCol w:w="215"/>
        <w:gridCol w:w="2623"/>
        <w:gridCol w:w="215"/>
        <w:gridCol w:w="2735"/>
        <w:gridCol w:w="122"/>
        <w:gridCol w:w="1175"/>
      </w:tblGrid>
      <w:tr>
        <w:trPr/>
        <w:tc>
          <w:tcPr>
            <w:tcW w:w="312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tcPr>
          <w:p>
            <w:pPr>
              <w:pStyle w:val="TableContents"/>
              <w:pBdr>
                <w:bottom w:val="single" w:sz="2" w:space="1" w:color="000000"/>
              </w:pBdr>
              <w:bidi w:val="0"/>
              <w:spacing w:before="0" w:after="20"/>
              <w:jc w:val="center"/>
              <w:rPr/>
            </w:pPr>
            <w:r>
              <w:rPr/>
              <w:t> </w:t>
            </w:r>
          </w:p>
        </w:tc>
        <w:tc>
          <w:tcPr>
            <w:tcW w:w="215" w:type="dxa"/>
            <w:tcBorders/>
            <w:vAlign w:val="bottom"/>
          </w:tcPr>
          <w:p>
            <w:pPr>
              <w:pStyle w:val="TableContents"/>
              <w:bidi w:val="0"/>
              <w:spacing w:before="0" w:after="283"/>
              <w:jc w:val="left"/>
              <w:rPr/>
            </w:pPr>
            <w:r>
              <w:rPr/>
              <w:t>  </w:t>
            </w:r>
          </w:p>
        </w:tc>
        <w:tc>
          <w:tcPr>
            <w:tcW w:w="4032" w:type="dxa"/>
            <w:gridSpan w:val="3"/>
            <w:tcBorders/>
          </w:tcPr>
          <w:p>
            <w:pPr>
              <w:pStyle w:val="TableContents"/>
              <w:pBdr>
                <w:bottom w:val="single" w:sz="2" w:space="1" w:color="000000"/>
              </w:pBdr>
              <w:bidi w:val="0"/>
              <w:spacing w:before="0" w:after="20"/>
              <w:jc w:val="center"/>
              <w:rPr/>
            </w:pPr>
            <w:r>
              <w:rPr/>
              <w:t> </w:t>
            </w:r>
          </w:p>
        </w:tc>
      </w:tr>
      <w:tr>
        <w:trPr/>
        <w:tc>
          <w:tcPr>
            <w:tcW w:w="3120" w:type="dxa"/>
            <w:tcBorders/>
          </w:tcPr>
          <w:p>
            <w:pPr>
              <w:pStyle w:val="TableContents"/>
              <w:bidi w:val="0"/>
              <w:spacing w:before="0" w:after="283"/>
              <w:jc w:val="left"/>
              <w:rPr/>
            </w:pPr>
            <w:r>
              <w:rPr/>
              <w:t>Signature (and Title if applicable)</w:t>
            </w:r>
          </w:p>
        </w:tc>
        <w:tc>
          <w:tcPr>
            <w:tcW w:w="215" w:type="dxa"/>
            <w:tcBorders/>
            <w:vAlign w:val="bottom"/>
          </w:tcPr>
          <w:p>
            <w:pPr>
              <w:pStyle w:val="TableContents"/>
              <w:bidi w:val="0"/>
              <w:spacing w:before="0" w:after="283"/>
              <w:jc w:val="left"/>
              <w:rPr/>
            </w:pPr>
            <w:r>
              <w:rPr/>
              <w:t>  </w:t>
            </w:r>
          </w:p>
        </w:tc>
        <w:tc>
          <w:tcPr>
            <w:tcW w:w="2623" w:type="dxa"/>
            <w:tcBorders/>
          </w:tcPr>
          <w:p>
            <w:pPr>
              <w:pStyle w:val="TableContents"/>
              <w:bidi w:val="0"/>
              <w:spacing w:before="0" w:after="283"/>
              <w:jc w:val="center"/>
              <w:rPr/>
            </w:pPr>
            <w:r>
              <w:rPr/>
              <w:t>Date</w:t>
            </w:r>
          </w:p>
        </w:tc>
        <w:tc>
          <w:tcPr>
            <w:tcW w:w="215"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Signature (if held jointly)</w:t>
            </w:r>
          </w:p>
        </w:tc>
        <w:tc>
          <w:tcPr>
            <w:tcW w:w="122"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center"/>
              <w:rPr/>
            </w:pPr>
            <w:r>
              <w:rPr/>
              <w:t>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122805" cy="444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22805" cy="4445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b/>
          <w:sz w:val="20"/>
        </w:rPr>
      </w:pPr>
      <w:bookmarkStart w:id="242" w:name="tx108148_48"/>
      <w:bookmarkEnd w:id="242"/>
      <w:r>
        <w:rPr>
          <w:rFonts w:ascii="Times New Roman" w:hAnsi="Times New Roman"/>
          <w:b/>
          <w:sz w:val="20"/>
        </w:rPr>
        <w:t xml:space="preserve">ANNEX E </w:t>
      </w:r>
    </w:p>
    <w:p>
      <w:pPr>
        <w:pStyle w:val="TextBody"/>
        <w:bidi w:val="0"/>
        <w:spacing w:before="240" w:after="0"/>
        <w:jc w:val="right"/>
        <w:rPr>
          <w:rFonts w:ascii="Times New Roman" w:hAnsi="Times New Roman"/>
          <w:b/>
          <w:i/>
          <w:sz w:val="20"/>
        </w:rPr>
      </w:pPr>
      <w:r>
        <w:rPr>
          <w:rFonts w:ascii="Times New Roman" w:hAnsi="Times New Roman"/>
          <w:b/>
          <w:i/>
          <w:sz w:val="20"/>
        </w:rPr>
        <w:t xml:space="preserve">Strictly Confidential </w:t>
      </w:r>
    </w:p>
    <w:p>
      <w:pPr>
        <w:pStyle w:val="TextBody"/>
        <w:bidi w:val="0"/>
        <w:spacing w:before="240" w:after="0"/>
        <w:jc w:val="left"/>
        <w:rPr>
          <w:rFonts w:ascii="Times New Roman" w:hAnsi="Times New Roman"/>
          <w:sz w:val="20"/>
        </w:rPr>
      </w:pPr>
      <w:r>
        <w:rPr>
          <w:rFonts w:ascii="Times New Roman" w:hAnsi="Times New Roman"/>
          <w:sz w:val="20"/>
        </w:rPr>
        <w:t xml:space="preserve">June 21, 2026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0" w:after="0"/>
        <w:jc w:val="left"/>
        <w:rPr>
          <w:rFonts w:ascii="Times New Roman" w:hAnsi="Times New Roman"/>
          <w:sz w:val="20"/>
        </w:rPr>
      </w:pPr>
      <w:r>
        <w:rPr>
          <w:rFonts w:ascii="Times New Roman" w:hAnsi="Times New Roman"/>
          <w:sz w:val="20"/>
        </w:rPr>
        <w:t xml:space="preserve">Attention: Jonathan Lim, M.D. </w:t>
      </w:r>
    </w:p>
    <w:p>
      <w:pPr>
        <w:pStyle w:val="TextBody"/>
        <w:bidi w:val="0"/>
        <w:spacing w:before="0" w:after="0"/>
        <w:jc w:val="left"/>
        <w:rPr>
          <w:rFonts w:ascii="Times New Roman" w:hAnsi="Times New Roman"/>
          <w:sz w:val="20"/>
        </w:rPr>
      </w:pPr>
      <w:r>
        <w:rPr>
          <w:rFonts w:ascii="Times New Roman" w:hAnsi="Times New Roman"/>
          <w:sz w:val="20"/>
        </w:rPr>
        <w:t xml:space="preserve">Chairman of the Board of Directors and Co-Founder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that Boundless Bio, Inc., a Delaware corporation (“Boundless” or “Parent”), proposes to enter into an Agreement and Plan of Merger and Reorganization (the “Agreement”), by and among Boulder Merger Sub Corp., a Delaware corporation and wholly owned subsidiary of Parent (“Merger Sub”), and Serapha Bio, Inc., a Delaware corporation (“Serapha” or the “Company”). Upon the terms and subject to the conditions set forth in this Agreement, at the Effective Time, Merger Sub shall be merged with and into the Company, and the separate existence of Merger Sub shall cease. The company will continue as the surviving corporation in the Merger (the “Surviving Corporation”). Pursuant to the terms and subject to the conditions set forth in the Agreement, upon consummation of the Merger, (i) each share of Company Capital Stock (including any shares of Company Capital Stock issued pursuant to the Company Pre-Closing Financing) outstanding immediately prior to the Effective Time (excluding shares of Company Capital Stock to be canceled pursuant to the Agreement) shall be converted solely into the right to receive a number of Parent Common Stock equal to the Exchange Ratio (collectively,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Agreement contemplates that Parent may declare and pay a dividend on the shares of Parent Common Stock outstanding prior to the Effective Time (excluding for the avoidance of doubt any shares of Parent Common Stock issuable pursuant to the Contemplated Transactions) up to an amount equal to the aggregate of Parent’s reasonable, good faith approximation of the amount by which Parent Net Cash will exceed $0 (excluding the proceeds of any Parent Legacy Transaction to the extent contingent or to be received following the Effective Time) (such dividend, the “Parent Pre-Closing Dividend” and such amount, the “Parent Pre-Closing Dividend Amount”). </w:t>
      </w:r>
    </w:p>
    <w:p>
      <w:pPr>
        <w:pStyle w:val="TextBody"/>
        <w:bidi w:val="0"/>
        <w:spacing w:before="240" w:after="0"/>
        <w:jc w:val="left"/>
        <w:rPr>
          <w:rFonts w:ascii="Times New Roman" w:hAnsi="Times New Roman"/>
          <w:sz w:val="20"/>
        </w:rPr>
      </w:pPr>
      <w:r>
        <w:rPr>
          <w:rFonts w:ascii="Times New Roman" w:hAnsi="Times New Roman"/>
          <w:sz w:val="20"/>
        </w:rPr>
        <w:t xml:space="preserve">The Agreement also contemplates that concurrently with, or prior to, the execution and delivery of this Agreement, certain investors are executing and entering into a Series A Preferred Stock Purchase Agreement among the Company and the Persons named therein (including as may be amended, restated and/or superseded from time to time), the “Series A Financing Agreement”), pursuant to which such Persons will invest in a private placement of the Company Preferred Stock (the “Series A Financing”). </w:t>
      </w:r>
    </w:p>
    <w:p>
      <w:pPr>
        <w:pStyle w:val="TextBody"/>
        <w:bidi w:val="0"/>
        <w:spacing w:before="240" w:after="0"/>
        <w:jc w:val="left"/>
        <w:rPr>
          <w:rFonts w:ascii="Times New Roman" w:hAnsi="Times New Roman"/>
          <w:sz w:val="20"/>
        </w:rPr>
      </w:pPr>
      <w:r>
        <w:rPr>
          <w:rFonts w:ascii="Times New Roman" w:hAnsi="Times New Roman"/>
          <w:sz w:val="20"/>
        </w:rPr>
        <w:t xml:space="preserve">The Agreement further contemplates that concurrently with the execution and delivery of this Agreement, certain investors are executing and delivering a Securities Purchase Agreement (including as may be amended, restated and/or superseded from time to time, the “Subscription Agreement”), representing an aggregate commitment of $230.0 million (but not less than $200.0 million) pursuant to which such Persons will agree to purchase shares of Company Capital Stock (the “Company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June 21, 2026 </w:t>
      </w:r>
    </w:p>
    <w:p>
      <w:pPr>
        <w:pStyle w:val="TextBody"/>
        <w:bidi w:val="0"/>
        <w:spacing w:before="0" w:after="0"/>
        <w:jc w:val="left"/>
        <w:rPr>
          <w:rFonts w:ascii="Times New Roman" w:hAnsi="Times New Roman"/>
          <w:sz w:val="20"/>
        </w:rPr>
      </w:pPr>
      <w:r>
        <w:rPr>
          <w:rFonts w:ascii="Times New Roman" w:hAnsi="Times New Roman"/>
          <w:sz w:val="20"/>
        </w:rPr>
        <w:t xml:space="preserve">Page 2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of rendering our Opinion we have, with your consent, assumed that (i) the License Agreement (the “License Agreement”), dated June 12, 2026, by and between the Company and Yoltech Therapeutics Co., Ltd., pursuant to which the Company acquires intellectual property rights related to YOLT-202 is in effect, (ii) the Parent Pre-Closing Dividend has occurred, (iii) the Company will receive approximately $230.0 million in proceeds from the Company Pre-Closing Financing, and (iv) upon closing of the Merger, the holders of Company Capital Stock will in the aggregate hold approximately 23.3% of the fully-diluted shares of Parent Common Stock and the holders of Parent Common Stock will in the aggregate hold approximately 3.95% of the fully-diluted shares of Parent Common Stock immediately following the Merger, after giving effect to the Company Pre-Closing Financing,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have, with your consent, relied upon the assumption that all information provided to us by Boundless and Serapha is accurate and complete in all material respects. We expressly disclaim any undertaking or obligation to advise any person of any change in any fact or matter affecting our Opinion of which we become aware after the date hereof. We have assumed there were no material changes in the assets, liabilities, financial condition, results of operations, business or prospects of Boundless or Serapha since the date of the last financial statements made available to us. We have not obtained any independent evaluations, valuations or appraisals of the assets or liabilities of Boundless or Serapha, nor have we been furnished with such materials. In addition, we have not evaluated the solvency or fair value of Boundless or Serapha under any state or federal laws relating to bankruptcy, insolvency or similar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any legal, regulatory, tax or accounting matters related to the Merger, as to which we have assumed that Boundless and the Board of Directors have received such advice from legal, tax and accounting advisors as each has determined appropriate. Our Opinion addresses only the fairness from a financial point of view of the Exchange Ratio as set forth in the Agreement to the holders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any other aspect or implication of the Merger or any other agreement or arrangement entered into in connection with the Merger.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We have not considered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Securities and Exchange Commission (the “SEC”), the Financial Accounting Standards Board, or any similar foreign regulatory body or board. </w:t>
      </w:r>
    </w:p>
    <w:p>
      <w:pPr>
        <w:pStyle w:val="TextBody"/>
        <w:bidi w:val="0"/>
        <w:spacing w:before="240" w:after="0"/>
        <w:jc w:val="left"/>
        <w:rPr>
          <w:rFonts w:ascii="Times New Roman" w:hAnsi="Times New Roman"/>
          <w:sz w:val="20"/>
        </w:rPr>
      </w:pPr>
      <w:r>
        <w:rPr>
          <w:rFonts w:ascii="Times New Roman" w:hAnsi="Times New Roman"/>
          <w:sz w:val="20"/>
        </w:rPr>
        <w:t xml:space="preserve">In your capacity as members of the Board of Directors of Boundless (the “Board of Directors”), you have requested our opinion (our “Opinion”) as to the fairness, from a financial point of view and as of the date hereof, of the Exchange Ratio as set forth in the Agreement to the holders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we took into account an assessment of general economic, market and financial conditions as well as our experience in connection with similar transactions and securities valuations generally and,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June 21, 2026 </w:t>
      </w:r>
    </w:p>
    <w:p>
      <w:pPr>
        <w:pStyle w:val="TextBody"/>
        <w:bidi w:val="0"/>
        <w:spacing w:before="0" w:after="0"/>
        <w:jc w:val="left"/>
        <w:rPr>
          <w:rFonts w:ascii="Times New Roman" w:hAnsi="Times New Roman"/>
          <w:sz w:val="20"/>
        </w:rPr>
      </w:pPr>
      <w:r>
        <w:rPr>
          <w:rFonts w:ascii="Times New Roman" w:hAnsi="Times New Roman"/>
          <w:sz w:val="20"/>
        </w:rPr>
        <w:t xml:space="preserve">Page 3 of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publicly available financial and other information for each of Boundless and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certain members of the management of Boundless the historical and current business operations, financial condition and prospects of Boundless and Serapha;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operating results of Serapha as compared to operating results and the reported price and trading histories of certain publicly traded companies that Lucid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the Agreement as compared to the publicly available financial terms of certain selected business combinations that Lucid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completed initial public offerings for certain companies that Lucid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such other information and such other factors, and conducted such other financial studies, analyses and investigations, as Lucid deemed relevant for purposes of this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our Opinion we have assumed, with your consent, that except as would not be in any way meaningful to our analysis: (i) the final form of the Agreement will not differ from the draft Agreement that we have reviewed; (ii) the representations and warranties of each party contained in the Agreement are true and correct in all respects; (iii) each party will perform all of the covenants and agreements required to be performed by such party under the Agreement; and (iv) the transactions contemplated by the Agreement will be consummated in accordance with the terms of the Agreement, without any waiver or amendment of any term or condition thereof. We have also assumed that all governmental, regulatory and other consents and approvals contemplated by the Agreement or otherwise required for the transactions contemplated by the Agreement will be obtained and that in the course of obtaining any of those consents no restrictions will be imposed, or waivers made that would have an adverse effect on Boundless, Serapha, or the contemplated benefits of the Merger. We have assumed that the Merger will be consummated in a manner that complies with the applicable provisions of the Securities Act of 1933, as amended, the Securities Exchange Act of 1934, as amended, and all other applicable federal and state statutes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letter is intended for the benefit and use of the Board of Directors (in its capacity as such) in its consideration of the financial terms of the Merger and, except as set forth in our engagement letter with Boundless, dated as of May 30, 2026 (the “Engagement Letter”), may not be used for any other purpose or reproduced, disseminated, quoted or referred to at any time, in any manner or for any purpose without our prior written consent, except that this Opinion may be included in its entirety in any filing related to the Merger required to be filed with the SEC and any proxy statement to be mailed to holders of Parent Common Stock. This letter does not constitute a recommendation to the Board of Directors of whether to approve the Merger or to any stockholder of Boundless or any other person as to how to vote or act with respect to the transactions contemplated by the Agreement (including the Merger) or any other matter. Our Opinion does not address Boundless’s underlying business decision to proceed with the Merger or the relative merits of the Merger compared to other alternatives available to Boundless. We express no opinion as to the prices or ranges of prices at which shares or the securities of any person, including Boundless, will trade at any time, including following the announcement or consummation of the Merger, or as to the potential effects of volatility in the credit, financial, and stock markets on Boundless, Serapha or the transactions contemplated by the Agreement. We have not been requested to opine as to, and our Opinion does not in any manner address, the amount or nature of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June 21, 2026 </w:t>
      </w:r>
    </w:p>
    <w:p>
      <w:pPr>
        <w:pStyle w:val="TextBody"/>
        <w:bidi w:val="0"/>
        <w:spacing w:before="0" w:after="0"/>
        <w:jc w:val="left"/>
        <w:rPr>
          <w:rFonts w:ascii="Times New Roman" w:hAnsi="Times New Roman"/>
          <w:sz w:val="20"/>
        </w:rPr>
      </w:pPr>
      <w:r>
        <w:rPr>
          <w:rFonts w:ascii="Times New Roman" w:hAnsi="Times New Roman"/>
          <w:sz w:val="20"/>
        </w:rPr>
        <w:t xml:space="preserve">Page 4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compensation to any of the officers, directors or employees of any party to the Merger, or any class of such persons, relative to the compensation to be paid to the holders of Parent Common Stock in connection with the Merger or with respect to the fairness of any such compensation. </w:t>
      </w:r>
    </w:p>
    <w:p>
      <w:pPr>
        <w:pStyle w:val="TextBody"/>
        <w:bidi w:val="0"/>
        <w:spacing w:before="240" w:after="0"/>
        <w:jc w:val="left"/>
        <w:rPr>
          <w:rFonts w:ascii="Times New Roman" w:hAnsi="Times New Roman"/>
          <w:sz w:val="20"/>
        </w:rPr>
      </w:pPr>
      <w:r>
        <w:rPr>
          <w:rFonts w:ascii="Times New Roman" w:hAnsi="Times New Roman"/>
          <w:sz w:val="20"/>
        </w:rPr>
        <w:t>Lucid is an investment bank providing investment banking, brokerage, equity research, institutional sales and trading services. As part of our investment banking services, we are regularly engaged in the valuation of businesses and their securities in connection with mergers, negotiated underwritings, secondary distributions of listed and unlisted securities, private placements and valuations for corporate and other purposes. Lucid will receive a fee for rendering our Opinion set forth below pursuant to the Engagement Letter, which is not contingent upon consummation of the Merger. In addition, Boundless has agreed to reimburse our expenses and indemnify us for certain liabilities that may arise out of our engagement. In the two years preceding the date hereof, Lucid has not had a relationship with Boundless or its affiliates and has not received any fees from Boundless or any of its affiliates. In the two years preceding the date hereof, Lucid has not had a relationship with Serapha or any of its affiliates and has not received any fees from Serapha or any of its affiliates. Lucid and its affiliates may in the future seek to provide investment banking or financial advisory services to Boundless and Serapha and/or their respective affiliates and expect to receive fees for the rendering of these services.</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Lucid or certain of our affiliates, as well as investment funds in which we or our affiliates may have financial interests, may acquire, hold or sell long or short positions, or trade or otherwise effect transactions in debt, equity, and other securities and financial instruments (including bank loans and other obligations) of, or investments in, Boundless, Serapha or any other party that may be involved in the Merger and/or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requirements, Lucid has adopted policies and procedures to establish and maintain the independence of our research department and personnel. As a result, our research analysts may hold views, make statements or investment recommendations and/or publish research reports with respect to Boundless and the proposed Merger that may differ from the views of Lucid’s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was reviewed and approved by a fairness opinion committee of Lucid.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and limitations set forth herein and such other factors that we deem relevant, it is our opinion that, as of the date hereof, the Exchange Ratio is fair, from a financial point of view, to the holders of Parent Common Shares.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Lucid Capital Markets, LLC </w:t>
      </w:r>
    </w:p>
    <w:p>
      <w:pPr>
        <w:pStyle w:val="TextBody"/>
        <w:bidi w:val="0"/>
        <w:spacing w:before="240" w:after="0"/>
        <w:jc w:val="left"/>
        <w:rPr>
          <w:rFonts w:ascii="Times New Roman" w:hAnsi="Times New Roman"/>
          <w:b/>
          <w:i/>
          <w:sz w:val="20"/>
        </w:rPr>
      </w:pPr>
      <w:r>
        <w:rPr>
          <w:rFonts w:ascii="Times New Roman" w:hAnsi="Times New Roman"/>
          <w:b/>
          <w:i/>
          <w:sz w:val="20"/>
        </w:rPr>
        <w:t xml:space="preserve">Lucid Capital Markets, LLC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3" w:name="tx108148_49"/>
      <w:bookmarkEnd w:id="243"/>
      <w:r>
        <w:rPr>
          <w:rFonts w:ascii="Times New Roman" w:hAnsi="Times New Roman"/>
          <w:b/>
          <w:sz w:val="20"/>
        </w:rPr>
        <w:t xml:space="preserve">ANNEX F </w:t>
      </w:r>
    </w:p>
    <w:p>
      <w:pPr>
        <w:pStyle w:val="TextBody"/>
        <w:bidi w:val="0"/>
        <w:spacing w:before="240" w:after="0"/>
        <w:jc w:val="center"/>
        <w:rPr>
          <w:rFonts w:ascii="Times New Roman" w:hAnsi="Times New Roman"/>
          <w:sz w:val="20"/>
        </w:rPr>
      </w:pPr>
      <w:r>
        <w:rPr>
          <w:rFonts w:ascii="Times New Roman" w:hAnsi="Times New Roman"/>
          <w:sz w:val="20"/>
        </w:rPr>
        <w:t xml:space="preserve">Section 262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i/>
          <w:sz w:val="20"/>
        </w:rPr>
        <w:t>Repealed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24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24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24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section. If a petition for an appraisal is not filed within the time provided in subsection (e) of this section, the right to appraisal with respect to all shares shall cease. </w:t>
      </w:r>
    </w:p>
    <w:p>
      <w:pPr>
        <w:pStyle w:val="TextBody"/>
        <w:bidi w:val="0"/>
        <w:spacing w:before="24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4" w:name="tx108148_50"/>
      <w:bookmarkStart w:id="245" w:name="ii108148_11a"/>
      <w:bookmarkEnd w:id="244"/>
      <w:bookmarkEnd w:id="245"/>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June 22, 2026, by and among Serapha Bio, Inc., a Delaware corporation (the “</w:t>
      </w:r>
      <w:r>
        <w:rPr>
          <w:rFonts w:ascii="Times New Roman" w:hAnsi="Times New Roman"/>
          <w:sz w:val="20"/>
          <w:u w:val="single"/>
        </w:rPr>
        <w:t>Company</w:t>
      </w:r>
      <w:r>
        <w:rPr>
          <w:rFonts w:ascii="Times New Roman" w:hAnsi="Times New Roman"/>
          <w:sz w:val="20"/>
        </w:rPr>
        <w:t>”), Boundless Bio, Inc., a Delaware corporation (“</w:t>
      </w:r>
      <w:r>
        <w:rPr>
          <w:rFonts w:ascii="Times New Roman" w:hAnsi="Times New Roman"/>
          <w:sz w:val="20"/>
          <w:u w:val="single"/>
        </w:rPr>
        <w:t>Parent</w:t>
      </w:r>
      <w:r>
        <w:rPr>
          <w:rFonts w:ascii="Times New Roman" w:hAnsi="Times New Roman"/>
          <w:sz w:val="20"/>
        </w:rPr>
        <w:t>”), and the undersigned stock and/or option holder of Parent (the “</w:t>
      </w:r>
      <w:r>
        <w:rPr>
          <w:rFonts w:ascii="Times New Roman" w:hAnsi="Times New Roman"/>
          <w:sz w:val="20"/>
          <w:u w:val="single"/>
        </w:rPr>
        <w:t>Equityholder</w:t>
      </w:r>
      <w:r>
        <w:rPr>
          <w:rFonts w:ascii="Times New Roman" w:hAnsi="Times New Roman"/>
          <w:sz w:val="20"/>
        </w:rPr>
        <w:t>” and each of the Equityholder,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Boulder Merger Sub Corp., a Delaware corporation and a wholly owned subsidiary of Parent (the “</w:t>
      </w:r>
      <w:r>
        <w:rPr>
          <w:rFonts w:ascii="Times New Roman" w:hAnsi="Times New Roman"/>
          <w:sz w:val="20"/>
          <w:u w:val="single"/>
        </w:rPr>
        <w:t>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Equityholder is the beneficial owner (as defined in Rule 13d-3 under the Exchange Act) of such number of shares of Parent Capital Stock and any other equity securities of Parent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the Company to enter into the Merger Agreement, Parent has required that Equityholder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Parent Equityholder Matters</w:t>
      </w:r>
      <w:r>
        <w:rPr>
          <w:rFonts w:ascii="Times New Roman" w:hAnsi="Times New Roman"/>
          <w:sz w:val="20"/>
        </w:rPr>
        <w:t xml:space="preserve">” means the approval of (i) the issuance of Parent Common Stock that represent (or are convertible into) more than twenty percent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 clause (i) of the definition of “Parent Charter Amendment”.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Shares</w:t>
      </w:r>
      <w:r>
        <w:rPr>
          <w:rFonts w:ascii="Times New Roman" w:hAnsi="Times New Roman"/>
          <w:sz w:val="20"/>
        </w:rPr>
        <w:t xml:space="preserve">” means (i) all shares of Parent Capital Stock and any other equity securities of Parent beneficially owned by the Equityholder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Parent Capital Stock issued or otherwise acquired, whether beneficially owned or of record, or owned by the Equityholder during the period commencing with the execution and delivery of this Agreement and expiring on the Expiration Date, and (iii) any shares of capital stock or other equity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that such Equityholder acquires or with respect to which such Equityholder otherwise acquires sole or shared voting power (including any proxy), whether beneficial or of record, or otherwise owned by such Equityholder after the execution and delivery of this Agreement and expiring on the Expiration Date, whether by exercise of any Parent Options or otherwise, including, without limitation, by gift, succession, in the event of a stock split or as a dividend or distribution of any Shares.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Equityholder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2(d)</w:t>
      </w:r>
      <w:r>
        <w:rPr>
          <w:rFonts w:ascii="Times New Roman" w:hAnsi="Times New Roman"/>
          <w:sz w:val="20"/>
        </w:rPr>
        <w:t xml:space="preserve">, during the period commencing with the execution and delivery of this Agreement and expiring on the Expiration Date (as defined below), the Equityholder shall not Transfer any of the Equityholder’s Shares, publicly announce its intention to Transfer any of its Shares or enter into any contract with respect to any Transfer of, its Shares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Equityholder will not commit any act that would restrict the Equityholder’s legal power, authority and right to vote all of the Shares held by the Equityholder or otherwise prevent or disable the Equityholder from performing any of his, her or its obligations under this Agreement. Without limiting the generality of the foregoing, except for this Agreement, and as otherwise permitted by this Agreement, the Equityholder shall not enter into any voting agreement with any person or entity with respect to any of the Equityholder’s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Equityholder’s legal power, authority or right to vote the Equityholder’s Shares in favor of the Parent Equityholder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Authority, the Equityholder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Equityholder contained herein untrue or incorrect or have the effect of restricting the Equityholder’s legal power, authority and right to vote all of the Shares or would otherwise prevent or disable such Equityholder from performing any of such Equityholder’s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Equityholder may, at any time, Transfer Shares (i) by will or other testamentary document or by intestacy to the legal representative, heir, beneficiary or a member of the immediate family of the Equityholder, (ii) to such Equityholder’s Affiliates (in each case, directly or indirectly), (iii) to any trust or other entity for the direct or indirect benefit of the Equityholder or the immediate family of the Equityholder (or, if the Equityholder is a corporation, partnership or other entity, for the direct or indirect benefit of an immediate family member of a beneficial owner of the Shares held by the Equityholder) or otherwise for estate tax or estate planning purposes, (iv) in the case of a Equityholder who is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natural person, by pro rata distributions from the Equityholder to its members, partners, or shareholders pursuant to the Equityholder’s organizational documents, (v) to the extent required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if not already a party thereto and (z) the transferor Equityholder shall remain liable for any failure of such transferee to comply with or perform its obligations under this Agreement.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nothing in this Agreement shall obligate the Equityholder to exercise any option or any other right to acquire any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Equityholder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Until the Expiration Date, at every meeting of the stockholders of Parent called to vote upon the Parent Equityholder Matters, however called, and at every adjournment or postponement thereof, and on every action or approval by written consent of the Equityholders of Parent, the Equityholder shall be present (in person or by proxy) and vote, or exercise its right to consent with respect to, all Shares held by the Equityholder (A) in favor of the Parent Equityholder Matters, and (B) against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(b) If the Equityholder is the beneficial owner, but not the record holder, of Shares, the Equityholder agrees to take all actions necessary to cause the record holder and any nominees to be present (in person or by proxy) and vote all the Equityholder’s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Equityholder Capacity Only</w:t>
      </w:r>
      <w:r>
        <w:rPr>
          <w:rFonts w:ascii="Times New Roman" w:hAnsi="Times New Roman"/>
          <w:sz w:val="20"/>
        </w:rPr>
        <w:t xml:space="preserve">. The Equityholder is entering into this Agreement solely in the Equityholder’s capacity as a record holder and beneficial owner, as applicable, of its Shares and not in the Equityholder’s capacity as a director or officer of Parent. Nothing herein shall limit or affect the Equityholder’s ability to exercise Equityholder’s fiduciary duties as an officer or director of Parent.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Equityholder hereby revokes (or agrees to cause to be revoked) any proxies that the Equityholder has heretofore granted with respect to its Shares. In the event and to the extent that the Equityholder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Parent or pursuant to any applicable written consent of the stockholders of Parent, the Equityholder shall be deemed to have irrevocably granted to, and appointed, Parent as his, her or its proxy and attorney-in-fact (with full power of substitution), for and in its name, place and stead, to (a) attend any all meetings of the Parent stockholders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Parent stockholders or at any meeting of Parent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Parent agrees not to exercise the proxy granted herein for any purpose other than the purposes described in this Agreement. Except as otherwise provided for herein (including the next sentence), the Equityholder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Equityholder, as applicable) and shall not be terminated by operation of law or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occurrence of any other event. Notwithstanding any other provisions of this Agreement, the irrevocable proxy granted hereunder shall automatically terminate on the Expiration Date. The Equityholder authorizes such attorney and proxy to substitute any other Person to act hereunder, to revoke any substitution and to file this proxy and any substitution or revocation with the Secretary of Parent. The Equityholder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Parent, Merger Sub and the Company to enter into the Merger Agreement and that such proxy is given to secure the obligations of the Equityholder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Equityholder but are not held of record by the Equityholder (other than shares beneficially owned by the Equityholder that are held in the name of a bank, broker or nominee), the Equityholder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Equityholder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Equityholder hereby represents and warrants that the Equityholder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Equityholder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Equityholder’s identity and ownership of the Shares and the nature of the Equityholder’s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Warranties of the Equityholder</w:t>
      </w:r>
      <w:r>
        <w:rPr>
          <w:rFonts w:ascii="Times New Roman" w:hAnsi="Times New Roman"/>
          <w:sz w:val="20"/>
        </w:rPr>
        <w:t xml:space="preserve">. The Equityholder hereby represents and warrants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(i) The Equityholder is the beneficial or record owner of the shares of Parent Capital Stock and other securities of the Company indicated in </w:t>
      </w:r>
      <w:r>
        <w:rPr>
          <w:rFonts w:ascii="Times New Roman" w:hAnsi="Times New Roman"/>
          <w:sz w:val="20"/>
          <w:u w:val="single"/>
        </w:rPr>
        <w:t>Appendix A</w:t>
      </w:r>
      <w:r>
        <w:rPr>
          <w:rFonts w:ascii="Times New Roman" w:hAnsi="Times New Roman"/>
          <w:sz w:val="20"/>
        </w:rPr>
        <w:t xml:space="preserve"> (each of which shall be deemed to be “held” by the Equityholder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and Encumbrances arising under applicable securities or community property laws); and (ii) the Equityholder does not beneficially own any securities of Parent other than the shares of Parent Capital Stock and rights to purchase shares of Parent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Equityholder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Equityholder has not entered into any voting agreement (other than this Agreement) with any person with respect to any of the Equityholder’s Shares, granted any person any proxy (revocable or irrevocable) or power of attorney with respect to any of the Equityholder’s Shares, deposited any of the Equityholder’s Shares in a voting trust or entered into any arrangement or agreement with any person limiting or affecting the Equityholder’s legal power, authority or right to vote the Equityholder’s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Equityholder and (assuming the due authorization, execution and delivery by the other Parties) constitutes a valid and binding agreement of the Equityholder enforceable against the Equityholder in accordance with its terms, subject to the Enforceability Exceptions. The execution and delivery of this Agreement by the Equityholder and the performance by the Equityholder of the agreements and obligations hereunder do not and will not (i) result in any breach or violation of or be in conflict with or constitute a default under any term of any Contract, or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any provision of an organizational document (including a certificate of incorporation) to which the Equityholder is a party or by which the Equityholder is bound, or any applicable Law to which the Equityholder or any of the Equityholder’s assets is subject or bound, (ii) give to others any rights of termination, amendment, acceleration or cancellation of, or require any consent, waiver or approval under, any Contract or other legally binding instrument or obligation to which the Equityholder is a party or by which the Equityholder or any of the Equityholder’s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Equityholder’s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Equityholder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Equityholder’s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Equityholder has had the opportunity to review the Merger Agreement and this Agreement with counsel of the Equityholder’s own choosing. The Equityholder has had an opportunity to review with its own tax advisors the tax consequences of the Merger and the Contemplated Transactions. The Equityholder understands that it must rely solely on its advisors and not on any statements or representations made by Parent, the Company or any of their respective agents or representatives with respect to the tax consequences of the Merger and the Contemplated Transactions. The Equityholder understands that such Equityholder (and not Parent, the Company or the Surviving Corporation) shall be responsible for such Equityholder’s tax liability that may arise as a result of the Merger or the Contemplated Transactions. The Equityholder understands and acknowledges that the Company, Parent and Merger Sub are entering into the Merger Agreement in reliance upon the Equityholder’s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Equityholder, as of the date hereof, there is no action, suit, investigation or proceeding pending against, or, to the knowledge of the Equityholder, threatened against, the Equityholder or any of the Equityholder’s properties or assets (including the Shares) that would reasonably be expected to prevent or materially delay or impair the ability of the Equityholder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Brokers</w:t>
      </w:r>
      <w:r>
        <w:rPr>
          <w:rFonts w:ascii="Times New Roman" w:hAnsi="Times New Roman"/>
          <w:sz w:val="20"/>
        </w:rPr>
        <w:t xml:space="preserve">.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Equityholder.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shall terminate and shall cease to be of any further force or effect as of the earliest of (a) such date and time as the Merger Agreement shall have been terminated pursuant to the terms thereof, (b) the Effective Time and (c) the time this Agreement is terminated upon the written agreement of the Equityholder, the Company and Parent (the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w:t>
      </w:r>
      <w:r>
        <w:rPr>
          <w:rFonts w:ascii="Times New Roman" w:hAnsi="Times New Roman"/>
          <w:sz w:val="20"/>
          <w:u w:val="single"/>
        </w:rPr>
        <w:t> Section 10</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Waiver</w:t>
      </w:r>
      <w:r>
        <w:rPr>
          <w:rFonts w:ascii="Times New Roman" w:hAnsi="Times New Roman"/>
          <w:sz w:val="20"/>
        </w:rPr>
        <w:t xml:space="preserve">. This Agreement may not be amended, supplemented or modified, and no provisions hereof may be modified or waived, except by an instrument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 xml:space="preserve">Applicable Law; Jurisdiction. </w:t>
      </w:r>
      <w:r>
        <w:rPr>
          <w:rFonts w:ascii="Times New Roman" w:hAnsi="Times New Roman"/>
          <w:sz w:val="20"/>
        </w:rPr>
        <w:t xml:space="preserve">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10(c)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10(i)</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Certain Restrictions</w:t>
      </w:r>
      <w:r>
        <w:rPr>
          <w:rFonts w:ascii="Times New Roman" w:hAnsi="Times New Roman"/>
          <w:sz w:val="20"/>
        </w:rPr>
        <w:t xml:space="preserve">. Subject to the other terms of this Agreement, the Equityholder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 officers or successors relating to the negotiation, execution or delivery of this Agreement or the Merger Agreement or consummation of the Merger, including any proceeding (A) challenging the validity of, or seeking to enjoin the operation of, any provision of the Merger Agreement or this Agreement or (B) alleging a breach of any fiduciary duty of the Company Board in connection with the Merger Agreement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Equityholder, to the Equityholder’s address, electronic mail address or facsimile shown below Equityholder’s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Equityholder shall hold any non-public information regarding the Company, this Agreement, the Merger Agreement and the Contemplated Transactions in strict confidence and shall not divulge any such information to any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Equityholder may disclose such information to its Affiliates, attorneys, accountants, consultants, and other advisors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Neither the Equityholder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Fees and Expenses</w:t>
      </w:r>
      <w:r>
        <w:rPr>
          <w:rFonts w:ascii="Times New Roman" w:hAnsi="Times New Roman"/>
          <w:sz w:val="20"/>
        </w:rPr>
        <w:t xml:space="preserve">.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08"/>
        <w:gridCol w:w="131"/>
        <w:gridCol w:w="2843"/>
      </w:tblGrid>
      <w:tr>
        <w:trPr/>
        <w:tc>
          <w:tcPr>
            <w:tcW w:w="110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SERAPHA BIO, INC.</w:t>
            </w:r>
          </w:p>
        </w:tc>
      </w:tr>
      <w:tr>
        <w:trPr>
          <w:trHeight w:val="240" w:hRule="atLeast"/>
        </w:trPr>
        <w:tc>
          <w:tcPr>
            <w:tcW w:w="1108" w:type="dxa"/>
            <w:tcBorders/>
            <w:vAlign w:val="center"/>
          </w:tcPr>
          <w:p>
            <w:pPr>
              <w:pStyle w:val="TableContents"/>
              <w:bidi w:val="0"/>
              <w:spacing w:before="0" w:after="283"/>
              <w:jc w:val="left"/>
              <w:rPr>
                <w:sz w:val="4"/>
                <w:szCs w:val="4"/>
              </w:rPr>
            </w:pPr>
            <w:r>
              <w:rPr>
                <w:sz w:val="4"/>
                <w:szCs w:val="4"/>
              </w:rPr>
            </w:r>
          </w:p>
        </w:tc>
        <w:tc>
          <w:tcPr>
            <w:tcW w:w="2974"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2843" w:type="dxa"/>
            <w:tcBorders>
              <w:bottom w:val="single" w:sz="2" w:space="0" w:color="000000"/>
            </w:tcBorders>
            <w:tcMar>
              <w:bottom w:w="28" w:type="dxa"/>
            </w:tcMar>
          </w:tcPr>
          <w:p>
            <w:pPr>
              <w:pStyle w:val="TableContents"/>
              <w:bidi w:val="0"/>
              <w:spacing w:before="0" w:after="283"/>
              <w:jc w:val="left"/>
              <w:rPr/>
            </w:pPr>
            <w:r>
              <w:rPr/>
              <w:t> </w:t>
            </w:r>
          </w:p>
        </w:tc>
      </w:tr>
      <w:tr>
        <w:trPr/>
        <w:tc>
          <w:tcPr>
            <w:tcW w:w="1108" w:type="dxa"/>
            <w:tcBorders/>
          </w:tcPr>
          <w:p>
            <w:pPr>
              <w:pStyle w:val="TableContents"/>
              <w:bidi w:val="0"/>
              <w:spacing w:before="0" w:after="283"/>
              <w:jc w:val="left"/>
              <w:rPr/>
            </w:pPr>
            <w:r>
              <w:rPr/>
              <w:t>Title:</w:t>
            </w:r>
          </w:p>
        </w:tc>
        <w:tc>
          <w:tcPr>
            <w:tcW w:w="131" w:type="dxa"/>
            <w:tcBorders/>
            <w:vAlign w:val="bottom"/>
          </w:tcPr>
          <w:p>
            <w:pPr>
              <w:pStyle w:val="TableContents"/>
              <w:bidi w:val="0"/>
              <w:spacing w:before="0" w:after="283"/>
              <w:jc w:val="left"/>
              <w:rPr/>
            </w:pPr>
            <w:r>
              <w:rPr/>
              <w:t> </w:t>
            </w:r>
          </w:p>
        </w:tc>
        <w:tc>
          <w:tcPr>
            <w:tcW w:w="284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Equityholder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98"/>
        <w:gridCol w:w="157"/>
        <w:gridCol w:w="2627"/>
      </w:tblGrid>
      <w:tr>
        <w:trPr/>
        <w:tc>
          <w:tcPr>
            <w:tcW w:w="1298"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BOUNDLESS BIO, INC.</w:t>
            </w:r>
          </w:p>
        </w:tc>
      </w:tr>
      <w:tr>
        <w:trPr>
          <w:trHeight w:val="240" w:hRule="atLeast"/>
        </w:trPr>
        <w:tc>
          <w:tcPr>
            <w:tcW w:w="1298" w:type="dxa"/>
            <w:tcBorders/>
            <w:vAlign w:val="center"/>
          </w:tcPr>
          <w:p>
            <w:pPr>
              <w:pStyle w:val="TableContents"/>
              <w:bidi w:val="0"/>
              <w:spacing w:before="0" w:after="283"/>
              <w:jc w:val="left"/>
              <w:rPr>
                <w:sz w:val="4"/>
                <w:szCs w:val="4"/>
              </w:rPr>
            </w:pPr>
            <w:r>
              <w:rPr>
                <w:sz w:val="4"/>
                <w:szCs w:val="4"/>
              </w:rPr>
            </w:r>
          </w:p>
        </w:tc>
        <w:tc>
          <w:tcPr>
            <w:tcW w:w="2784"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pPr>
            <w:r>
              <w:rPr/>
              <w:t>By:</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2627" w:type="dxa"/>
            <w:tcBorders>
              <w:bottom w:val="single" w:sz="2" w:space="0" w:color="000000"/>
            </w:tcBorders>
            <w:tcMar>
              <w:bottom w:w="28" w:type="dxa"/>
            </w:tcMar>
          </w:tcPr>
          <w:p>
            <w:pPr>
              <w:pStyle w:val="TableContents"/>
              <w:bidi w:val="0"/>
              <w:spacing w:before="0" w:after="283"/>
              <w:jc w:val="left"/>
              <w:rPr/>
            </w:pPr>
            <w:r>
              <w:rPr/>
              <w:t> </w:t>
            </w:r>
          </w:p>
        </w:tc>
      </w:tr>
      <w:tr>
        <w:trPr/>
        <w:tc>
          <w:tcPr>
            <w:tcW w:w="1298" w:type="dxa"/>
            <w:tcBorders/>
          </w:tcPr>
          <w:p>
            <w:pPr>
              <w:pStyle w:val="TableContents"/>
              <w:bidi w:val="0"/>
              <w:spacing w:before="0" w:after="283"/>
              <w:jc w:val="left"/>
              <w:rPr/>
            </w:pPr>
            <w:r>
              <w:rPr/>
              <w:t>Title:</w:t>
            </w:r>
          </w:p>
        </w:tc>
        <w:tc>
          <w:tcPr>
            <w:tcW w:w="157" w:type="dxa"/>
            <w:tcBorders/>
            <w:vAlign w:val="bottom"/>
          </w:tcPr>
          <w:p>
            <w:pPr>
              <w:pStyle w:val="TableContents"/>
              <w:bidi w:val="0"/>
              <w:spacing w:before="0" w:after="283"/>
              <w:jc w:val="left"/>
              <w:rPr/>
            </w:pPr>
            <w:r>
              <w:rPr/>
              <w:t> </w:t>
            </w:r>
          </w:p>
        </w:tc>
        <w:tc>
          <w:tcPr>
            <w:tcW w:w="262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Equityholder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[EQUITYHOLDER],</w:t>
            </w:r>
          </w:p>
        </w:tc>
      </w:tr>
      <w:tr>
        <w:trPr/>
        <w:tc>
          <w:tcPr>
            <w:tcW w:w="4082" w:type="dxa"/>
            <w:tcBorders/>
          </w:tcPr>
          <w:p>
            <w:pPr>
              <w:pStyle w:val="TableContents"/>
              <w:bidi w:val="0"/>
              <w:spacing w:before="0" w:after="283"/>
              <w:jc w:val="left"/>
              <w:rPr/>
            </w:pPr>
            <w:r>
              <w:rPr/>
              <w:t>in his/her capacity as the Equityholder: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Equityholder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APPENDIX A</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op w:val="single" w:sz="2" w:space="0" w:color="000000"/>
              <w:left w:val="single" w:sz="2" w:space="0" w:color="000000"/>
              <w:right w:val="single" w:sz="2" w:space="0" w:color="000000"/>
            </w:tcBorders>
            <w:tcMar>
              <w:top w:w="28" w:type="dxa"/>
              <w:left w:w="160" w:type="dxa"/>
              <w:right w:w="28" w:type="dxa"/>
            </w:tcMar>
          </w:tcPr>
          <w:p>
            <w:pPr>
              <w:pStyle w:val="TableContents"/>
              <w:bidi w:val="0"/>
              <w:spacing w:before="0" w:after="0"/>
              <w:jc w:val="center"/>
              <w:rPr>
                <w:rFonts w:ascii="Times New Roman" w:hAnsi="Times New Roman"/>
                <w:b/>
                <w:sz w:val="16"/>
              </w:rPr>
            </w:pPr>
            <w:r>
              <w:rPr>
                <w:rFonts w:ascii="Times New Roman" w:hAnsi="Times New Roman"/>
                <w:b/>
                <w:sz w:val="16"/>
              </w:rPr>
              <w:t>Parent Capital Stock</w:t>
            </w:r>
          </w:p>
          <w:p>
            <w:pPr>
              <w:pStyle w:val="TableContents"/>
              <w:bidi w:val="0"/>
              <w:spacing w:before="0" w:after="20"/>
              <w:jc w:val="left"/>
              <w:rPr/>
            </w:pPr>
            <w:r>
              <w:rPr/>
              <w:t> </w:t>
            </w:r>
          </w:p>
        </w:tc>
        <w:tc>
          <w:tcPr>
            <w:tcW w:w="202" w:type="dxa"/>
            <w:tcBorders>
              <w:top w:val="single" w:sz="2" w:space="0" w:color="000000"/>
            </w:tcBorders>
            <w:tcMar>
              <w:top w:w="28" w:type="dxa"/>
            </w:tcMar>
            <w:vAlign w:val="bottom"/>
          </w:tcPr>
          <w:p>
            <w:pPr>
              <w:pStyle w:val="TableContents"/>
              <w:bidi w:val="0"/>
              <w:spacing w:before="0" w:after="283"/>
              <w:jc w:val="left"/>
              <w:rPr/>
            </w:pPr>
            <w:r>
              <w:rPr/>
              <w:t>  </w:t>
            </w:r>
          </w:p>
        </w:tc>
        <w:tc>
          <w:tcPr>
            <w:tcW w:w="4798" w:type="dxa"/>
            <w:tcBorders>
              <w:top w:val="single" w:sz="2" w:space="0" w:color="000000"/>
              <w:right w:val="single" w:sz="2" w:space="0" w:color="000000"/>
            </w:tcBorders>
            <w:tcMar>
              <w:top w:w="28" w:type="dxa"/>
              <w:right w:w="40" w:type="dxa"/>
            </w:tcMar>
          </w:tcPr>
          <w:p>
            <w:pPr>
              <w:pStyle w:val="TableContents"/>
              <w:bidi w:val="0"/>
              <w:spacing w:before="0" w:after="0"/>
              <w:jc w:val="center"/>
              <w:rPr>
                <w:rFonts w:ascii="Times New Roman" w:hAnsi="Times New Roman"/>
                <w:b/>
                <w:sz w:val="16"/>
              </w:rPr>
            </w:pPr>
            <w:r>
              <w:rPr>
                <w:rFonts w:ascii="Times New Roman" w:hAnsi="Times New Roman"/>
                <w:b/>
                <w:sz w:val="16"/>
              </w:rPr>
              <w:t>Parent Options</w:t>
            </w:r>
          </w:p>
          <w:p>
            <w:pPr>
              <w:pStyle w:val="TableContents"/>
              <w:bidi w:val="0"/>
              <w:spacing w:before="0" w:after="20"/>
              <w:jc w:val="left"/>
              <w:rPr/>
            </w:pPr>
            <w:r>
              <w:rPr/>
              <w:t> </w:t>
            </w:r>
          </w:p>
        </w:tc>
      </w:tr>
      <w:tr>
        <w:trPr/>
        <w:tc>
          <w:tcPr>
            <w:tcW w:w="5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2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798"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6" w:name="tx108148_51"/>
      <w:bookmarkStart w:id="247" w:name="ii108148_21"/>
      <w:bookmarkEnd w:id="246"/>
      <w:bookmarkEnd w:id="247"/>
      <w:r>
        <w:rPr>
          <w:rFonts w:ascii="Times New Roman" w:hAnsi="Times New Roman"/>
          <w:b/>
          <w:sz w:val="20"/>
        </w:rPr>
        <w:t xml:space="preserve">ANNEX H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June 22, 2026, by and among Serapha Bio, Inc., a Delaware corporation (the “</w:t>
      </w:r>
      <w:r>
        <w:rPr>
          <w:rFonts w:ascii="Times New Roman" w:hAnsi="Times New Roman"/>
          <w:sz w:val="20"/>
          <w:u w:val="single"/>
        </w:rPr>
        <w:t>Company</w:t>
      </w:r>
      <w:r>
        <w:rPr>
          <w:rFonts w:ascii="Times New Roman" w:hAnsi="Times New Roman"/>
          <w:sz w:val="20"/>
        </w:rPr>
        <w:t>”), Boundless Bio, Inc., a Delaware corporation (“</w:t>
      </w:r>
      <w:r>
        <w:rPr>
          <w:rFonts w:ascii="Times New Roman" w:hAnsi="Times New Roman"/>
          <w:sz w:val="20"/>
          <w:u w:val="single"/>
        </w:rPr>
        <w:t>Parent</w:t>
      </w:r>
      <w:r>
        <w:rPr>
          <w:rFonts w:ascii="Times New Roman" w:hAnsi="Times New Roman"/>
          <w:sz w:val="20"/>
        </w:rPr>
        <w:t>”), and the undersigned stockholder of the Company (the “</w:t>
      </w:r>
      <w:r>
        <w:rPr>
          <w:rFonts w:ascii="Times New Roman" w:hAnsi="Times New Roman"/>
          <w:sz w:val="20"/>
          <w:u w:val="single"/>
        </w:rPr>
        <w:t>Stockholder</w:t>
      </w:r>
      <w:r>
        <w:rPr>
          <w:rFonts w:ascii="Times New Roman" w:hAnsi="Times New Roman"/>
          <w:sz w:val="20"/>
        </w:rPr>
        <w:t>” and each of the Stockholder,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Boulder Merger Sub Corp., a Delaware corporation and a wholly owned subsidiary of Parent (the “</w:t>
      </w:r>
      <w:r>
        <w:rPr>
          <w:rFonts w:ascii="Times New Roman" w:hAnsi="Times New Roman"/>
          <w:sz w:val="20"/>
          <w:u w:val="single"/>
        </w:rPr>
        <w:t>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and any other equity securities of the Company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Parent to enter into the Merger Agreement, Parent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and any other equity securities of the Company beneficially owned by the Stockholder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Company Capital Stock issued or otherwise acquired, whether beneficially owned or of record, or owned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publicly announce its intention to Transfer any of its Shares or enter into any contract with respect to any Transfer of, its Shares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Authority,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and (v) to the extent required by operation of law pursuant to a qualified domestic relations order or in connection with a divorce settlement; </w:t>
      </w:r>
      <w:r>
        <w:rPr>
          <w:rFonts w:ascii="Times New Roman" w:hAnsi="Times New Roman"/>
          <w:sz w:val="20"/>
          <w:u w:val="single"/>
        </w:rPr>
        <w:t>provided</w:t>
      </w:r>
      <w:r>
        <w:rPr>
          <w:rFonts w:ascii="Times New Roman" w:hAnsi="Times New Roman"/>
          <w:sz w:val="20"/>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not already a party thereto and (z) the transferor Stockholder shall remain liable for any failure of such transferee to comply with or perform its obligations under this Agreement.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nothing in this Agreement shall obligate the Stockholder to exercise any option or any other right to acquire any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The Stockholder is entering into this Agreement solely in the Stockholder’s capacity as a record holder and beneficial owner, as applicable, of its Shares and not in the Stockholder’s capacity as a director or officer of the Company. Nothing herein shall limit or affect the Stockholder’s ability to exercise Stockholder’s fiduciary duties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the Company as his, her or its proxy and attorney-in-fact (with full power of substitution), for and in its name, place and stead, to (a) attend any all meetings of the Company stockholders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Notwithstanding any other provisions of this Agreement, the irrevocable proxy granted hereunder 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Parent, Merger Sub and the Company to enter into the Merger Agreement and that such proxy is given to secure the obligations of the Stockholder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(i) The Stockholder is the beneficial or record owner of the shares of Company Capital Stock and other securities of the Company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Company other than the shares of Company Capital Stock and equity securities of the Company and rights to purchase shares of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do not and will not (i) result in any breach or violation of or be in conflict with or constitute a default under any term of any Contract, or if applicable, any provision of an organizational document (including a certificate of incorporation) to which the Stockholder is a party or bound, or any applicable Law to which the Stockholder (or any of the Stockholder’s assets) is subject or bound, (ii) give to others any rights of termination, amendment, acceleration or cancellation of, or require any consent, waiver or approval under, any Contract or other legally binding instrument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to which the Stockholder is a party or by which the Stockholder or any of the Stockholder’s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Stockholder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Corporation) shall be responsible for such Stockholder’s tax liability that may arise as a result of the Merger or the Contemplated Transactions. The Stockholder understands and acknowledges that the Company, Parent and Merger Sub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(g) Except as set forth in the Merger Agreement and the Company Disclosure Letter,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Effective Time, other than the Registration Rights Agreement,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shall terminate and shall cease to be of any further force or effect as of the earliest of (a) such date and time as the Merger Agreement shall have been terminated pursuant to the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(b) the Effective Time and (c) the time this Agreement is terminated upon the written agreement of the Stockholder, the Company and Parent (the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w:t>
      </w:r>
      <w:r>
        <w:rPr>
          <w:rFonts w:ascii="Times New Roman" w:hAnsi="Times New Roman"/>
          <w:sz w:val="20"/>
          <w:u w:val="single"/>
        </w:rPr>
        <w:t> Section 11</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Waiver</w:t>
      </w:r>
      <w:r>
        <w:rPr>
          <w:rFonts w:ascii="Times New Roman" w:hAnsi="Times New Roman"/>
          <w:sz w:val="20"/>
        </w:rPr>
        <w:t xml:space="preserve">. This Agreement may not be amended, supplemented or modified, and no provisions hereof may be modified or waived, except by an instrument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 xml:space="preserve">Applicable Law; Jurisdiction. </w:t>
      </w:r>
      <w:r>
        <w:rPr>
          <w:rFonts w:ascii="Times New Roman" w:hAnsi="Times New Roman"/>
          <w:sz w:val="20"/>
        </w:rPr>
        <w:t xml:space="preserve">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11(c)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11(i)</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Certain Restrictions</w:t>
      </w:r>
      <w:r>
        <w:rPr>
          <w:rFonts w:ascii="Times New Roman" w:hAnsi="Times New Roman"/>
          <w:sz w:val="20"/>
        </w:rPr>
        <w:t xml:space="preserve">. Subject to the other terms of this Agreement, the Stockholder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 officers or successors relating to the negotiation, execution or delivery of this Agreement or the Merger Agreement or consummation of the Merger, including any proceeding (A) challenging the validity of, or seeking to enjoin the operation of, any provision of the Merger Agreement or this Agreement or (B) alleging a breach of any fiduciary duty of the Company Board in connection with the Merger Agreement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Stockholder may disclose such information to its Affiliates, attorneys, accountants, consultants, and other advisors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Fees and Expenses</w:t>
      </w:r>
      <w:r>
        <w:rPr>
          <w:rFonts w:ascii="Times New Roman" w:hAnsi="Times New Roman"/>
          <w:sz w:val="20"/>
        </w:rPr>
        <w:t xml:space="preserve">.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 </w:t>
      </w:r>
    </w:p>
    <w:p>
      <w:pPr>
        <w:pStyle w:val="TextBody"/>
        <w:bidi w:val="0"/>
        <w:spacing w:before="48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 Left Intentionally Blank</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COMPANY: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70"/>
        <w:gridCol w:w="136"/>
        <w:gridCol w:w="2876"/>
      </w:tblGrid>
      <w:tr>
        <w:trPr/>
        <w:tc>
          <w:tcPr>
            <w:tcW w:w="107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SERAPHA BIO, INC.</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3012"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283"/>
              <w:jc w:val="left"/>
              <w:rPr/>
            </w:pPr>
            <w:r>
              <w:rPr/>
              <w:t>By:</w:t>
            </w:r>
          </w:p>
        </w:tc>
        <w:tc>
          <w:tcPr>
            <w:tcW w:w="136" w:type="dxa"/>
            <w:tcBorders>
              <w:bottom w:val="single" w:sz="2" w:space="0" w:color="000000"/>
            </w:tcBorders>
            <w:tcMar>
              <w:bottom w:w="28" w:type="dxa"/>
            </w:tcMar>
            <w:vAlign w:val="bottom"/>
          </w:tcPr>
          <w:p>
            <w:pPr>
              <w:pStyle w:val="TableContents"/>
              <w:bidi w:val="0"/>
              <w:spacing w:before="0" w:after="283"/>
              <w:jc w:val="left"/>
              <w:rPr/>
            </w:pPr>
            <w:r>
              <w:rPr/>
              <w:t> </w:t>
            </w:r>
          </w:p>
        </w:tc>
        <w:tc>
          <w:tcPr>
            <w:tcW w:w="2876" w:type="dxa"/>
            <w:tcBorders>
              <w:bottom w:val="single" w:sz="2" w:space="0" w:color="000000"/>
            </w:tcBorders>
            <w:tcMar>
              <w:bottom w:w="28" w:type="dxa"/>
            </w:tcMar>
          </w:tcPr>
          <w:p>
            <w:pPr>
              <w:pStyle w:val="TableContents"/>
              <w:bidi w:val="0"/>
              <w:spacing w:before="0" w:after="283"/>
              <w:jc w:val="left"/>
              <w:rPr/>
            </w:pPr>
            <w:r>
              <w:rPr/>
              <w:t> </w:t>
            </w:r>
          </w:p>
        </w:tc>
      </w:tr>
      <w:tr>
        <w:trPr/>
        <w:tc>
          <w:tcPr>
            <w:tcW w:w="1070" w:type="dxa"/>
            <w:tcBorders/>
          </w:tcPr>
          <w:p>
            <w:pPr>
              <w:pStyle w:val="TableContents"/>
              <w:bidi w:val="0"/>
              <w:spacing w:before="0" w:after="283"/>
              <w:jc w:val="left"/>
              <w:rPr>
                <w:sz w:val="20"/>
              </w:rPr>
            </w:pPr>
            <w:r>
              <w:rPr>
                <w:sz w:val="20"/>
              </w:rPr>
              <w:t>Title:</w:t>
            </w:r>
          </w:p>
        </w:tc>
        <w:tc>
          <w:tcPr>
            <w:tcW w:w="136"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PARENT: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97"/>
        <w:gridCol w:w="172"/>
        <w:gridCol w:w="2613"/>
      </w:tblGrid>
      <w:tr>
        <w:trPr/>
        <w:tc>
          <w:tcPr>
            <w:tcW w:w="129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BOUNDLESS BIO, INC.</w:t>
            </w:r>
          </w:p>
        </w:tc>
      </w:tr>
      <w:tr>
        <w:trPr>
          <w:trHeight w:val="240" w:hRule="atLeast"/>
        </w:trPr>
        <w:tc>
          <w:tcPr>
            <w:tcW w:w="1297" w:type="dxa"/>
            <w:tcBorders/>
            <w:vAlign w:val="center"/>
          </w:tcPr>
          <w:p>
            <w:pPr>
              <w:pStyle w:val="TableContents"/>
              <w:bidi w:val="0"/>
              <w:spacing w:before="0" w:after="283"/>
              <w:jc w:val="left"/>
              <w:rPr>
                <w:sz w:val="4"/>
                <w:szCs w:val="4"/>
              </w:rPr>
            </w:pPr>
            <w:r>
              <w:rPr>
                <w:sz w:val="4"/>
                <w:szCs w:val="4"/>
              </w:rPr>
            </w:r>
          </w:p>
        </w:tc>
        <w:tc>
          <w:tcPr>
            <w:tcW w:w="2785" w:type="dxa"/>
            <w:gridSpan w:val="2"/>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283"/>
              <w:jc w:val="left"/>
              <w:rPr/>
            </w:pPr>
            <w:r>
              <w:rPr/>
              <w:t>By:</w:t>
            </w:r>
          </w:p>
        </w:tc>
        <w:tc>
          <w:tcPr>
            <w:tcW w:w="172" w:type="dxa"/>
            <w:tcBorders>
              <w:bottom w:val="single" w:sz="2" w:space="0" w:color="000000"/>
            </w:tcBorders>
            <w:tcMar>
              <w:bottom w:w="28" w:type="dxa"/>
            </w:tcMar>
            <w:vAlign w:val="bottom"/>
          </w:tcPr>
          <w:p>
            <w:pPr>
              <w:pStyle w:val="TableContents"/>
              <w:bidi w:val="0"/>
              <w:spacing w:before="0" w:after="283"/>
              <w:jc w:val="left"/>
              <w:rPr/>
            </w:pPr>
            <w:r>
              <w:rPr/>
              <w:t> </w:t>
            </w:r>
          </w:p>
        </w:tc>
        <w:tc>
          <w:tcPr>
            <w:tcW w:w="2613" w:type="dxa"/>
            <w:tcBorders>
              <w:bottom w:val="single" w:sz="2" w:space="0" w:color="000000"/>
            </w:tcBorders>
            <w:tcMar>
              <w:bottom w:w="28" w:type="dxa"/>
            </w:tcMar>
          </w:tcPr>
          <w:p>
            <w:pPr>
              <w:pStyle w:val="TableContents"/>
              <w:bidi w:val="0"/>
              <w:spacing w:before="0" w:after="283"/>
              <w:jc w:val="left"/>
              <w:rPr/>
            </w:pPr>
            <w:r>
              <w:rPr/>
              <w:t> </w:t>
            </w:r>
          </w:p>
        </w:tc>
      </w:tr>
      <w:tr>
        <w:trPr/>
        <w:tc>
          <w:tcPr>
            <w:tcW w:w="1297" w:type="dxa"/>
            <w:tcBorders/>
          </w:tcPr>
          <w:p>
            <w:pPr>
              <w:pStyle w:val="TableContents"/>
              <w:bidi w:val="0"/>
              <w:spacing w:before="0" w:after="283"/>
              <w:jc w:val="left"/>
              <w:rPr>
                <w:sz w:val="20"/>
              </w:rPr>
            </w:pPr>
            <w:r>
              <w:rPr>
                <w:sz w:val="20"/>
              </w:rPr>
              <w:t>Title:</w:t>
            </w:r>
          </w:p>
        </w:tc>
        <w:tc>
          <w:tcPr>
            <w:tcW w:w="172" w:type="dxa"/>
            <w:tcBorders/>
            <w:vAlign w:val="bottom"/>
          </w:tcPr>
          <w:p>
            <w:pPr>
              <w:pStyle w:val="TableContents"/>
              <w:bidi w:val="0"/>
              <w:spacing w:before="0" w:after="283"/>
              <w:jc w:val="left"/>
              <w:rPr/>
            </w:pPr>
            <w:r>
              <w:rPr/>
              <w:t> </w:t>
            </w:r>
          </w:p>
        </w:tc>
        <w:tc>
          <w:tcPr>
            <w:tcW w:w="261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500" w:type="pct"/>
        <w:jc w:val="left"/>
        <w:tblInd w:w="0" w:type="dxa"/>
        <w:tblLayout w:type="fixed"/>
        <w:tblCellMar>
          <w:top w:w="0" w:type="dxa"/>
          <w:left w:w="0" w:type="dxa"/>
          <w:bottom w:w="0" w:type="dxa"/>
          <w:right w:w="0" w:type="dxa"/>
        </w:tblCellMar>
      </w:tblPr>
      <w:tblGrid>
        <w:gridCol w:w="5102"/>
      </w:tblGrid>
      <w:tr>
        <w:trPr/>
        <w:tc>
          <w:tcPr>
            <w:tcW w:w="51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r>
        <w:trPr>
          <w:trHeight w:val="735" w:hRule="atLeast"/>
        </w:trPr>
        <w:tc>
          <w:tcPr>
            <w:tcW w:w="51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Signature:</w:t>
            </w:r>
          </w:p>
        </w:tc>
      </w:tr>
      <w:tr>
        <w:trPr>
          <w:trHeight w:val="240" w:hRule="atLeast"/>
        </w:trPr>
        <w:tc>
          <w:tcPr>
            <w:tcW w:w="51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Address:</w:t>
            </w:r>
          </w:p>
        </w:tc>
      </w:tr>
      <w:tr>
        <w:trPr/>
        <w:tc>
          <w:tcPr>
            <w:tcW w:w="5102" w:type="dxa"/>
            <w:tcBorders/>
          </w:tcPr>
          <w:p>
            <w:pPr>
              <w:pStyle w:val="TableContents"/>
              <w:pBdr>
                <w:bottom w:val="single" w:sz="2" w:space="1" w:color="000000"/>
              </w:pBdr>
              <w:bidi w:val="0"/>
              <w:spacing w:before="0" w:after="0"/>
              <w:jc w:val="center"/>
              <w:rPr/>
            </w:pPr>
            <w:r>
              <w:rPr/>
              <w:t> </w:t>
            </w:r>
          </w:p>
          <w:p>
            <w:pPr>
              <w:pStyle w:val="TableContents"/>
              <w:pBdr>
                <w:bottom w:val="single" w:sz="2" w:space="1" w:color="000000"/>
              </w:pBdr>
              <w:bidi w:val="0"/>
              <w:spacing w:before="0" w:after="20"/>
              <w:jc w:val="center"/>
              <w:rPr/>
            </w:pPr>
            <w:r>
              <w:rPr/>
              <w:t> </w:t>
            </w:r>
          </w:p>
        </w:tc>
      </w:tr>
      <w:tr>
        <w:trPr/>
        <w:tc>
          <w:tcPr>
            <w:tcW w:w="5102" w:type="dxa"/>
            <w:tcBorders/>
          </w:tcPr>
          <w:p>
            <w:pPr>
              <w:pStyle w:val="TableContents"/>
              <w:pBdr>
                <w:bottom w:val="single" w:sz="2" w:space="1" w:color="000000"/>
              </w:pBdr>
              <w:bidi w:val="0"/>
              <w:spacing w:before="0" w:after="20"/>
              <w:jc w:val="center"/>
              <w:rPr/>
            </w:pPr>
            <w:r>
              <w:rPr/>
              <w:t> </w:t>
            </w:r>
          </w:p>
        </w:tc>
      </w:tr>
    </w:tbl>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0" w:after="0"/>
        <w:jc w:val="left"/>
        <w:rPr/>
      </w:pPr>
      <w:r>
        <w:rPr/>
        <w:t> </w:t>
      </w:r>
    </w:p>
    <w:tbl>
      <w:tblPr>
        <w:tblW w:w="2500" w:type="pct"/>
        <w:jc w:val="center"/>
        <w:tblInd w:w="0" w:type="dxa"/>
        <w:tblLayout w:type="fixed"/>
        <w:tblCellMar>
          <w:top w:w="0" w:type="dxa"/>
          <w:left w:w="0" w:type="dxa"/>
          <w:bottom w:w="0" w:type="dxa"/>
          <w:right w:w="0" w:type="dxa"/>
        </w:tblCellMar>
      </w:tblPr>
      <w:tblGrid>
        <w:gridCol w:w="5102"/>
      </w:tblGrid>
      <w:tr>
        <w:trPr/>
        <w:tc>
          <w:tcPr>
            <w:tcW w:w="5102" w:type="dxa"/>
            <w:tcBorders/>
            <w:vAlign w:val="center"/>
          </w:tcPr>
          <w:p>
            <w:pPr>
              <w:pStyle w:val="TableContents"/>
              <w:bidi w:val="0"/>
              <w:spacing w:before="0" w:after="283"/>
              <w:jc w:val="left"/>
              <w:rPr>
                <w:sz w:val="4"/>
                <w:szCs w:val="4"/>
              </w:rPr>
            </w:pPr>
            <w:r>
              <w:rPr>
                <w:sz w:val="4"/>
                <w:szCs w:val="4"/>
              </w:rPr>
            </w:r>
          </w:p>
        </w:tc>
      </w:tr>
      <w:tr>
        <w:trPr/>
        <w:tc>
          <w:tcPr>
            <w:tcW w:w="510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283"/>
              <w:jc w:val="center"/>
              <w:rPr>
                <w:b/>
              </w:rPr>
            </w:pPr>
            <w:r>
              <w:rPr>
                <w:b/>
              </w:rPr>
              <w:t>Company Capital Stock</w:t>
            </w:r>
          </w:p>
        </w:tc>
      </w:tr>
      <w:tr>
        <w:trPr/>
        <w:tc>
          <w:tcPr>
            <w:tcW w:w="5102"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8" w:name="tx108148_52"/>
      <w:bookmarkStart w:id="249" w:name="ii108148_31"/>
      <w:bookmarkEnd w:id="248"/>
      <w:bookmarkEnd w:id="249"/>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Legal@boundlessbio.com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Boundless Bio, Inc., a Delaware corporation (including any successor thereto, “</w:t>
      </w:r>
      <w:r>
        <w:rPr>
          <w:rFonts w:ascii="Times New Roman" w:hAnsi="Times New Roman"/>
          <w:sz w:val="20"/>
          <w:u w:val="single"/>
        </w:rPr>
        <w:t>Parent</w:t>
      </w:r>
      <w:r>
        <w:rPr>
          <w:rFonts w:ascii="Times New Roman" w:hAnsi="Times New Roman"/>
          <w:sz w:val="20"/>
        </w:rPr>
        <w:t>”), has entered into an Agreement and Plan of Merger and Reorganization, dated as of June 22, 2026 (as the same may be amended from time to time, the “</w:t>
      </w:r>
      <w:r>
        <w:rPr>
          <w:rFonts w:ascii="Times New Roman" w:hAnsi="Times New Roman"/>
          <w:sz w:val="20"/>
          <w:u w:val="single"/>
        </w:rPr>
        <w:t>Merger Agreement</w:t>
      </w:r>
      <w:r>
        <w:rPr>
          <w:rFonts w:ascii="Times New Roman" w:hAnsi="Times New Roman"/>
          <w:sz w:val="20"/>
        </w:rPr>
        <w:t>”) with Boulder Merger Sub Corp., a Delaware corporation and a wholly owned subsidiary of Parent, and Serapha Bio,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any restricted stock units for Parent Common Stock (“</w:t>
            </w:r>
            <w:r>
              <w:rPr>
                <w:rFonts w:ascii="Times New Roman" w:hAnsi="Times New Roman"/>
                <w:sz w:val="20"/>
                <w:u w:val="single"/>
              </w:rPr>
              <w:t>Parent RSUs</w:t>
            </w:r>
            <w:r>
              <w:rPr>
                <w:rFonts w:ascii="Times New Roman" w:hAnsi="Times New Roman"/>
                <w:sz w:val="20"/>
              </w:rPr>
              <w:t>”) or (iii) any warrant to purchase shares of Parent Common Stock) that are currently or hereafter owned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Parent Common Stock or any security convertible into or exercisable or exchangeable for shares of Parent Common Stock (other than such rights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the Undersigned’s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an Entity, (A) to another Entity that is an affiliate (as defined under Rule 12b-2 of the Exchange Act) of the undersigned, including any investment fund or other Entity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any grantors or beneficiaries of the trust;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i(A), i(E) or ii(A)) and each donee, heir, beneficiary or other transferee or distributee shall sign and deliver to Parent a lock-up agreement in the form of this Lock-Up Agreement with respect to the shares of Parent Common Stock or such other securities that have been so transferred or distributed;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Parent in connection with the net settlement of any Parent RSU or other equity award that represents the right to receive in the future shares of Parent Common Stock, settled in shares of Parent Common Stock, to pay any tax withholding obligations; provided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or amendment to, a trading plan pursuant to Rule 10b5-1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disposition (including a forfeiture or repurchase) to Parent of any shares of restricted stock granted pursuant to the terms of any employee benefit plan or restricted stock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distributions, sales or other transactions by the undersigned of shares of Parent Common Stock purchased by the undersigned on the open market or in a public offering by Parent, in each case following the date of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bona-fide third party tender offer, merger, consolidation or other similar transaction made to all holders of Parent’s capital stock involving a change of control of Parent;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an order of a court or regulatory agency;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undersigned of shares of Parent Common Stock issued pursuant to the Merger Agreement in respect of shares of the Company, if any, purchased from the Company in the Company Pre-Closing Financing;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each of (a),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or lock-up agreement signed by the transferee in the form of this Lock-Up Agreement,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a release or waiver of the foregoing restrictions of this Lock-Up Agreement or a substantially similar agreement is granted by Parent with respect to any securities of Parent, to any officer, director or any other stockholder of at least three percent (3%) of the shares of Parent Common Stock outstanding following the consummation of the Offering (each, a “</w:t>
            </w:r>
            <w:r>
              <w:rPr>
                <w:rFonts w:ascii="Times New Roman" w:hAnsi="Times New Roman"/>
                <w:sz w:val="20"/>
                <w:u w:val="single"/>
              </w:rPr>
              <w:t>Major Holder</w:t>
            </w:r>
            <w:r>
              <w:rPr>
                <w:rFonts w:ascii="Times New Roman" w:hAnsi="Times New Roman"/>
                <w:sz w:val="20"/>
              </w:rPr>
              <w:t>”), other than the undersigned, ,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Major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is binding upon the undersigned’s heirs, legal representatives, successors and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hAnsi="Times New Roman"/>
                <w:sz w:val="20"/>
                <w:u w:val="single"/>
              </w:rPr>
              <w:t>Section 11</w:t>
            </w:r>
            <w:r>
              <w:rPr>
                <w:rFonts w:ascii="Times New Roman" w:hAnsi="Times New Roman"/>
                <w:sz w:val="20"/>
              </w:rPr>
              <w:t xml:space="preserve"> of this Lock-Up Agreement. This Lock-Up Agreement constitutes the entire agreement between the parties to this Lock-Up Agreement and supersedes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all other prior agreements, arrangements and understandings, both written and oral, among the parties with respect to the subject matter 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HERETO HEREBY WAIVE ANY RIGHT TO TRIAL BY JURY WITH RESPECT TO ANY ACTION OR LEGAL PROCEEDING RELATED TO OR ARISING OUT OF THIS LOCK-UP AGREEMENT, ANY DOCUMENT EXECUTED IN CONNECTION HEREWITH AND THE MATTERS CONTEMPLATED HEREBY AND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in.pdf format shall be sufficient to bind such parties to the terms and conditions of this Lock-Up Agreement.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560"/>
        <w:gridCol w:w="114"/>
        <w:gridCol w:w="854"/>
        <w:gridCol w:w="114"/>
        <w:gridCol w:w="4563"/>
      </w:tblGrid>
      <w:tr>
        <w:trPr/>
        <w:tc>
          <w:tcPr>
            <w:tcW w:w="456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4563" w:type="dxa"/>
            <w:tcBorders/>
            <w:vAlign w:val="center"/>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53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560" w:type="dxa"/>
            <w:tcBorders/>
            <w:vAlign w:val="center"/>
          </w:tcPr>
          <w:p>
            <w:pPr>
              <w:pStyle w:val="TableContents"/>
              <w:bidi w:val="0"/>
              <w:spacing w:before="0" w:after="283"/>
              <w:jc w:val="left"/>
              <w:rPr>
                <w:sz w:val="4"/>
                <w:szCs w:val="4"/>
              </w:rPr>
            </w:pPr>
            <w:r>
              <w:rPr>
                <w:sz w:val="4"/>
                <w:szCs w:val="4"/>
              </w:rPr>
            </w:r>
          </w:p>
        </w:tc>
        <w:tc>
          <w:tcPr>
            <w:tcW w:w="5645" w:type="dxa"/>
            <w:gridSpan w:val="4"/>
            <w:tcBorders/>
            <w:vAlign w:val="center"/>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283"/>
              <w:jc w:val="left"/>
              <w:rPr/>
            </w:pPr>
            <w:r>
              <w:rPr/>
              <w:t>Print Name of Stockholder:</w:t>
            </w:r>
          </w:p>
        </w:tc>
        <w:tc>
          <w:tcPr>
            <w:tcW w:w="114" w:type="dxa"/>
            <w:tcBorders/>
            <w:vAlign w:val="bottom"/>
          </w:tcPr>
          <w:p>
            <w:pPr>
              <w:pStyle w:val="TableContents"/>
              <w:bidi w:val="0"/>
              <w:spacing w:before="0" w:after="283"/>
              <w:jc w:val="left"/>
              <w:rPr/>
            </w:pPr>
            <w:r>
              <w:rPr/>
              <w:t> </w:t>
            </w:r>
          </w:p>
        </w:tc>
        <w:tc>
          <w:tcPr>
            <w:tcW w:w="553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rHeight w:val="240" w:hRule="atLeast"/>
        </w:trPr>
        <w:tc>
          <w:tcPr>
            <w:tcW w:w="4560" w:type="dxa"/>
            <w:tcBorders/>
            <w:vAlign w:val="center"/>
          </w:tcPr>
          <w:p>
            <w:pPr>
              <w:pStyle w:val="TableContents"/>
              <w:bidi w:val="0"/>
              <w:spacing w:before="0" w:after="283"/>
              <w:jc w:val="left"/>
              <w:rPr>
                <w:sz w:val="4"/>
                <w:szCs w:val="4"/>
              </w:rPr>
            </w:pPr>
            <w:r>
              <w:rPr>
                <w:sz w:val="4"/>
                <w:szCs w:val="4"/>
              </w:rPr>
            </w:r>
          </w:p>
        </w:tc>
        <w:tc>
          <w:tcPr>
            <w:tcW w:w="5645" w:type="dxa"/>
            <w:gridSpan w:val="4"/>
            <w:tcBorders/>
            <w:vAlign w:val="center"/>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5531"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53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 (for individuals):</w:t>
            </w:r>
          </w:p>
        </w:tc>
      </w:tr>
      <w:tr>
        <w:trPr>
          <w:trHeight w:val="240" w:hRule="atLeast"/>
        </w:trPr>
        <w:tc>
          <w:tcPr>
            <w:tcW w:w="4560" w:type="dxa"/>
            <w:tcBorders/>
            <w:vAlign w:val="center"/>
          </w:tcPr>
          <w:p>
            <w:pPr>
              <w:pStyle w:val="TableContents"/>
              <w:bidi w:val="0"/>
              <w:spacing w:before="0" w:after="283"/>
              <w:jc w:val="left"/>
              <w:rPr>
                <w:sz w:val="4"/>
                <w:szCs w:val="4"/>
              </w:rPr>
            </w:pPr>
            <w:r>
              <w:rPr>
                <w:sz w:val="4"/>
                <w:szCs w:val="4"/>
              </w:rPr>
            </w:r>
          </w:p>
        </w:tc>
        <w:tc>
          <w:tcPr>
            <w:tcW w:w="5645" w:type="dxa"/>
            <w:gridSpan w:val="4"/>
            <w:tcBorders/>
            <w:vAlign w:val="center"/>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5531"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53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 (for entities):</w:t>
            </w:r>
          </w:p>
        </w:tc>
      </w:tr>
      <w:tr>
        <w:trPr>
          <w:trHeight w:val="240" w:hRule="atLeast"/>
        </w:trPr>
        <w:tc>
          <w:tcPr>
            <w:tcW w:w="4560" w:type="dxa"/>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c>
          <w:tcPr>
            <w:tcW w:w="4677" w:type="dxa"/>
            <w:gridSpan w:val="2"/>
            <w:tcBorders/>
            <w:vAlign w:val="center"/>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8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4" w:type="dxa"/>
            <w:tcBorders/>
            <w:vAlign w:val="bottom"/>
          </w:tcPr>
          <w:p>
            <w:pPr>
              <w:pStyle w:val="TableContents"/>
              <w:bidi w:val="0"/>
              <w:spacing w:before="0" w:after="283"/>
              <w:jc w:val="left"/>
              <w:rPr/>
            </w:pPr>
            <w:r>
              <w:rPr/>
              <w:t> </w:t>
            </w:r>
          </w:p>
        </w:tc>
        <w:tc>
          <w:tcPr>
            <w:tcW w:w="4563" w:type="dxa"/>
            <w:tcBorders/>
          </w:tcPr>
          <w:p>
            <w:pPr>
              <w:pStyle w:val="TableContents"/>
              <w:pBdr>
                <w:bottom w:val="single" w:sz="2" w:space="1" w:color="000000"/>
              </w:pBdr>
              <w:bidi w:val="0"/>
              <w:spacing w:before="0" w:after="20"/>
              <w:jc w:val="left"/>
              <w:rPr/>
            </w:pPr>
            <w:r>
              <w:rPr/>
              <w:t> </w:t>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left"/>
              <w:rPr>
                <w:sz w:val="20"/>
              </w:rPr>
            </w:pPr>
            <w:r>
              <w:rPr>
                <w:sz w:val="20"/>
              </w:rPr>
              <w:t>Name:</w:t>
            </w:r>
          </w:p>
        </w:tc>
        <w:tc>
          <w:tcPr>
            <w:tcW w:w="114" w:type="dxa"/>
            <w:tcBorders/>
            <w:vAlign w:val="bottom"/>
          </w:tcPr>
          <w:p>
            <w:pPr>
              <w:pStyle w:val="TableContents"/>
              <w:bidi w:val="0"/>
              <w:spacing w:before="0" w:after="283"/>
              <w:jc w:val="left"/>
              <w:rPr/>
            </w:pPr>
            <w:r>
              <w:rPr/>
              <w:t> </w:t>
            </w:r>
          </w:p>
        </w:tc>
        <w:tc>
          <w:tcPr>
            <w:tcW w:w="4563" w:type="dxa"/>
            <w:tcBorders/>
            <w:vAlign w:val="bottom"/>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left"/>
              <w:rPr>
                <w:sz w:val="20"/>
              </w:rPr>
            </w:pPr>
            <w:r>
              <w:rPr>
                <w:sz w:val="20"/>
              </w:rPr>
              <w:t>Title:</w:t>
            </w:r>
          </w:p>
        </w:tc>
        <w:tc>
          <w:tcPr>
            <w:tcW w:w="114" w:type="dxa"/>
            <w:tcBorders/>
            <w:vAlign w:val="bottom"/>
          </w:tcPr>
          <w:p>
            <w:pPr>
              <w:pStyle w:val="TableContents"/>
              <w:bidi w:val="0"/>
              <w:spacing w:before="0" w:after="283"/>
              <w:jc w:val="left"/>
              <w:rPr/>
            </w:pPr>
            <w:r>
              <w:rPr/>
              <w:t> </w:t>
            </w:r>
          </w:p>
        </w:tc>
        <w:tc>
          <w:tcPr>
            <w:tcW w:w="45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left"/>
        <w:tblInd w:w="0" w:type="dxa"/>
        <w:tblLayout w:type="fixed"/>
        <w:tblCellMar>
          <w:top w:w="0" w:type="dxa"/>
          <w:left w:w="0" w:type="dxa"/>
          <w:bottom w:w="0" w:type="dxa"/>
          <w:right w:w="0" w:type="dxa"/>
        </w:tblCellMar>
      </w:tblPr>
      <w:tblGrid>
        <w:gridCol w:w="877"/>
        <w:gridCol w:w="86"/>
        <w:gridCol w:w="3119"/>
      </w:tblGrid>
      <w:tr>
        <w:trPr/>
        <w:tc>
          <w:tcPr>
            <w:tcW w:w="877"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Boundless Bio, Inc.:</w:t>
            </w:r>
          </w:p>
        </w:tc>
      </w:tr>
      <w:tr>
        <w:trPr>
          <w:trHeight w:val="240" w:hRule="atLeast"/>
        </w:trPr>
        <w:tc>
          <w:tcPr>
            <w:tcW w:w="877" w:type="dxa"/>
            <w:tcBorders/>
            <w:vAlign w:val="center"/>
          </w:tcPr>
          <w:p>
            <w:pPr>
              <w:pStyle w:val="TableContents"/>
              <w:bidi w:val="0"/>
              <w:spacing w:before="0" w:after="283"/>
              <w:jc w:val="left"/>
              <w:rPr>
                <w:sz w:val="4"/>
                <w:szCs w:val="4"/>
              </w:rPr>
            </w:pPr>
            <w:r>
              <w:rPr>
                <w:sz w:val="4"/>
                <w:szCs w:val="4"/>
              </w:rPr>
            </w:r>
          </w:p>
        </w:tc>
        <w:tc>
          <w:tcPr>
            <w:tcW w:w="3205"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9" w:type="dxa"/>
            <w:tcBorders>
              <w:bottom w:val="single" w:sz="2" w:space="0" w:color="000000"/>
            </w:tcBorders>
            <w:tcMar>
              <w:bottom w:w="28" w:type="dxa"/>
            </w:tcMar>
          </w:tcPr>
          <w:p>
            <w:pPr>
              <w:pStyle w:val="TableContents"/>
              <w:bidi w:val="0"/>
              <w:spacing w:before="0" w:after="283"/>
              <w:jc w:val="left"/>
              <w:rPr/>
            </w:pPr>
            <w:r>
              <w:rPr/>
              <w:t> </w:t>
            </w:r>
          </w:p>
        </w:tc>
      </w:tr>
      <w:tr>
        <w:trPr/>
        <w:tc>
          <w:tcPr>
            <w:tcW w:w="877" w:type="dxa"/>
            <w:tcBorders/>
          </w:tcPr>
          <w:p>
            <w:pPr>
              <w:pStyle w:val="TableContents"/>
              <w:bidi w:val="0"/>
              <w:spacing w:before="0" w:after="283"/>
              <w:jc w:val="left"/>
              <w:rPr>
                <w:sz w:val="20"/>
              </w:rPr>
            </w:pPr>
            <w:r>
              <w:rPr>
                <w:sz w:val="20"/>
              </w:rPr>
              <w:t>Name:</w:t>
            </w:r>
          </w:p>
        </w:tc>
        <w:tc>
          <w:tcPr>
            <w:tcW w:w="86" w:type="dxa"/>
            <w:tcBorders/>
            <w:vAlign w:val="bottom"/>
          </w:tcPr>
          <w:p>
            <w:pPr>
              <w:pStyle w:val="TableContents"/>
              <w:bidi w:val="0"/>
              <w:spacing w:before="0" w:after="283"/>
              <w:jc w:val="left"/>
              <w:rPr/>
            </w:pPr>
            <w:r>
              <w:rPr/>
              <w:t> </w:t>
            </w:r>
          </w:p>
        </w:tc>
        <w:tc>
          <w:tcPr>
            <w:tcW w:w="3119" w:type="dxa"/>
            <w:tcBorders/>
            <w:vAlign w:val="bottom"/>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sz w:val="20"/>
              </w:rPr>
            </w:pPr>
            <w:r>
              <w:rPr>
                <w:sz w:val="20"/>
              </w:rPr>
              <w:t>Title:</w:t>
            </w:r>
          </w:p>
        </w:tc>
        <w:tc>
          <w:tcPr>
            <w:tcW w:w="86" w:type="dxa"/>
            <w:tcBorders/>
            <w:vAlign w:val="bottom"/>
          </w:tcPr>
          <w:p>
            <w:pPr>
              <w:pStyle w:val="TableContents"/>
              <w:bidi w:val="0"/>
              <w:spacing w:before="0" w:after="283"/>
              <w:jc w:val="left"/>
              <w:rPr/>
            </w:pPr>
            <w:r>
              <w:rPr/>
              <w:t> </w:t>
            </w:r>
          </w:p>
        </w:tc>
        <w:tc>
          <w:tcPr>
            <w:tcW w:w="3119" w:type="dxa"/>
            <w:tcBorders/>
            <w:vAlign w:val="bottom"/>
          </w:tcPr>
          <w:p>
            <w:pPr>
              <w:pStyle w:val="TableContents"/>
              <w:bidi w:val="0"/>
              <w:spacing w:before="0" w:after="283"/>
              <w:jc w:val="left"/>
              <w:rPr>
                <w:sz w:val="4"/>
                <w:szCs w:val="4"/>
              </w:rPr>
            </w:pPr>
            <w:r>
              <w:rPr>
                <w:sz w:val="4"/>
                <w:szCs w:val="4"/>
              </w:rPr>
            </w:r>
          </w:p>
        </w:tc>
      </w:tr>
      <w:tr>
        <w:trPr>
          <w:trHeight w:val="735"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Serapha Bio, Inc.:</w:t>
            </w:r>
          </w:p>
        </w:tc>
      </w:tr>
      <w:tr>
        <w:trPr>
          <w:trHeight w:val="240" w:hRule="atLeast"/>
        </w:trPr>
        <w:tc>
          <w:tcPr>
            <w:tcW w:w="877" w:type="dxa"/>
            <w:tcBorders/>
            <w:vAlign w:val="center"/>
          </w:tcPr>
          <w:p>
            <w:pPr>
              <w:pStyle w:val="TableContents"/>
              <w:bidi w:val="0"/>
              <w:spacing w:before="0" w:after="283"/>
              <w:jc w:val="left"/>
              <w:rPr>
                <w:sz w:val="4"/>
                <w:szCs w:val="4"/>
              </w:rPr>
            </w:pPr>
            <w:r>
              <w:rPr>
                <w:sz w:val="4"/>
                <w:szCs w:val="4"/>
              </w:rPr>
            </w:r>
          </w:p>
        </w:tc>
        <w:tc>
          <w:tcPr>
            <w:tcW w:w="3205"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9" w:type="dxa"/>
            <w:tcBorders>
              <w:bottom w:val="single" w:sz="2" w:space="0" w:color="000000"/>
            </w:tcBorders>
            <w:tcMar>
              <w:bottom w:w="28" w:type="dxa"/>
            </w:tcMar>
          </w:tcPr>
          <w:p>
            <w:pPr>
              <w:pStyle w:val="TableContents"/>
              <w:bidi w:val="0"/>
              <w:spacing w:before="0" w:after="283"/>
              <w:jc w:val="left"/>
              <w:rPr/>
            </w:pPr>
            <w:r>
              <w:rPr/>
              <w:t> </w:t>
            </w:r>
          </w:p>
        </w:tc>
      </w:tr>
      <w:tr>
        <w:trPr/>
        <w:tc>
          <w:tcPr>
            <w:tcW w:w="877" w:type="dxa"/>
            <w:tcBorders/>
          </w:tcPr>
          <w:p>
            <w:pPr>
              <w:pStyle w:val="TableContents"/>
              <w:bidi w:val="0"/>
              <w:spacing w:before="0" w:after="283"/>
              <w:jc w:val="left"/>
              <w:rPr>
                <w:sz w:val="20"/>
              </w:rPr>
            </w:pPr>
            <w:r>
              <w:rPr>
                <w:sz w:val="20"/>
              </w:rPr>
              <w:t>Name:</w:t>
            </w:r>
          </w:p>
        </w:tc>
        <w:tc>
          <w:tcPr>
            <w:tcW w:w="86" w:type="dxa"/>
            <w:tcBorders/>
            <w:vAlign w:val="bottom"/>
          </w:tcPr>
          <w:p>
            <w:pPr>
              <w:pStyle w:val="TableContents"/>
              <w:bidi w:val="0"/>
              <w:spacing w:before="0" w:after="283"/>
              <w:jc w:val="left"/>
              <w:rPr/>
            </w:pPr>
            <w:r>
              <w:rPr/>
              <w:t> </w:t>
            </w:r>
          </w:p>
        </w:tc>
        <w:tc>
          <w:tcPr>
            <w:tcW w:w="3119" w:type="dxa"/>
            <w:tcBorders/>
            <w:vAlign w:val="bottom"/>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sz w:val="20"/>
              </w:rPr>
            </w:pPr>
            <w:r>
              <w:rPr>
                <w:sz w:val="20"/>
              </w:rPr>
              <w:t>Title:</w:t>
            </w:r>
          </w:p>
        </w:tc>
        <w:tc>
          <w:tcPr>
            <w:tcW w:w="86" w:type="dxa"/>
            <w:tcBorders/>
            <w:vAlign w:val="bottom"/>
          </w:tcPr>
          <w:p>
            <w:pPr>
              <w:pStyle w:val="TableContents"/>
              <w:bidi w:val="0"/>
              <w:spacing w:before="0" w:after="283"/>
              <w:jc w:val="left"/>
              <w:rPr/>
            </w:pPr>
            <w:r>
              <w:rPr/>
              <w:t> </w:t>
            </w:r>
          </w:p>
        </w:tc>
        <w:tc>
          <w:tcPr>
            <w:tcW w:w="311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50" w:name="tx108148_53"/>
      <w:bookmarkStart w:id="251" w:name="ii108148_41"/>
      <w:bookmarkEnd w:id="250"/>
      <w:bookmarkEnd w:id="251"/>
      <w:r>
        <w:rPr>
          <w:rFonts w:ascii="Times New Roman" w:hAnsi="Times New Roman"/>
          <w:b/>
          <w:sz w:val="20"/>
        </w:rPr>
        <w:t xml:space="preserve">ANNEX J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June 22, 2026, by and among Serapha Bio, Inc., a Delaware corporation (“</w:t>
      </w:r>
      <w:r>
        <w:rPr>
          <w:rFonts w:ascii="Times New Roman" w:hAnsi="Times New Roman"/>
          <w:b/>
          <w:sz w:val="20"/>
        </w:rPr>
        <w:t>Serapha</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Serapha and the Investors are executing and delivering this Agreement in reliance upon the exemption from securities registration afforded by Section 4(a)(2) of the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Serapha desires to sell to the Investors, and each Investor desires to purchase from Serapha, severally and not jointly, upon the terms and subject to the conditions stated in this Agreement, (A) shares (the “</w:t>
      </w:r>
      <w:r>
        <w:rPr>
          <w:rFonts w:ascii="Times New Roman" w:hAnsi="Times New Roman"/>
          <w:b/>
          <w:sz w:val="20"/>
        </w:rPr>
        <w:t>Initial Shares</w:t>
      </w:r>
      <w:r>
        <w:rPr>
          <w:rFonts w:ascii="Times New Roman" w:hAnsi="Times New Roman"/>
          <w:sz w:val="20"/>
        </w:rPr>
        <w:t>”) of the Company’s common stock, par value $0.00001 per share (the “</w:t>
      </w:r>
      <w:r>
        <w:rPr>
          <w:rFonts w:ascii="Times New Roman" w:hAnsi="Times New Roman"/>
          <w:b/>
          <w:sz w:val="20"/>
        </w:rPr>
        <w:t>Common Stock</w:t>
      </w:r>
      <w:r>
        <w:rPr>
          <w:rFonts w:ascii="Times New Roman" w:hAnsi="Times New Roman"/>
          <w:sz w:val="20"/>
        </w:rPr>
        <w:t>”), at a per share purchase price equal to the Share Price, and/or (B) pre-funded warrants to purchase shares of Common Stock (the “</w:t>
      </w:r>
      <w:r>
        <w:rPr>
          <w:rFonts w:ascii="Times New Roman" w:hAnsi="Times New Roman"/>
          <w:b/>
          <w:sz w:val="20"/>
        </w:rPr>
        <w:t>Pre-Funded Warrants</w:t>
      </w:r>
      <w:r>
        <w:rPr>
          <w:rFonts w:ascii="Times New Roman" w:hAnsi="Times New Roman"/>
          <w:sz w:val="20"/>
        </w:rPr>
        <w:t xml:space="preserve">”) substantially in the form attached hereto as </w:t>
      </w:r>
      <w:r>
        <w:rPr>
          <w:rFonts w:ascii="Times New Roman" w:hAnsi="Times New Roman"/>
          <w:sz w:val="20"/>
          <w:u w:val="single"/>
        </w:rPr>
        <w:t>Exhibit B</w:t>
      </w:r>
      <w:r>
        <w:rPr>
          <w:rFonts w:ascii="Times New Roman" w:hAnsi="Times New Roman"/>
          <w:sz w:val="20"/>
        </w:rPr>
        <w:t xml:space="preserve">, at a per warrant price equal to the Pre-Funded Warrant Price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and/or the Pre-Funded Warrants, Serapha and the Investors will execute and deliver a Registration Rights Agreement, substantially in the form attached hereto as </w:t>
      </w:r>
      <w:r>
        <w:rPr>
          <w:rFonts w:ascii="Times New Roman" w:hAnsi="Times New Roman"/>
          <w:sz w:val="20"/>
          <w:u w:val="single"/>
        </w:rPr>
        <w:t>Exhibit C</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Serapha is party to that certain Agreement and Plan of Merger and Reorganization by and among Serapha, Boundless Bio, Inc., a Delaware corporation (“</w:t>
      </w:r>
      <w:r>
        <w:rPr>
          <w:rFonts w:ascii="Times New Roman" w:hAnsi="Times New Roman"/>
          <w:b/>
          <w:sz w:val="20"/>
        </w:rPr>
        <w:t>Parent</w:t>
      </w:r>
      <w:r>
        <w:rPr>
          <w:rFonts w:ascii="Times New Roman" w:hAnsi="Times New Roman"/>
          <w:sz w:val="20"/>
        </w:rPr>
        <w:t>”), and Boulder Merger Sub Corp., a Delaware corporation and wholly-owned subsidiary of Parent (“</w:t>
      </w:r>
      <w:r>
        <w:rPr>
          <w:rFonts w:ascii="Times New Roman" w:hAnsi="Times New Roman"/>
          <w:b/>
          <w:sz w:val="20"/>
        </w:rPr>
        <w:t>Merger Sub</w:t>
      </w:r>
      <w:r>
        <w:rPr>
          <w:rFonts w:ascii="Times New Roman" w:hAnsi="Times New Roman"/>
          <w:sz w:val="20"/>
        </w:rPr>
        <w:t>”), dated June 22, 2026 (as may be amended from time to time, the “</w:t>
      </w:r>
      <w:r>
        <w:rPr>
          <w:rFonts w:ascii="Times New Roman" w:hAnsi="Times New Roman"/>
          <w:b/>
          <w:sz w:val="20"/>
        </w:rPr>
        <w:t>Merger Agreement</w:t>
      </w:r>
      <w:r>
        <w:rPr>
          <w:rFonts w:ascii="Times New Roman" w:hAnsi="Times New Roman"/>
          <w:sz w:val="20"/>
        </w:rPr>
        <w:t>”), pursuant to which (i) Merger Sub will merge with and into Serapha, with Serapha surviving and becoming a wholly-owned subsidiary of Parent, and (ii) Parent will change its name to Serapha Bio, Inc. (Parent, as renamed, “</w:t>
      </w:r>
      <w:r>
        <w:rPr>
          <w:rFonts w:ascii="Times New Roman" w:hAnsi="Times New Roman"/>
          <w:b/>
          <w:sz w:val="20"/>
        </w:rPr>
        <w:t>TopCo</w:t>
      </w:r>
      <w:r>
        <w:rPr>
          <w:rFonts w:ascii="Times New Roman" w:hAnsi="Times New Roman"/>
          <w:sz w:val="20"/>
        </w:rPr>
        <w:t>” and the transactions described in the foregoing clauses (i) and (ii),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Beneficial Ownership Limitation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hospitalization insurance, medical insurance, life insurance, scholarships or tuition reimbursements, maintained by the Company or to which the Company or any of its subsidiaries is obligated to contribute for employees or former employees of the Company and its subsidiaries.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Amended and Restated Certificate of Incorporation of the Company, as currently in effect and as may be amended from time to time.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Company for all periods prior to the Effective Time (as defined in the Merger Agreement) and TopCo for all periods following the Effective Time.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w:t>
      </w:r>
      <w:r>
        <w:rPr>
          <w:rFonts w:ascii="Times New Roman" w:hAnsi="Times New Roman"/>
          <w:sz w:val="20"/>
          <w:u w:val="single"/>
        </w:rPr>
        <w:t>Section</w:t>
      </w:r>
      <w:r>
        <w:rPr>
          <w:rFonts w:ascii="Times New Roman" w:hAnsi="Times New Roman"/>
          <w:sz w:val="20"/>
        </w:rPr>
        <w:t xml:space="preserve"> 5.9(a). </w:t>
      </w:r>
    </w:p>
    <w:p>
      <w:pPr>
        <w:pStyle w:val="TextBody"/>
        <w:bidi w:val="0"/>
        <w:spacing w:before="240" w:after="0"/>
        <w:jc w:val="left"/>
        <w:rPr/>
      </w:pPr>
      <w:r>
        <w:rP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each of RTW and RA Capital, and (ii) following the Closing, the Investors who hold (as of such time) at least a majority of the Securities (including any Pre-Funded Warrant Shares). For the avoidance of doubt, the Securities which RA Capital Healthcare Fund, L.P. and RA Capital Nexus Fund IV, L.P. have committed to purchase shall be aggregated and treated as held by “RA Capital” for all purposes of this definition.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or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and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epidemic or similar health emergency, and other force majeure events in the United States or any other location, provided that the Company and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material changes in laws after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(vii) in and of itself, any material failure by the Company or its subsidiaries to meet any published or internally prepared estimates of drug development timelines (it being understood that the facts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giving rise to 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(i) on and prior to the Closing Date, The Nasdaq Global Select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Pre-Funded Warrant Price</w:t>
      </w:r>
      <w:r>
        <w:rPr>
          <w:rFonts w:ascii="Times New Roman" w:hAnsi="Times New Roman"/>
          <w:sz w:val="20"/>
        </w:rPr>
        <w:t xml:space="preserve">” means an amount equal to (i) the Share Price minus (ii) $0.00001. </w:t>
      </w:r>
    </w:p>
    <w:p>
      <w:pPr>
        <w:pStyle w:val="TextBody"/>
        <w:bidi w:val="0"/>
        <w:spacing w:before="240" w:after="0"/>
        <w:jc w:val="left"/>
        <w:rPr/>
      </w:pPr>
      <w:r>
        <w:rPr/>
        <w:t>“</w:t>
      </w:r>
      <w:r>
        <w:rPr>
          <w:rFonts w:ascii="Times New Roman" w:hAnsi="Times New Roman"/>
          <w:b/>
          <w:sz w:val="20"/>
        </w:rPr>
        <w:t>Pre-Funded Warrant Shares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Pre-Funded Warrants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RA Capital</w:t>
      </w:r>
      <w:r>
        <w:rPr>
          <w:rFonts w:ascii="Times New Roman" w:hAnsi="Times New Roman"/>
          <w:sz w:val="20"/>
        </w:rPr>
        <w:t xml:space="preserve">” means collectively, RA Capital Healthcare Fund, L.P., and RA Capital Nexus Fund IV, L.P.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6.1(j)</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3.20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RTW</w:t>
      </w:r>
      <w:r>
        <w:rPr>
          <w:rFonts w:ascii="Times New Roman" w:hAnsi="Times New Roman"/>
          <w:sz w:val="20"/>
        </w:rPr>
        <w:t xml:space="preserve">” means RTW Holdings X, LLC.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$4.4997.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Initial Shares and the Pre-Funded Warrant Shares.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Pre-Funded Warrants, the Registration Rights Agreement and any other documents or agreements explicitly contemplated 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N.A.,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xml:space="preserve">. On the Closing Date, upon the terms and subject to the conditions set forth herein, the Company agrees to sell, and the Investors, severally and not jointly, agree to purchase, the number of Initial Shares equal to (rounded down to the nearest whole Initial Share) (a) the aggregate commitment amount set forth under the heading “Commitment Amount” and opposite such Investor’s name on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Commitment Amount</w:t>
      </w:r>
      <w:r>
        <w:rPr>
          <w:rFonts w:ascii="Times New Roman" w:hAnsi="Times New Roman"/>
          <w:sz w:val="20"/>
        </w:rPr>
        <w:t xml:space="preserve">”) divided by (b) the Share Price;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for any Investor that has provided notice to the Company at least ten (10) Business Days 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 w:hAnsi="Times New Roman"/>
          <w:b/>
          <w:sz w:val="20"/>
        </w:rPr>
        <w:t>Pre-Funded Warrant Shares</w:t>
      </w:r>
      <w:r>
        <w:rPr>
          <w:rFonts w:ascii="Times New Roman" w:hAnsi="Times New Roman"/>
          <w:sz w:val="20"/>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 Warrants). The “</w:t>
      </w:r>
      <w:r>
        <w:rPr>
          <w:rFonts w:ascii="Times New Roman" w:hAnsi="Times New Roman"/>
          <w:b/>
          <w:sz w:val="20"/>
        </w:rPr>
        <w:t>Beneficial Ownership Limitation</w:t>
      </w:r>
      <w:r>
        <w:rPr>
          <w:rFonts w:ascii="Times New Roman" w:hAnsi="Times New Roman"/>
          <w:sz w:val="20"/>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 w:hAnsi="Times New Roman"/>
          <w:b/>
          <w:sz w:val="20"/>
        </w:rPr>
        <w:t>Securities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percentage shall be set at 9.99% for any Investor that does not make such designation on its signature page hereto. Notwithstanding the foregoing, by written notice to the Company, any Investor may reset the Beneficial Ownership Limitation percentage to a higher or lower percentage, not to exceed 19.99%; </w:t>
      </w:r>
      <w:r>
        <w:rPr>
          <w:rFonts w:ascii="Times New Roman" w:hAnsi="Times New Roman"/>
          <w:sz w:val="20"/>
          <w:u w:val="single"/>
        </w:rPr>
        <w:t>provided</w:t>
      </w:r>
      <w:r>
        <w:rPr>
          <w:rFonts w:ascii="Times New Roman" w:hAnsi="Times New Roman"/>
          <w:sz w:val="20"/>
        </w:rPr>
        <w:t xml:space="preserve"> that any increase prior to the Closing will not be effective until the 61st day after such written notice is delivered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Upon such a change by an Investor of the Beneficial Ownership Limitation, the Beneficial Ownership Limitation may not be further amended by such Investor without first providing the minimum notice required by this </w:t>
      </w:r>
      <w:r>
        <w:rPr>
          <w:rFonts w:ascii="Times New Roman" w:hAnsi="Times New Roman"/>
          <w:sz w:val="20"/>
          <w:u w:val="single"/>
        </w:rPr>
        <w:t>Section 2.1</w:t>
      </w:r>
      <w:r>
        <w:rPr>
          <w:rFonts w:ascii="Times New Roman" w:hAnsi="Times New Roman"/>
          <w:sz w:val="20"/>
        </w:rPr>
        <w:t xml:space="preserve">. Notwithstanding anything to the contrary set forth in this Agreement, for any Investor that has provided notice to the Company that this sentence shall apply to it, (A) the Investor shall not be required to purchase Pre-Funded Warrants and (B)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9.99% of the outstanding shares of Common Stock immediately after giving effect to the Closing and the consummation of the transactions contemplated hereby, and the number of Initial Shares and the Aggregate Purchase Amount for such Investor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6</w:t>
      </w:r>
      <w:r>
        <w:rPr>
          <w:rFonts w:ascii="Times New Roman" w:hAnsi="Times New Roman"/>
          <w:sz w:val="20"/>
        </w:rPr>
        <w:t xml:space="preserve"> of this Agreement,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Effective Time, or at such other time as agreed to by the Company and the Investor Majority.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the Investor, or in such nominee name(s) as designated by the Investor, representing the number of Securities to be purchased by the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(a)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 w:hAnsi="Times New Roman"/>
          <w:sz w:val="20"/>
          <w:u w:val="single"/>
        </w:rPr>
        <w:t>Exhibit A</w:t>
      </w:r>
      <w:r>
        <w:rPr>
          <w:rFonts w:ascii="Times New Roman" w:hAnsi="Times New Roman"/>
          <w:sz w:val="20"/>
        </w:rPr>
        <w:t xml:space="preserve"> with respect to such Investor. In the event that the Closing has not occurred within two Business Days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w:t>
      </w:r>
      <w:r>
        <w:rPr>
          <w:rFonts w:ascii="Times New Roman" w:hAnsi="Times New Roman"/>
          <w:sz w:val="20"/>
          <w:u w:val="single"/>
        </w:rPr>
        <w:t>Exhibit A</w:t>
      </w:r>
      <w:r>
        <w:rPr>
          <w:rFonts w:ascii="Times New Roman" w:hAnsi="Times New Roman"/>
          <w:sz w:val="20"/>
        </w:rPr>
        <w:t xml:space="preserve"> up to three Business Days prior to the Closing, without the consent of the other parties hereto, to reflect the number of Securities purchased and the Aggregate Purchase Amount to be paid, in each case, by each applicable Investor, and shall provide such updated </w:t>
      </w:r>
      <w:r>
        <w:rPr>
          <w:rFonts w:ascii="Times New Roman" w:hAnsi="Times New Roman"/>
          <w:sz w:val="20"/>
          <w:u w:val="single"/>
        </w:rPr>
        <w:t>Exhibit A</w:t>
      </w:r>
      <w:r>
        <w:rPr>
          <w:rFonts w:ascii="Times New Roman" w:hAnsi="Times New Roman"/>
          <w:sz w:val="20"/>
        </w:rPr>
        <w:t xml:space="preserve"> to an Investor upon request (provided, however, for the avoidance of doubt, that the Company may not increase or decrease an Investor’s “Commitment Amount” set forth in </w:t>
      </w:r>
      <w:r>
        <w:rPr>
          <w:rFonts w:ascii="Times New Roman" w:hAnsi="Times New Roman"/>
          <w:sz w:val="20"/>
          <w:u w:val="single"/>
        </w:rPr>
        <w:t>Exhibit A</w:t>
      </w:r>
      <w:r>
        <w:rPr>
          <w:rFonts w:ascii="Times New Roman" w:hAnsi="Times New Roman"/>
          <w:sz w:val="20"/>
        </w:rPr>
        <w:t xml:space="preserve"> without the prior written consent of such Investor),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(a) duly incorporated and validly existing and in good standing under the laws of the jurisdiction of its incorporation and has the requisite power and authority to carry on its business as now conducted and to own or lease its properties and (b)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The authorized capital stock of the Company as of the date hereof consists of (a) 100,000,000 shares of Common Stock, 6,100,000 of which are issued and outstanding, and (b) 60,000,000 shares of preferred stock, par value $0.00001 per share (the “</w:t>
      </w:r>
      <w:r>
        <w:rPr>
          <w:rFonts w:ascii="Times New Roman" w:hAnsi="Times New Roman"/>
          <w:b/>
          <w:sz w:val="20"/>
        </w:rPr>
        <w:t>Preferred Stock</w:t>
      </w:r>
      <w:r>
        <w:rPr>
          <w:rFonts w:ascii="Times New Roman" w:hAnsi="Times New Roman"/>
          <w:sz w:val="20"/>
        </w:rPr>
        <w:t xml:space="preserve">”), of which (i) 35,000,000 shares have been designated Series A Preferred Stock, 30,668,708 of which are issued and outstanding, and (ii) 25,000,000 shares have been designated Series A-1 Preferred Stock, none of which are issued and outstanding. All of the issued and outstanding shares of Common Stock and Preferred Stock have been duly authorized and validly issued and are fully paid and non-assessable. None of the outstanding shares of Common Stock or Preferred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the Company is presently not under any obligation, and has not granted any rights, to register under the Securities Act any of the Company’s presently outstanding securities or any of its securities that may hereafter be issued, other than such rights and obligations that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to the extent applicable, the approval of the Board of Directors (or a committee thereof) in accordance with Section 144(a)(1) or 144(b)(1) of the Delaware General Corporation Law.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Initial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(a) violate any provision of the Certificate of Incorporation or Bylaws, (b)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(c)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(b) and (c),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each Investor set forth in </w:t>
      </w:r>
      <w:r>
        <w:rPr>
          <w:rFonts w:ascii="Times New Roman" w:hAnsi="Times New Roman"/>
          <w:sz w:val="20"/>
          <w:u w:val="single"/>
        </w:rPr>
        <w:t>Section 4</w:t>
      </w:r>
      <w:r>
        <w:rPr>
          <w:rFonts w:ascii="Times New Roman" w:hAnsi="Times New Roman"/>
          <w:sz w:val="20"/>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for the filing of any requisite notices and/or application(s) to the National Exchange for the issuance and sale of the Shares and the listing of the Shares for trading or quotation, as the case may be, thereon in the time and manner required thereby, (c) for any customary post-closing filings with the SEC or pursuant to state securities laws in connection with the offer and sale of the Shares by the Company in the manner contemplated herein, which will be filed on a timely basis, (d)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this Agreement and the discussions, negotiations and transactions related thereto, including the Merger Agreement and transactions related thereto, since the Company’s inception: (a) the Company has conducted its business only in the ordinary course of business and there have been no material transactions entered into by the Company or any of its subsidiaries; (b) no material change to any material contract or arrangement by which the Company or any of its subsidiaries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that is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(a) there are no third parties who have rights to any Intellectual Property, including no liens, security interests, or other encumbrances; and (b) there is no infringement by third parties of 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in each case, which, individually or in the aggregate, have not had and would not reasonably be expected to have a Material Adverse Effect. No action, suit, or other proceeding is pending, or, to the Company’s knowledge, is threatened: (i) challenging the Company’s or its subsidiaries’ rights in or to any Intellectual Property; (ii) challenging the validity, enforceability or scope of any Intellectual Property; or (iii)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(a)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(b) have received all permits and other Governmental Authorizations required under applicable Environmental Laws to conduct their business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inception, any written notice or other communication (in writing or otherwise), whether from a governmental authority or other Person, that alleges that the Company or any subsidiary is not in compliance with any Environmental Law and,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inception, the Company has not received any notice or other communication regarding any actual or possible: (a) cancellation or invalidation of any material insurance policy or (b)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(a)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(b) each description of the results of such Studies is accurate and complete in all material respects and fairly presents the data derived from such Studies, and the Company and its subsidiaries have no knowledge of any other studies the results of would be required to be disclosed in accordance with the Exchange Act; (c)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(d) neither the Company nor any of its subsidiaries has received any notice of, or correspondence from, any of the Regulatory Agencies requiring the termination or suspension of or imposing any clinical hold on any clinical trials; and (e)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hAnsi="Times New Roman"/>
          <w:b/>
          <w:sz w:val="20"/>
        </w:rPr>
        <w:t>Health Care Laws</w:t>
      </w:r>
      <w:r>
        <w:rPr>
          <w:rFonts w:ascii="Times New Roman" w:hAnsi="Times New Roman"/>
          <w:sz w:val="20"/>
        </w:rPr>
        <w:t xml:space="preserve">”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the Federal Food, Drug, and Cosmetic Act (21 U.S.C. Section 301 et seq.) and the Public Health Service Act (42 U.S.C. Section 201 et seq.), and the regulations promulgated thereunder; (b) all applicable federal, state, local and foreign health care fraud and abuse laws, including, without limitation, the Anti-Kickback Statute (42 U.S.C. Section 1320a-7b(b)); (c) HIPAA, as amended by the Health Information Technology for Economic and Clinical Health Act (42 U.S.C. Section 17921 et seq.); (d) the Patient Protection and Affordable Care Act of 2010, as amended by the Health Care and Education Reconciliation Act of 2010; (e) the European Union (“</w:t>
      </w:r>
      <w:r>
        <w:rPr>
          <w:rFonts w:ascii="Times New Roman" w:hAnsi="Times New Roman"/>
          <w:b/>
          <w:sz w:val="20"/>
        </w:rPr>
        <w:t>EU</w:t>
      </w:r>
      <w:r>
        <w:rPr>
          <w:rFonts w:ascii="Times New Roman" w:hAnsi="Times New Roman"/>
          <w:sz w:val="20"/>
        </w:rPr>
        <w:t xml:space="preserve">”) Clinical Trials Regulation (Regulation (EU) No. 536/2014); (f) the EU Regulation regarding community procedures for authorization and supervision of medicinal products for human and veterinary use and establishing a European Medicines Agency (Regulation (EC) No. 726/2004); (g) licensure, quality, safety and accreditation requirements under applicable federal, state, local or foreign laws or regulatory bodies; (h) all other local, state, federal, national, supranational and foreign laws, relating to the regulation of the Company or its subsidiaries, and (i)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(a) integrated with the offer and sale of the Securities pursuant to this Agreement for purposes of the Securities Act or (b) aggregated with prior offerings by the Company for the purposes of the rules and regulations of Nasdaq.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3.26</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and any Investor with respect to the transactions contemplated by the Transaction Agreements other than as specified in the Transaction Agreements, including any agreements or understandings with any other Investor or potential investor with respect to the purchase of securities of the Company which include terms and conditions (economic or otherwise) that are more advantageous with respect to the transactions contemplated by the Transaction Agreements to any such other investor or potential investor (as compared to each Investor).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(a) a natural person’s name, street address, telephone number, e-mail address, photograph, social security number or other tax identification number, driver’s license number, passport number, credit card number or bank information; (b) information that identifies or may reasonably be used to identify an individual; (c)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(d) any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Shell Company</w:t>
      </w:r>
      <w:r>
        <w:rPr>
          <w:rFonts w:ascii="Times New Roman" w:hAnsi="Times New Roman"/>
          <w:sz w:val="20"/>
        </w:rPr>
        <w:t xml:space="preserve">. The Company is not, and has never been, an issuer that meets the description set forth under Rule 144(i)(1)(i). </w:t>
      </w:r>
    </w:p>
    <w:p>
      <w:pPr>
        <w:pStyle w:val="TextBody"/>
        <w:bidi w:val="0"/>
        <w:spacing w:before="24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and as of the Closing Date, to the Company’s knowledge, the representations and warranties of Parent contained in Section 4 of the Merger Agreement and in any certificate or other writing delivered by Parent pursuant thereto are true and correct as though given in accordance with Section 9.1 of the Merger Agreement. </w:t>
      </w:r>
    </w:p>
    <w:p>
      <w:pPr>
        <w:pStyle w:val="TextBody"/>
        <w:bidi w:val="0"/>
        <w:spacing w:before="240" w:after="0"/>
        <w:jc w:val="left"/>
        <w:rPr>
          <w:rFonts w:ascii="Times New Roman" w:hAnsi="Times New Roman"/>
          <w:sz w:val="20"/>
        </w:rPr>
      </w:pPr>
      <w:r>
        <w:rPr>
          <w:rFonts w:ascii="Times New Roman" w:hAnsi="Times New Roman"/>
          <w:sz w:val="20"/>
        </w:rPr>
        <w:t>(c) The information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Securities Act (each a “</w:t>
      </w:r>
      <w:r>
        <w:rPr>
          <w:rFonts w:ascii="Times New Roman" w:hAnsi="Times New Roman"/>
          <w:b/>
          <w:sz w:val="20"/>
        </w:rPr>
        <w:t>Regulation M-A Filing</w:t>
      </w:r>
      <w:r>
        <w:rPr>
          <w:rFonts w:ascii="Times New Roman" w:hAnsi="Times New Roman"/>
          <w:sz w:val="20"/>
        </w:rPr>
        <w:t xml:space="preserve">”), will not, as of the time the Registration Statement or any such Regulation M-A Filing is filed with the SEC, at any time it is amended or supplemented or at the time the Registration Statement is declared effective by the SEC,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of this Agreement and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The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(a) any provision of the organizational documents of the Investor, including, without limitation, its incorporation or formation papers, bylaws, indenture of trust or partnership or operating agreement, as may be applicable or (b) any agreement or instrument, undertaking, credit facility, franchise, license, judgment, order, ruling, statute, law, ordinance, rule or regulations, applicable to such Investor or its respective properties or assets, except, in the case of clause (b), as would not, individually or in the aggregate, be reasonably expected to materially delay or hinder the ability of the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The Investor’s residence (if an individual) or offices in which its investment decision with respect to the Securities was made (if an entity) are located at the address immediately below the Investor’s name on </w:t>
      </w:r>
      <w:r>
        <w:rPr>
          <w:rFonts w:ascii="Times New Roman" w:hAnsi="Times New Roman"/>
          <w:sz w:val="20"/>
          <w:u w:val="single"/>
        </w:rPr>
        <w:t>Exhibit A</w:t>
      </w:r>
      <w:r>
        <w:rPr>
          <w:rFonts w:ascii="Times New Roman" w:hAnsi="Times New Roman"/>
          <w:sz w:val="20"/>
        </w:rPr>
        <w:t xml:space="preserve">, except as otherwise communicated by the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The Investor has not retained, utilized or been represented by any broker or finder in connection with the transactions contemplated by this Agreement whose fees the Company would be required to pay.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The Investor hereby represents and warrants that, it (a) as of the date of this Agreement is, if an entity, a “qualified institutional buyer” (as defined in Rule 144A under the Securities Act) or an institutional “accredited investor” as that term is defined in Rule 501(a) under Regulation D promulgated pursuant to the Securities Act; or (b)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The Investor acknowledges that the Investor (a) is a sophisticated investor, experienced in investing in private placements of equity securities and capable of evaluating investment risks independently, both in general and with regard to all transactions and investment strategies involving a security or securities and (b) has exercised independent judgment in evaluating its participation in the purchase of the Securities. The Investor acknowledges that the Investor is aware that there are substantial risks incident to the purchase and ownership of the Securities, including those set forth in Parent’s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Investor understands that any certificates or book entry notations evidencing the Securities may bear one or more legends in substantially the following form and substance: </w:t>
      </w:r>
    </w:p>
    <w:p>
      <w:pPr>
        <w:pStyle w:val="TextBody"/>
        <w:bidi w:val="0"/>
        <w:spacing w:before="24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the Investor in advance of Closing if such a legend is to be placed on its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No General Solicitation</w:t>
      </w:r>
      <w:r>
        <w:rPr>
          <w:rFonts w:ascii="Times New Roman" w:hAnsi="Times New Roman"/>
          <w:sz w:val="20"/>
        </w:rPr>
        <w:t xml:space="preserve">. The Investor acknowledges and agrees that the Investor is purchasing the Securities directly from the Company. The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the Investor solely by direct contact between Investor and the Company and/or its representatives. The Investor did not become aware of this offering of the Securities, nor were the Securities offered to the Investor, by any other means, and none of the Company and/or its representatives acted as investment advisor, broker or dealer to the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Access to Information</w:t>
      </w:r>
      <w:r>
        <w:rPr>
          <w:rFonts w:ascii="Times New Roman" w:hAnsi="Times New Roman"/>
          <w:sz w:val="20"/>
        </w:rPr>
        <w:t xml:space="preserve">. In making its decision to purchase the Securities, such Investor has relied solely upon independent investigation made by such Investor, upon the representations, warranties and covenants set forth herein. Such Investor acknowledges and agrees that the Investor and such Investor’s professional advisor(s), if any, have had the opportunity to ask such questions, receive such answers and obtain such information from the Company regarding Parent, the Company, their respective businesses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the common stock, $0.0001 par value per share, of Parent (“</w:t>
      </w:r>
      <w:r>
        <w:rPr>
          <w:rFonts w:ascii="Times New Roman" w:hAnsi="Times New Roman"/>
          <w:b/>
          <w:sz w:val="20"/>
        </w:rPr>
        <w:t>Parent Common Stock</w:t>
      </w:r>
      <w:r>
        <w:rPr>
          <w:rFonts w:ascii="Times New Roman" w:hAnsi="Times New Roman"/>
          <w:sz w:val="20"/>
        </w:rPr>
        <w:t xml:space="preserve">”) on Nasdaq and, in accordance therewith, will use reasonable best efforts to cause Parent to comply in all material respects with Parent’s reporting, filing and other obligations under the rules and regulations of Nasdaq, and (b) to obtain approval of the listing of the shares of Parent Common Stock issued in exchange for the Initial Shares and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by 9:00 a.m., New York City time, on the first Business Day immediately following the date of this Agreement (</w:t>
      </w:r>
      <w:r>
        <w:rPr>
          <w:rFonts w:ascii="Times New Roman" w:hAnsi="Times New Roman"/>
          <w:sz w:val="20"/>
          <w:u w:val="single"/>
        </w:rPr>
        <w:t>provided</w:t>
      </w:r>
      <w:r>
        <w:rPr>
          <w:rFonts w:ascii="Times New Roman" w:hAnsi="Times New Roman"/>
          <w:sz w:val="20"/>
        </w:rPr>
        <w:t xml:space="preserve"> that, if this Agreement is executed between midnight and 9:00 a.m., New York City time on any Business Day, no later than 9:01 a.m. on the date of this Agreement), issue a press release and ensure that Parent shall substantially contemporaneously file with the SEC a Current Report on Form 8-K (including, if applicable,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and the transactions contemplated hereby or the transactions contemplated by the Merger Agreement disclosed to the Investors prior to the Disclosure Time. Following the Disclosure Time,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the Investor, except (A) as required by the federal securities law in connection with (1) any registration statement contemplated by the Registration Rights Agreement and (2) the filing of final Transaction Agreements with the SEC or pursuant to other routine proceedings of regulatory authorities, or (B) to the extent such disclosure is required by law, at the request of the staff of the SEC or regulatory agency or under the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such Investor customary representations and other documentation reasonably acceptable to the Company in connection therewith. The Company shall be responsible for the fees of its Transfer Agent and its legal counsel associated with such legend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hAnsi="Times New Roman"/>
          <w:sz w:val="20"/>
          <w:u w:val="single"/>
        </w:rPr>
        <w:t>Section</w:t>
      </w:r>
      <w:r>
        <w:rPr>
          <w:rFonts w:ascii="Times New Roman" w:hAnsi="Times New Roman"/>
          <w:sz w:val="20"/>
        </w:rPr>
        <w:t xml:space="preserve"> 5.5(b)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Commissions</w:t>
      </w:r>
      <w:r>
        <w:rPr>
          <w:rFonts w:ascii="Times New Roman" w:hAnsi="Times New Roman"/>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 accordance with the engagement letter relating hereto.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(1) imposes no liability or obligation on, (2) includes as an unconditional term thereof the giving of a complete, explicit and unconditional release from the party bringing such indemnified claims of all liability of the indemnified party in respect of such claim or litigation in favor of, and (3)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Reservation of Common Stock</w:t>
      </w:r>
      <w:r>
        <w:rPr>
          <w:rFonts w:ascii="Times New Roman" w:hAnsi="Times New Roman"/>
          <w:sz w:val="20"/>
        </w:rPr>
        <w:t xml:space="preserve">.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Legend Removal</w:t>
      </w:r>
      <w:r>
        <w:rPr>
          <w:rFonts w:ascii="Times New Roman" w:hAnsi="Times New Roman"/>
          <w:sz w:val="20"/>
        </w:rPr>
        <w:t xml:space="preserve">. The restrictive legends described in </w:t>
      </w:r>
      <w:r>
        <w:rPr>
          <w:rFonts w:ascii="Times New Roman" w:hAnsi="Times New Roman"/>
          <w:sz w:val="20"/>
          <w:u w:val="single"/>
        </w:rPr>
        <w:t>Section 4.10</w:t>
      </w:r>
      <w:r>
        <w:rPr>
          <w:rFonts w:ascii="Times New Roman" w:hAnsi="Times New Roman"/>
          <w:sz w:val="20"/>
        </w:rPr>
        <w:t xml:space="preserve"> shall promptly be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of this Agreement, no event or series of events shall have occurred that has had or would reasonably be expected to have a Material Adverse Effect or a Company Material Adverse Effect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Gibson, Dunn &amp; Crutcher LLP, dated as of the Closing Date, in customary form and substance to be reasonably agreed upon with the Investor Majority and addressing such legal matters as the Investor Majority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6.1(k) (Registration Statement; No Stop Orders) </w:t>
      </w:r>
      <w:r>
        <w:rPr>
          <w:rFonts w:ascii="Times New Roman" w:hAnsi="Times New Roman"/>
          <w:sz w:val="20"/>
          <w:u w:val="single"/>
        </w:rPr>
        <w:t>6.1(l)</w:t>
      </w:r>
      <w:r>
        <w:rPr>
          <w:rFonts w:ascii="Times New Roman" w:hAnsi="Times New Roman"/>
          <w:sz w:val="20"/>
        </w:rPr>
        <w:t xml:space="preserve"> (Nasdaq), and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and the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Parent Stockholder Approval</w:t>
      </w:r>
      <w:r>
        <w:rPr>
          <w:rFonts w:ascii="Times New Roman" w:hAnsi="Times New Roman"/>
          <w:sz w:val="20"/>
        </w:rPr>
        <w:t xml:space="preserve">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w:t>
      </w:r>
      <w:r>
        <w:rPr>
          <w:rFonts w:ascii="Times New Roman" w:hAnsi="Times New Roman"/>
          <w:sz w:val="20"/>
        </w:rPr>
        <w:t xml:space="preserve"> 6.2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(with respect to itself only)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By either the Company or an Investor (with respect to itself only) if the Closing has not occurred on or before March 23, 2027;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by the Company or the Investor of its obligations to effect the Closing pursuant to </w:t>
      </w:r>
      <w:r>
        <w:rPr>
          <w:rFonts w:ascii="Times New Roman" w:hAnsi="Times New Roman"/>
          <w:sz w:val="20"/>
          <w:u w:val="single"/>
        </w:rPr>
        <w:t>Section 7.1</w:t>
      </w:r>
      <w:r>
        <w:rPr>
          <w:rFonts w:ascii="Times New Roman" w:hAnsi="Times New Roman"/>
          <w:sz w:val="20"/>
        </w:rPr>
        <w:t xml:space="preserve">, written notice thereof shall be given to other Investors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advisor of any Investor without such Investor’s prior written consent (email being sufficient).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0"/>
        <w:gridCol w:w="8269"/>
      </w:tblGrid>
      <w:tr>
        <w:trPr/>
        <w:tc>
          <w:tcPr>
            <w:tcW w:w="1326"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addressed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Serapha Bio, Inc. </w:t>
      </w:r>
    </w:p>
    <w:p>
      <w:pPr>
        <w:pStyle w:val="TextBody"/>
        <w:bidi w:val="0"/>
        <w:spacing w:before="0" w:after="0"/>
        <w:jc w:val="left"/>
        <w:rPr>
          <w:rFonts w:ascii="Times New Roman" w:hAnsi="Times New Roman"/>
          <w:sz w:val="20"/>
        </w:rPr>
      </w:pPr>
      <w:r>
        <w:rPr>
          <w:rFonts w:ascii="Times New Roman" w:hAnsi="Times New Roman"/>
          <w:sz w:val="20"/>
        </w:rPr>
        <w:t xml:space="preserve">40 10th Avenue, 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0" w:after="0"/>
        <w:jc w:val="left"/>
        <w:rPr>
          <w:rFonts w:ascii="Times New Roman" w:hAnsi="Times New Roman"/>
          <w:sz w:val="20"/>
        </w:rPr>
      </w:pPr>
      <w:r>
        <w:rPr>
          <w:rFonts w:ascii="Times New Roman" w:hAnsi="Times New Roman"/>
          <w:sz w:val="20"/>
        </w:rPr>
        <w:t xml:space="preserve">Attention: Alice Lee, President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612"/>
        <w:gridCol w:w="8267"/>
      </w:tblGrid>
      <w:tr>
        <w:trPr/>
        <w:tc>
          <w:tcPr>
            <w:tcW w:w="132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or e-mail address set forth on </w:t>
      </w:r>
      <w:r>
        <w:rPr>
          <w:rFonts w:ascii="Times New Roman" w:hAnsi="Times New Roman"/>
          <w:sz w:val="20"/>
          <w:u w:val="single"/>
        </w:rPr>
        <w:t>Exhibit A</w:t>
      </w:r>
      <w:r>
        <w:rPr>
          <w:rFonts w:ascii="Times New Roman" w:hAnsi="Times New Roman"/>
          <w:sz w:val="20"/>
        </w:rPr>
        <w:t xml:space="preserve">, or such address as subsequently modified by written notice given in accordance with this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Delaware General Corporation Law, as amended or superseded from time to time,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8.2</w:t>
      </w:r>
      <w:r>
        <w:rPr>
          <w:rFonts w:ascii="Times New Roman" w:hAnsi="Times New Roman"/>
          <w:sz w:val="20"/>
        </w:rPr>
        <w:t xml:space="preserve">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(a) to perform all or part of its obligations under this Agreement or (b)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w:t>
      </w:r>
      <w:r>
        <w:rPr>
          <w:rFonts w:ascii="Times New Roman" w:hAnsi="Times New Roman"/>
          <w:sz w:val="20"/>
          <w:u w:val="single"/>
        </w:rPr>
        <w:t>Section 5.3</w:t>
      </w:r>
      <w:r>
        <w:rPr>
          <w:rFonts w:ascii="Times New Roman" w:hAnsi="Times New Roman"/>
          <w:sz w:val="20"/>
        </w:rPr>
        <w:t xml:space="preserve">,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Parent and/or the Company may file a form of this Agreement and the Registration Rights Agreement with the SEC as exhibits to a periodic report or a registration statement of Parent and/or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third-party beneficiary with respect to this Agreement or the transactions contemplated hereby, except as expressly set forth in this Agreement. Notwithstanding the foregoing, the Indemnified Persons are intended third-party beneficiaries of </w:t>
      </w:r>
      <w:r>
        <w:rPr>
          <w:rFonts w:ascii="Times New Roman" w:hAnsi="Times New Roman"/>
          <w:sz w:val="20"/>
          <w:u w:val="single"/>
        </w:rPr>
        <w:t>Section</w:t>
      </w:r>
      <w:r>
        <w:rPr>
          <w:rFonts w:ascii="Times New Roman" w:hAnsi="Times New Roman"/>
          <w:sz w:val="20"/>
        </w:rPr>
        <w:t xml:space="preserve"> 5.9.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1934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Gibson, Dunn &amp; Crutcher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left"/>
        <w:rPr>
          <w:rFonts w:ascii="Times New Roman" w:hAnsi="Times New Roman"/>
          <w:sz w:val="20"/>
        </w:rPr>
      </w:pPr>
      <w:r>
        <w:rPr>
          <w:rFonts w:ascii="Times New Roman" w:hAnsi="Times New Roman"/>
          <w:sz w:val="20"/>
        </w:rPr>
        <w:t xml:space="preserve">8.19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3"/>
        <w:gridCol w:w="74"/>
        <w:gridCol w:w="3565"/>
      </w:tblGrid>
      <w:tr>
        <w:trPr/>
        <w:tc>
          <w:tcPr>
            <w:tcW w:w="443"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SERAPHA: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SERAPHA BIO, INC.</w:t>
            </w:r>
          </w:p>
        </w:tc>
      </w:tr>
      <w:tr>
        <w:trPr>
          <w:trHeight w:val="240" w:hRule="atLeast"/>
        </w:trPr>
        <w:tc>
          <w:tcPr>
            <w:tcW w:w="443" w:type="dxa"/>
            <w:tcBorders/>
            <w:vAlign w:val="center"/>
          </w:tcPr>
          <w:p>
            <w:pPr>
              <w:pStyle w:val="TableContents"/>
              <w:bidi w:val="0"/>
              <w:spacing w:before="0" w:after="283"/>
              <w:jc w:val="left"/>
              <w:rPr>
                <w:sz w:val="4"/>
                <w:szCs w:val="4"/>
              </w:rPr>
            </w:pPr>
            <w:r>
              <w:rPr>
                <w:sz w:val="4"/>
                <w:szCs w:val="4"/>
              </w:rPr>
            </w:r>
          </w:p>
        </w:tc>
        <w:tc>
          <w:tcPr>
            <w:tcW w:w="3639" w:type="dxa"/>
            <w:gridSpan w:val="2"/>
            <w:tcBorders/>
            <w:vAlign w:val="center"/>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3565" w:type="dxa"/>
            <w:tcBorders>
              <w:bottom w:val="single" w:sz="2" w:space="0" w:color="000000"/>
            </w:tcBorders>
            <w:tcMar>
              <w:bottom w:w="28" w:type="dxa"/>
            </w:tcMar>
          </w:tcPr>
          <w:p>
            <w:pPr>
              <w:pStyle w:val="TableContents"/>
              <w:bidi w:val="0"/>
              <w:spacing w:before="0" w:after="283"/>
              <w:jc w:val="left"/>
              <w:rPr/>
            </w:pPr>
            <w:r>
              <w:rPr/>
              <w:t> </w:t>
            </w:r>
          </w:p>
        </w:tc>
      </w:tr>
      <w:tr>
        <w:trPr/>
        <w:tc>
          <w:tcPr>
            <w:tcW w:w="443"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565" w:type="dxa"/>
            <w:tcBorders/>
            <w:vAlign w:val="bottom"/>
          </w:tcPr>
          <w:p>
            <w:pPr>
              <w:pStyle w:val="TableContents"/>
              <w:bidi w:val="0"/>
              <w:spacing w:before="0" w:after="283"/>
              <w:jc w:val="left"/>
              <w:rPr/>
            </w:pPr>
            <w:r>
              <w:rPr/>
              <w:t xml:space="preserve">Name: </w:t>
            </w:r>
          </w:p>
        </w:tc>
      </w:tr>
      <w:tr>
        <w:trPr/>
        <w:tc>
          <w:tcPr>
            <w:tcW w:w="443"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565" w:type="dxa"/>
            <w:tcBorders/>
            <w:vAlign w:val="bottom"/>
          </w:tcPr>
          <w:p>
            <w:pPr>
              <w:pStyle w:val="TableContents"/>
              <w:bidi w:val="0"/>
              <w:spacing w:before="0" w:after="283"/>
              <w:jc w:val="left"/>
              <w:rPr/>
            </w:pPr>
            <w:r>
              <w:rPr/>
              <w:t xml:space="preserve">Title: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2807"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2807"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280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Beneficial Ownership Limitation: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2" w:name="tx108148_54"/>
      <w:bookmarkStart w:id="253" w:name="ii108148_51"/>
      <w:bookmarkEnd w:id="252"/>
      <w:bookmarkEnd w:id="253"/>
      <w:r>
        <w:rPr>
          <w:rFonts w:ascii="Times New Roman" w:hAnsi="Times New Roman"/>
          <w:b/>
          <w:sz w:val="20"/>
        </w:rPr>
        <w:t xml:space="preserve">Annex K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4" w:name="tx108148_55"/>
      <w:bookmarkStart w:id="255" w:name="ii108148_61"/>
      <w:bookmarkEnd w:id="254"/>
      <w:bookmarkEnd w:id="255"/>
      <w:r>
        <w:rPr>
          <w:rFonts w:ascii="Times New Roman" w:hAnsi="Times New Roman"/>
          <w:b/>
          <w:sz w:val="20"/>
        </w:rPr>
        <w:t xml:space="preserve">Annex 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Serapha are corporations under the DGCL. Section 145(a) of the DGCL provides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a director or officer (i) for any breach of the director’s or officer’s duty of loyalty to the corporation or its stockholders, (ii) for acts or omissions not in good faith or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 intentional misconduct or a knowing violation of law, (iii) in the case of a director, under Section 174 of the DGCL, (iv) for any transaction from which the director or officer derived an improper personal benefit, or (v) in the case of an officer, in any action by or in the right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contains provisions that eliminate, to the maximum extent permitted by the DGCL, the personal liability of directors and officers for monetary damages for breach of fiduciary duty as a director or officer. The Boundless Bio Charter provides that Boundless Bio shall have the power to provide rights to indemnification and advancement of expenses to its current and former officers, directors, employees and agents, and the Boundless Bio Bylaws provide that Boundless Bio shall indemnify its directors and officers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entered into indemnification agreements with its directors and executive officers, in addition to the indemnification provided for in the Boundless Bio Charter and the Boundless Bio Bylaws, and it intends to enter into indemnification agreements with any new directors and executive officers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maintains directors’ and officers’ liability insurance for the benefit of its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w:t>
      </w:r>
    </w:p>
    <w:p>
      <w:pPr>
        <w:pStyle w:val="TextBody"/>
        <w:bidi w:val="0"/>
        <w:spacing w:before="120" w:after="0"/>
        <w:jc w:val="left"/>
        <w:rPr>
          <w:rFonts w:ascii="Times New Roman" w:hAnsi="Times New Roman"/>
          <w:sz w:val="20"/>
        </w:rPr>
      </w:pPr>
      <w:r>
        <w:rPr>
          <w:rFonts w:ascii="Times New Roman" w:hAnsi="Times New Roman"/>
          <w:sz w:val="20"/>
        </w:rPr>
        <w:t xml:space="preserve">To the fullest extent permitted by law, a director or officer of Serapha shall not be personally liable to Serapha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Serapha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Serapha has entered into an indemnification agreement with each of its directors and officers and will purchase directors’ and officers’ liability insurance. The indemnification agreements require Serapha to indemnify its directors and officers to the fullest extent permitted under Delaware law. </w:t>
      </w:r>
    </w:p>
    <w:p>
      <w:pPr>
        <w:pStyle w:val="TextBody"/>
        <w:bidi w:val="0"/>
        <w:spacing w:before="24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240" w:after="0"/>
        <w:jc w:val="left"/>
        <w:rPr>
          <w:rFonts w:ascii="Times New Roman" w:hAnsi="Times New Roman"/>
          <w:sz w:val="20"/>
        </w:rPr>
      </w:pPr>
      <w:r>
        <w:rPr>
          <w:rFonts w:ascii="Times New Roman" w:hAnsi="Times New Roman"/>
          <w:sz w:val="20"/>
        </w:rPr>
        <w:t xml:space="preserve">(1) Exhibit Index </w:t>
      </w:r>
    </w:p>
    <w:p>
      <w:pPr>
        <w:pStyle w:val="TextBody"/>
        <w:bidi w:val="0"/>
        <w:spacing w:before="24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(2)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are incorporated herein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(a)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(c)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120" w:after="0"/>
        <w:jc w:val="left"/>
        <w:rPr>
          <w:rFonts w:ascii="Times New Roman" w:hAnsi="Times New Roman"/>
          <w:sz w:val="20"/>
        </w:rPr>
      </w:pPr>
      <w:r>
        <w:rPr>
          <w:rFonts w:ascii="Times New Roman" w:hAnsi="Times New Roman"/>
          <w:sz w:val="20"/>
        </w:rPr>
        <w:t xml:space="preserve">(e)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registrant hereby undertakes that, for purposes of determining any liability under the Securities Act, each filing of the registrant’s annual report pursuant to Section 13(a) or Section 15(d)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p>
    <w:p>
      <w:pPr>
        <w:pStyle w:val="TextBody"/>
        <w:bidi w:val="0"/>
        <w:spacing w:before="120" w:after="0"/>
        <w:jc w:val="left"/>
        <w:rPr>
          <w:rFonts w:ascii="Times New Roman" w:hAnsi="Times New Roman"/>
          <w:sz w:val="20"/>
        </w:rPr>
      </w:pPr>
      <w:r>
        <w:rPr>
          <w:rFonts w:ascii="Times New Roman" w:hAnsi="Times New Roman"/>
          <w:sz w:val="20"/>
        </w:rPr>
        <w:t xml:space="preserve">(i)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120" w:after="0"/>
        <w:jc w:val="left"/>
        <w:rPr>
          <w:rFonts w:ascii="Times New Roman" w:hAnsi="Times New Roman"/>
          <w:sz w:val="20"/>
        </w:rPr>
      </w:pPr>
      <w:r>
        <w:rPr>
          <w:rFonts w:ascii="Times New Roman" w:hAnsi="Times New Roman"/>
          <w:sz w:val="20"/>
        </w:rPr>
        <w:t xml:space="preserve">(ii) The registrant undertakes that every prospectus (i) that is filed pursuant to paragraph (3)(i)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(4)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(5) 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8"/>
        <w:gridCol w:w="604"/>
        <w:gridCol w:w="8633"/>
      </w:tblGrid>
      <w:tr>
        <w:trPr/>
        <w:tc>
          <w:tcPr>
            <w:tcW w:w="968" w:type="dxa"/>
            <w:tcBorders/>
            <w:vAlign w:val="center"/>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8633" w:type="dxa"/>
            <w:tcBorders/>
            <w:vAlign w:val="center"/>
          </w:tcPr>
          <w:p>
            <w:pPr>
              <w:pStyle w:val="TableContents"/>
              <w:bidi w:val="0"/>
              <w:spacing w:before="0" w:after="283"/>
              <w:jc w:val="left"/>
              <w:rPr>
                <w:sz w:val="4"/>
                <w:szCs w:val="4"/>
              </w:rPr>
            </w:pPr>
            <w:r>
              <w:rPr>
                <w:sz w:val="4"/>
                <w:szCs w:val="4"/>
              </w:rPr>
            </w:r>
          </w:p>
        </w:tc>
      </w:tr>
      <w:tr>
        <w:trPr/>
        <w:tc>
          <w:tcPr>
            <w:tcW w:w="9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604" w:type="dxa"/>
            <w:tcBorders/>
            <w:vAlign w:val="bottom"/>
          </w:tcPr>
          <w:p>
            <w:pPr>
              <w:pStyle w:val="TableContents"/>
              <w:bidi w:val="0"/>
              <w:spacing w:before="0" w:after="283"/>
              <w:jc w:val="left"/>
              <w:rPr/>
            </w:pPr>
            <w:r>
              <w:rPr/>
              <w:t> </w:t>
            </w:r>
          </w:p>
        </w:tc>
        <w:tc>
          <w:tcPr>
            <w:tcW w:w="863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tcPr>
          <w:p>
            <w:pPr>
              <w:pStyle w:val="TableContents"/>
              <w:bidi w:val="0"/>
              <w:spacing w:before="0" w:after="283"/>
              <w:jc w:val="left"/>
              <w:rPr/>
            </w:pPr>
            <w:r>
              <w:rPr/>
              <w:t>  </w:t>
            </w:r>
            <w:r>
              <w:rPr/>
              <w:t>2.1(a)*</w:t>
            </w:r>
          </w:p>
        </w:tc>
        <w:tc>
          <w:tcPr>
            <w:tcW w:w="604"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283"/>
              <w:jc w:val="left"/>
              <w:rPr/>
            </w:pPr>
            <w:hyperlink w:anchor="annexacov">
              <w:r>
                <w:rPr>
                  <w:rStyle w:val="InternetLink"/>
                </w:rPr>
                <w:t xml:space="preserve">Agreement and Plan of Merger and Reorganization, dated June  22, 2026, by and among Boundless Bio, Inc., Boulder Merger Sub Corp., and Serapha Bio, Inc. (included as </w:t>
              </w:r>
            </w:hyperlink>
            <w:hyperlink w:anchor="annexacov">
              <w:r>
                <w:rPr>
                  <w:rStyle w:val="InternetLink"/>
                  <w:i/>
                </w:rPr>
                <w:t>Annex A</w:t>
              </w:r>
            </w:hyperlink>
            <w:hyperlink w:anchor="annexacov">
              <w:r>
                <w:rPr>
                  <w:rStyle w:val="InternetLink"/>
                </w:rPr>
                <w:t xml:space="preserve"> to the accompanying proxy statement/prospectus and incorporated herein by reference). </w:t>
              </w:r>
            </w:hyperlink>
          </w:p>
        </w:tc>
      </w:tr>
      <w:tr>
        <w:trPr>
          <w:trHeight w:val="120" w:hRule="atLeast"/>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tcPr>
          <w:p>
            <w:pPr>
              <w:pStyle w:val="TableContents"/>
              <w:bidi w:val="0"/>
              <w:spacing w:before="0" w:after="283"/>
              <w:jc w:val="left"/>
              <w:rPr/>
            </w:pPr>
            <w:r>
              <w:rPr/>
              <w:t>  </w:t>
            </w:r>
            <w:r>
              <w:rPr/>
              <w:t>2.1(b)*</w:t>
            </w:r>
          </w:p>
        </w:tc>
        <w:tc>
          <w:tcPr>
            <w:tcW w:w="604"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283"/>
              <w:jc w:val="left"/>
              <w:rPr/>
            </w:pPr>
            <w:hyperlink w:anchor="annexacov">
              <w:r>
                <w:rPr>
                  <w:rStyle w:val="InternetLink"/>
                </w:rPr>
                <w:t xml:space="preserve">Amendment No. 1 to Agreement and Plan of Merger and Reorganization, dated as of August  28, 2026, by and among Boundless Bio, Inc., Boulder Merger Sub Corp., and Serapha Bio, Inc. (included as </w:t>
              </w:r>
            </w:hyperlink>
            <w:hyperlink w:anchor="annexacov">
              <w:r>
                <w:rPr>
                  <w:rStyle w:val="InternetLink"/>
                  <w:i/>
                </w:rPr>
                <w:t>Annex A</w:t>
              </w:r>
            </w:hyperlink>
            <w:hyperlink w:anchor="annexacov">
              <w:r>
                <w:rPr>
                  <w:rStyle w:val="InternetLink"/>
                </w:rPr>
                <w:t xml:space="preserve"> to the accompanying proxy statement/prospectus and incorporated herein by reference).</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13"/>
        <w:gridCol w:w="504"/>
        <w:gridCol w:w="8888"/>
      </w:tblGrid>
      <w:tr>
        <w:trPr/>
        <w:tc>
          <w:tcPr>
            <w:tcW w:w="813"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888" w:type="dxa"/>
            <w:tcBorders/>
            <w:vAlign w:val="center"/>
          </w:tcPr>
          <w:p>
            <w:pPr>
              <w:pStyle w:val="TableContents"/>
              <w:bidi w:val="0"/>
              <w:spacing w:before="0" w:after="283"/>
              <w:jc w:val="left"/>
              <w:rPr>
                <w:sz w:val="4"/>
                <w:szCs w:val="4"/>
              </w:rPr>
            </w:pPr>
            <w:r>
              <w:rPr>
                <w:sz w:val="4"/>
                <w:szCs w:val="4"/>
              </w:rPr>
            </w:r>
          </w:p>
        </w:tc>
      </w:tr>
      <w:tr>
        <w:trPr/>
        <w:tc>
          <w:tcPr>
            <w:tcW w:w="8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504" w:type="dxa"/>
            <w:tcBorders/>
            <w:vAlign w:val="bottom"/>
          </w:tcPr>
          <w:p>
            <w:pPr>
              <w:pStyle w:val="TableContents"/>
              <w:bidi w:val="0"/>
              <w:spacing w:before="0" w:after="283"/>
              <w:jc w:val="left"/>
              <w:rPr/>
            </w:pPr>
            <w:r>
              <w:rPr/>
              <w:t>  </w:t>
            </w:r>
          </w:p>
        </w:tc>
        <w:tc>
          <w:tcPr>
            <w:tcW w:w="888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3.1</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15">
              <w:r>
                <w:rPr>
                  <w:rStyle w:val="InternetLink"/>
                </w:rPr>
                <w:t xml:space="preserve">Amended and Restated Certificate of Incorporation of Boundless Bio, Inc. (incorporated by reference to Exhibit 3.1 to Boundless Bio, Inc.’s Current Report on Form 8-K (File No. 001-41989) filed with the SEC on April 2, 2024).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3.2</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16">
              <w:r>
                <w:rPr>
                  <w:rStyle w:val="InternetLink"/>
                </w:rPr>
                <w:t xml:space="preserve">Amended and Restated Bylaws of Boundless Bio, Inc. (incorporated by reference to Exhibit 3.2 to Boundless Bio, Inc.’s Current Report on Form 8-K (File No. 001-41989) filed with the SEC on April 2, 2024).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3.3*</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108148dex33.htm">
              <w:r>
                <w:rPr>
                  <w:rStyle w:val="InternetLink"/>
                </w:rPr>
                <w:t xml:space="preserve">Amended and Restated Certificate of Incorporation of Serapha Bio, Inc., as currently in effect.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3.4*</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108148dex34.htm">
              <w:r>
                <w:rPr>
                  <w:rStyle w:val="InternetLink"/>
                </w:rPr>
                <w:t>Bylaws of Serapha Bio, Inc., as currently in effect.</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4.1</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17">
              <w:r>
                <w:rPr>
                  <w:rStyle w:val="InternetLink"/>
                </w:rPr>
                <w:t xml:space="preserve">Specimen Stock Certificate Evidencing Shares of Common Stock of Boundless Bio, Inc. (incorporated by reference to Exhibit 4.1 to Boundless Bio, Inc.’s Registration Statement on Form S-1/A (File No. 333-277696) filed with the SEC on March 21, 2024).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4.2</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18">
              <w:r>
                <w:rPr>
                  <w:rStyle w:val="InternetLink"/>
                </w:rPr>
                <w:t xml:space="preserve">Amended and Restated Investor Rights Agreement, dated April  5, 2023, by and among Boundless Bio, Inc. and certain of its stockholders (incorporated by reference to Exhibit 4.2 to Boundless Bio, Inc.’s Registration Statement on Form S-1 (File No. 333-277696) filed with the SEC on March 6, 2024).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4.3*</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108148dex43.htm">
              <w:r>
                <w:rPr>
                  <w:rStyle w:val="InternetLink"/>
                </w:rPr>
                <w:t xml:space="preserve">Warrant to Purchase Shares, dated June 12, 2026, by and between Serapha Bio, Inc. and YolTech Therapeutics Co., Ltd.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4.4*</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108148dex44.htm">
              <w:r>
                <w:rPr>
                  <w:rStyle w:val="InternetLink"/>
                </w:rPr>
                <w:t xml:space="preserve">Form of Pre-Funded Warrant to Purchase Common Stock of Serapha Bio, Inc.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4.5</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19">
              <w:r>
                <w:rPr>
                  <w:rStyle w:val="InternetLink"/>
                </w:rPr>
                <w:t xml:space="preserve">Form of Registration Rights Agreement, dated June  22, 2026, by and among Serapha Bio, Inc. and certain investors (incorporated by reference to Exhibit 10.4 to Boundless Bio, Inc.’s Current Report on Form 8-K (File No. 001-41989) filed with the SEC on June 23, 2026).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4.6*</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108148dex46.htm">
              <w:r>
                <w:rPr>
                  <w:rStyle w:val="InternetLink"/>
                </w:rPr>
                <w:t xml:space="preserve">Investors’ Rights Agreement, dated June 22, 2026, by and among Serapha Bio, Inc. and certain parties thereto.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5.1**</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r>
              <w:rPr/>
              <w:t>Opinion of Latham &amp; Watkins LLP, counsel of Boundless Bio, Inc.</w:t>
            </w:r>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10.1*</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ii108148_11a">
              <w:r>
                <w:rPr>
                  <w:rStyle w:val="InternetLink"/>
                </w:rPr>
                <w:t xml:space="preserve">Form of Boundless Bio Support Agreement (included as </w:t>
              </w:r>
            </w:hyperlink>
            <w:hyperlink w:anchor="ii108148_11a">
              <w:r>
                <w:rPr>
                  <w:rStyle w:val="InternetLink"/>
                  <w:i/>
                </w:rPr>
                <w:t>Annex G</w:t>
              </w:r>
            </w:hyperlink>
            <w:hyperlink w:anchor="ii108148_11a">
              <w:r>
                <w:rPr>
                  <w:rStyle w:val="InternetLink"/>
                </w:rPr>
                <w:t xml:space="preserve"> to the accompanying proxy statement/prospectus and incorporated herein by reference).</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10.2*</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ii108148_21">
              <w:r>
                <w:rPr>
                  <w:rStyle w:val="InternetLink"/>
                </w:rPr>
                <w:t xml:space="preserve">Form of Serapha Support Agreement (included as </w:t>
              </w:r>
            </w:hyperlink>
            <w:hyperlink w:anchor="ii108148_21">
              <w:r>
                <w:rPr>
                  <w:rStyle w:val="InternetLink"/>
                  <w:i/>
                </w:rPr>
                <w:t>Annex H</w:t>
              </w:r>
            </w:hyperlink>
            <w:hyperlink w:anchor="ii108148_21">
              <w:r>
                <w:rPr>
                  <w:rStyle w:val="InternetLink"/>
                </w:rPr>
                <w:t xml:space="preserve"> to the accompanying proxy statement/prospectus and incorporated herein by reference).</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10.3*</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ii108148_31">
              <w:r>
                <w:rPr>
                  <w:rStyle w:val="InternetLink"/>
                </w:rPr>
                <w:t xml:space="preserve">Form of Lock-Up Agreement (included as </w:t>
              </w:r>
            </w:hyperlink>
            <w:hyperlink w:anchor="ii108148_31">
              <w:r>
                <w:rPr>
                  <w:rStyle w:val="InternetLink"/>
                  <w:i/>
                </w:rPr>
                <w:t>Annex I</w:t>
              </w:r>
            </w:hyperlink>
            <w:hyperlink w:anchor="ii108148_31">
              <w:r>
                <w:rPr>
                  <w:rStyle w:val="InternetLink"/>
                </w:rPr>
                <w:t xml:space="preserve"> to the accompanying proxy statement/prospectus and incorporated herein by reference).</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10.4*</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ii108148_41">
              <w:r>
                <w:rPr>
                  <w:rStyle w:val="InternetLink"/>
                </w:rPr>
                <w:t xml:space="preserve">Form of Securities Purchase Agreement (included as </w:t>
              </w:r>
            </w:hyperlink>
            <w:hyperlink w:anchor="ii108148_41">
              <w:r>
                <w:rPr>
                  <w:rStyle w:val="InternetLink"/>
                  <w:i/>
                </w:rPr>
                <w:t>Annex J</w:t>
              </w:r>
            </w:hyperlink>
            <w:hyperlink w:anchor="ii108148_41">
              <w:r>
                <w:rPr>
                  <w:rStyle w:val="InternetLink"/>
                </w:rPr>
                <w:t xml:space="preserve"> to the accompanying proxy statement/prospectus and incorporated herein by reference).</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10.5*</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108148dex105.htm">
              <w:r>
                <w:rPr>
                  <w:rStyle w:val="InternetLink"/>
                </w:rPr>
                <w:t xml:space="preserve">Exclusive License Agreement, dated June 12, 2026, by and between Serapha Bio, Inc. and YolTech Therapeutics Co., Ltd.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10.6#</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20">
              <w:r>
                <w:rPr>
                  <w:rStyle w:val="InternetLink"/>
                </w:rPr>
                <w:t xml:space="preserve">Boundless Bio, Inc. 2018 Equity Incentive Plan, as amended, and form of stock option agreement and form of restricted stock agreement thereunder (incorporated by reference to Exhibit 10.1 to Boundless Bio, Inc.’s Registration Statement on Form S-1 (File No. 333-277696) filed with the SEC on March 6, 2024). </w:t>
              </w:r>
            </w:hyperlink>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9392"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283"/>
              <w:jc w:val="left"/>
              <w:rPr/>
            </w:pPr>
            <w:r>
              <w:rPr/>
              <w:t> </w:t>
            </w:r>
            <w:r>
              <w:rPr/>
              <w:t>10.7#</w:t>
            </w:r>
          </w:p>
        </w:tc>
        <w:tc>
          <w:tcPr>
            <w:tcW w:w="504"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21">
              <w:r>
                <w:rPr>
                  <w:rStyle w:val="InternetLink"/>
                </w:rPr>
                <w:t>Boundless Bio, Inc. 2024 Incentive Award Plan and form of stock option agreement and form of restricted stock unit agreement thereunder (incorporated by reference to Exhibit 10.2 to Boundless Bio, Inc.’s Registration Statement on Form S-1/A (File No. 333-277696) filed with the SEC on March 21,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072"/>
        <w:gridCol w:w="504"/>
        <w:gridCol w:w="8629"/>
      </w:tblGrid>
      <w:tr>
        <w:trPr/>
        <w:tc>
          <w:tcPr>
            <w:tcW w:w="1072"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629" w:type="dxa"/>
            <w:tcBorders/>
            <w:vAlign w:val="center"/>
          </w:tcPr>
          <w:p>
            <w:pPr>
              <w:pStyle w:val="TableContents"/>
              <w:bidi w:val="0"/>
              <w:spacing w:before="0" w:after="283"/>
              <w:jc w:val="left"/>
              <w:rPr>
                <w:sz w:val="4"/>
                <w:szCs w:val="4"/>
              </w:rPr>
            </w:pPr>
            <w:r>
              <w:rPr>
                <w:sz w:val="4"/>
                <w:szCs w:val="4"/>
              </w:rPr>
            </w:r>
          </w:p>
        </w:tc>
      </w:tr>
      <w:tr>
        <w:trPr/>
        <w:tc>
          <w:tcPr>
            <w:tcW w:w="10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504" w:type="dxa"/>
            <w:tcBorders/>
            <w:vAlign w:val="bottom"/>
          </w:tcPr>
          <w:p>
            <w:pPr>
              <w:pStyle w:val="TableContents"/>
              <w:bidi w:val="0"/>
              <w:spacing w:before="0" w:after="283"/>
              <w:jc w:val="left"/>
              <w:rPr/>
            </w:pPr>
            <w:r>
              <w:rPr/>
              <w:t>  </w:t>
            </w:r>
          </w:p>
        </w:tc>
        <w:tc>
          <w:tcPr>
            <w:tcW w:w="862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10.8#</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2">
              <w:r>
                <w:rPr>
                  <w:rStyle w:val="InternetLink"/>
                </w:rPr>
                <w:t xml:space="preserve">Boundless Bio, Inc. 2024 Employee Stock Purchase Plan (incorporated by reference to Exhibit  10.3 to Boundless Bio, Inc.’s Registration Statement on Form S-1/A (File No. 333-277696) filed with the SEC on March 21, 2024).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10.9#</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3">
              <w:r>
                <w:rPr>
                  <w:rStyle w:val="InternetLink"/>
                </w:rPr>
                <w:t xml:space="preserve">Boundless Bio, Inc. Non-Employee Director Compensation Program (as amended and restated effective March 6, 2026) (incorporated by reference to Exhibit 10.1 to Boundless Bio, Inc.’s Quarterly Report on Form 10-Q (File No. 001-41989) filed with the SEC on May 8, 2026).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10.10#</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4">
              <w:r>
                <w:rPr>
                  <w:rStyle w:val="InternetLink"/>
                </w:rPr>
                <w:t xml:space="preserve">Severance Agreement and Release of All Claims, dated July  1, 2026, between Boundless Bio, Inc. and Zachary Hornby (incorporated by reference to Exhibit 10.[5] to Boundless Bio, Inc.’s Quarterly Report on Form 10-Q (File No.  001-41989) filed with the SEC on August [7], 2026).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10.11#</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5">
              <w:r>
                <w:rPr>
                  <w:rStyle w:val="InternetLink"/>
                </w:rPr>
                <w:t xml:space="preserve">Severance Agreement and Release of All Claims, dated July  1, 2026, between Boundless Bio, Inc. and Robert Doebele, M.D., Ph.D. (incorporated by reference to Exhibit 10.[6] to Boundless Bio, Inc.’s Quarterly Report on Form 10-Q (File No. 001-41989) filed with the SEC on August [7], 2026).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10.12#</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6">
              <w:r>
                <w:rPr>
                  <w:rStyle w:val="InternetLink"/>
                </w:rPr>
                <w:t xml:space="preserve">Severance Agreement and Release of All Claims, dated July  2, 2026, between Boundless Bio, Inc. and Christian Hassig, Ph.D. (incorporated by reference to Exhibit 10.[7] to Boundless Bio, Inc.’s Quarterly Report on Form 10-Q (File No. 001-41989) filed with the SEC on August [7], 2026).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10.13#</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7">
              <w:r>
                <w:rPr>
                  <w:rStyle w:val="InternetLink"/>
                </w:rPr>
                <w:t xml:space="preserve">Amended and Restated Employment Offer Letter Agreement, dated June  23, 2026, between Boundless Bio, Inc. and Jessica Oien (incorporated by reference to Exhibit 10.[8] to Boundless Bio, Inc.’s Quarterly Report on Form 10-Q (File No.  001-41989) filed with the SEC on August [7], 2026).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10.14#</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8">
              <w:r>
                <w:rPr>
                  <w:rStyle w:val="InternetLink"/>
                </w:rPr>
                <w:t xml:space="preserve">Amended and Restated Employment Offer Letter Agreement, dated June  23, 2026, between Boundless Bio, Inc. and David Hinkle (incorporated by reference to Exhibit 10.[9] to Boundless Bio, Inc.’s Quarterly Report on Form 10-Q (File No.  001-41989) filed with the SEC on August [7], 2026).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10.15#</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29">
              <w:r>
                <w:rPr>
                  <w:rStyle w:val="InternetLink"/>
                </w:rPr>
                <w:t xml:space="preserve">Boundless Bio, Inc. Severance and Change in Control Severance Plan (incorporated by reference to Exhibit 10.17 to Boundless Bio, Inc.’s Registration Statement on Form S-1 (File No. 333-277696) filed with the SEC on March 6, 2024).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10.16#</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30">
              <w:r>
                <w:rPr>
                  <w:rStyle w:val="InternetLink"/>
                </w:rPr>
                <w:t xml:space="preserve">Boundless Bio, Inc. Corporate Bonus Plan (incorporated by reference to Exhibit 10.18 to Boundless Bio, Inc.’s Registration Statement on Form S-1 (File No. 333-277696) filed with the SEC on March 6, 2024).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10.17#</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31">
              <w:r>
                <w:rPr>
                  <w:rStyle w:val="InternetLink"/>
                </w:rPr>
                <w:t xml:space="preserve">Form of Indemnification Agreement for Directors and Officers of Boundless Bio, Inc. (incorporated by reference to Exhibit 10.19 to Boundless Bio, Inc.’s Registration Statement on Form S-1/A (File No. 333-277696) filed with the SEC on March 21, 2024).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10.18</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r:id="rId32">
              <w:r>
                <w:rPr>
                  <w:rStyle w:val="InternetLink"/>
                </w:rPr>
                <w:t xml:space="preserve">Agreement for Termination of Lease and Voluntary Surrender of Premises, dated April  13, 2026, between ARE-10933 North Torrey Pines, LLC and Boundless Bio, Inc. (incorporated by reference to Exhibit 10.2 to Boundless Bio, Inc.’s Quarterly Report on Form 10-Q (File No. 001-41989) filed with the SEC on May 8, 2026). </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10.19#*</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w:anchor="d108148dex1019.htm">
              <w:r>
                <w:rPr>
                  <w:rStyle w:val="InternetLink"/>
                </w:rPr>
                <w:t>Serapha Bio, Inc. 2026 Equity Incentive Plan.</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10.20#**</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w:anchor="ii108148_51">
              <w:r>
                <w:rPr>
                  <w:rStyle w:val="InternetLink"/>
                </w:rPr>
                <w:t xml:space="preserve">Serapha Bio, Inc. 2026 Stock Incentive Plan (included as </w:t>
              </w:r>
            </w:hyperlink>
            <w:hyperlink w:anchor="ii108148_51">
              <w:r>
                <w:rPr>
                  <w:rStyle w:val="InternetLink"/>
                  <w:i/>
                </w:rPr>
                <w:t>Annex K</w:t>
              </w:r>
            </w:hyperlink>
            <w:hyperlink w:anchor="ii108148_51">
              <w:r>
                <w:rPr>
                  <w:rStyle w:val="InternetLink"/>
                </w:rPr>
                <w:t xml:space="preserve"> to the accompanying proxy statement/prospectus and incorporated herein by reference).</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10.21#**</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w:anchor="ii108148_61">
              <w:r>
                <w:rPr>
                  <w:rStyle w:val="InternetLink"/>
                </w:rPr>
                <w:t xml:space="preserve">Serapha Bio, Inc. 2026 Employee Stock Purchase Plan (included as </w:t>
              </w:r>
            </w:hyperlink>
            <w:hyperlink w:anchor="ii108148_61">
              <w:r>
                <w:rPr>
                  <w:rStyle w:val="InternetLink"/>
                  <w:i/>
                </w:rPr>
                <w:t>Annex L</w:t>
              </w:r>
            </w:hyperlink>
            <w:hyperlink w:anchor="ii108148_61">
              <w:r>
                <w:rPr>
                  <w:rStyle w:val="InternetLink"/>
                </w:rPr>
                <w:t xml:space="preserve"> to the accompanying proxy statement/prospectus and incorporated herein by reference).</w:t>
              </w:r>
            </w:hyperlink>
          </w:p>
        </w:tc>
      </w:tr>
      <w:tr>
        <w:trPr>
          <w:trHeight w:val="120" w:hRule="atLeast"/>
        </w:trPr>
        <w:tc>
          <w:tcPr>
            <w:tcW w:w="1072" w:type="dxa"/>
            <w:tcBorders/>
            <w:vAlign w:val="center"/>
          </w:tcPr>
          <w:p>
            <w:pPr>
              <w:pStyle w:val="TableContents"/>
              <w:bidi w:val="0"/>
              <w:spacing w:before="0" w:after="283"/>
              <w:jc w:val="left"/>
              <w:rPr>
                <w:sz w:val="4"/>
                <w:szCs w:val="4"/>
              </w:rPr>
            </w:pPr>
            <w:r>
              <w:rPr>
                <w:sz w:val="4"/>
                <w:szCs w:val="4"/>
              </w:rPr>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 </w:t>
            </w:r>
            <w:r>
              <w:rPr/>
              <w:t>10.22#*</w:t>
            </w:r>
          </w:p>
        </w:tc>
        <w:tc>
          <w:tcPr>
            <w:tcW w:w="504" w:type="dxa"/>
            <w:tcBorders/>
            <w:vAlign w:val="bottom"/>
          </w:tcPr>
          <w:p>
            <w:pPr>
              <w:pStyle w:val="TableContents"/>
              <w:bidi w:val="0"/>
              <w:spacing w:before="0" w:after="283"/>
              <w:jc w:val="left"/>
              <w:rPr/>
            </w:pPr>
            <w:r>
              <w:rPr/>
              <w:t>  </w:t>
            </w:r>
          </w:p>
        </w:tc>
        <w:tc>
          <w:tcPr>
            <w:tcW w:w="8629" w:type="dxa"/>
            <w:tcBorders/>
          </w:tcPr>
          <w:p>
            <w:pPr>
              <w:pStyle w:val="TableContents"/>
              <w:bidi w:val="0"/>
              <w:spacing w:before="0" w:after="283"/>
              <w:jc w:val="left"/>
              <w:rPr/>
            </w:pPr>
            <w:hyperlink w:anchor="d108148dex1022.htm">
              <w:r>
                <w:rPr>
                  <w:rStyle w:val="InternetLink"/>
                </w:rPr>
                <w:t>Form of Indemnification Agreement between Serapha Bio, Inc. and its directors and officers.</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9"/>
        <w:gridCol w:w="502"/>
        <w:gridCol w:w="8754"/>
      </w:tblGrid>
      <w:tr>
        <w:trPr/>
        <w:tc>
          <w:tcPr>
            <w:tcW w:w="949"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8754" w:type="dxa"/>
            <w:tcBorders/>
            <w:vAlign w:val="center"/>
          </w:tcPr>
          <w:p>
            <w:pPr>
              <w:pStyle w:val="TableContents"/>
              <w:bidi w:val="0"/>
              <w:spacing w:before="0" w:after="283"/>
              <w:jc w:val="left"/>
              <w:rPr>
                <w:sz w:val="4"/>
                <w:szCs w:val="4"/>
              </w:rPr>
            </w:pPr>
            <w:r>
              <w:rPr>
                <w:sz w:val="4"/>
                <w:szCs w:val="4"/>
              </w:rPr>
            </w:r>
          </w:p>
        </w:tc>
      </w:tr>
      <w:tr>
        <w:trPr/>
        <w:tc>
          <w:tcPr>
            <w:tcW w:w="9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502" w:type="dxa"/>
            <w:tcBorders/>
            <w:vAlign w:val="bottom"/>
          </w:tcPr>
          <w:p>
            <w:pPr>
              <w:pStyle w:val="TableContents"/>
              <w:bidi w:val="0"/>
              <w:spacing w:before="0" w:after="283"/>
              <w:jc w:val="left"/>
              <w:rPr/>
            </w:pPr>
            <w:r>
              <w:rPr/>
              <w:t>  </w:t>
            </w:r>
          </w:p>
        </w:tc>
        <w:tc>
          <w:tcPr>
            <w:tcW w:w="87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10.23#*</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hyperlink w:anchor="d108148dex1023.htm">
              <w:r>
                <w:rPr>
                  <w:rStyle w:val="InternetLink"/>
                </w:rPr>
                <w:t>Offer Letter, dated June 15, 2026, between Serapha Bio, Inc. and Kenneth Mills.</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23.1**</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Consent of KPMG LLP, independent registered public accounting firm of Boundless Bio, Inc.</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23.2**</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Consent of KPMG LLP, independent auditors of Serapha Bio, Inc.</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23.3*</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hyperlink w:anchor="d108148dex233.htm">
              <w:r>
                <w:rPr>
                  <w:rStyle w:val="InternetLink"/>
                </w:rPr>
                <w:t>Consent of Lucid Capital Markets LLC</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23.4**</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Consent of Latham &amp; Watkins LLP (included in Exhibit 5.1)</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24.1**</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hyperlink w:anchor="poa">
              <w:r>
                <w:rPr>
                  <w:rStyle w:val="InternetLink"/>
                </w:rPr>
                <w:t xml:space="preserve">Power of Attorney (included on the signature page of the Registration Statement)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99.1*</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hyperlink w:anchor="annexd">
              <w:r>
                <w:rPr>
                  <w:rStyle w:val="InternetLink"/>
                </w:rPr>
                <w:t xml:space="preserve">Form of Proxy Card of Boundless Bio, Inc. (included as </w:t>
              </w:r>
            </w:hyperlink>
            <w:hyperlink w:anchor="annexd">
              <w:r>
                <w:rPr>
                  <w:rStyle w:val="InternetLink"/>
                  <w:i/>
                </w:rPr>
                <w:t>Annex D</w:t>
              </w:r>
            </w:hyperlink>
            <w:hyperlink w:anchor="annexd">
              <w:r>
                <w:rPr>
                  <w:rStyle w:val="InternetLink"/>
                </w:rPr>
                <w:t xml:space="preserve"> to the accompanying proxy statement/prospectus and incorporated herein by reference).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99.2*</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hyperlink w:anchor="d108148dex992.htm">
              <w:r>
                <w:rPr>
                  <w:rStyle w:val="InternetLink"/>
                </w:rPr>
                <w:t>Consent of Kenneth Mills to serve as a director of Boundless Bio, Inc. to be renamed Serapha Bio, Inc.</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101.INS</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Inline XBRL Instance Document – the instance document does not appear in the Interactive Data File because XBRL tags are embedded within the Inline XBRL document.</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101.SCH</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Inline XBRL Taxonomy Extension Schema Document</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101.CAL</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Inline XBRL Taxonomy Extension Calculation Linkbase Document</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101.DEF</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Inline XBRL Taxonomy Extension Definition Linkbase Document</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101.LAB</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Inline XBRL Taxonomy Extension Label Linkbase Document</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101.PRE</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Inline XBRL Taxonomy Presentation Linkbase Document</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104</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Cover Page Interactive Data File. Formatted in Inline XBRL and contained in exhibit 101.</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107**</w:t>
            </w:r>
          </w:p>
        </w:tc>
        <w:tc>
          <w:tcPr>
            <w:tcW w:w="502" w:type="dxa"/>
            <w:tcBorders/>
            <w:vAlign w:val="bottom"/>
          </w:tcPr>
          <w:p>
            <w:pPr>
              <w:pStyle w:val="TableContents"/>
              <w:bidi w:val="0"/>
              <w:spacing w:before="0" w:after="283"/>
              <w:jc w:val="left"/>
              <w:rPr/>
            </w:pPr>
            <w:r>
              <w:rPr/>
              <w:t>  </w:t>
            </w:r>
          </w:p>
        </w:tc>
        <w:tc>
          <w:tcPr>
            <w:tcW w:w="8754" w:type="dxa"/>
            <w:tcBorders/>
          </w:tcPr>
          <w:p>
            <w:pPr>
              <w:pStyle w:val="TableContents"/>
              <w:bidi w:val="0"/>
              <w:spacing w:before="0" w:after="283"/>
              <w:jc w:val="left"/>
              <w:rPr/>
            </w:pPr>
            <w:r>
              <w:rPr/>
              <w:t>Filing Fee Table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Annexes, schedules, and/or exhibits have been omitted pursuant to Item 601(a)(5) of Regulation S-K. Boundless Bio will furnish supplementally a copy of any omitted annex, schedule or exhibit to the SEC upon request. </w:t>
            </w:r>
          </w:p>
        </w:tc>
      </w:tr>
    </w:tbl>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omitted pursuant to Item 601(b) of Regulation S-K because the omitted information is (i) not material and (ii) treated by the Registrant as private or confidential.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6" w:name="poa"/>
      <w:bookmarkEnd w:id="25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City of San Diego, State of California, on the    day of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BOUNDLESS BIO,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0"/>
              <w:jc w:val="left"/>
              <w:rPr/>
            </w:pPr>
            <w:r>
              <w:rPr/>
              <w:t> </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Jessica Oien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President, Chief Legal Officer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Jessica Oien and David Hinkle, and each or any one of them, as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on behalf of the Registrant and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2"/>
        <w:gridCol w:w="122"/>
        <w:gridCol w:w="3523"/>
        <w:gridCol w:w="200"/>
        <w:gridCol w:w="1928"/>
      </w:tblGrid>
      <w:tr>
        <w:trPr/>
        <w:tc>
          <w:tcPr>
            <w:tcW w:w="443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44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35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0" w:type="dxa"/>
            <w:tcBorders/>
            <w:vAlign w:val="bottom"/>
          </w:tcPr>
          <w:p>
            <w:pPr>
              <w:pStyle w:val="TableContents"/>
              <w:bidi w:val="0"/>
              <w:spacing w:before="0" w:after="283"/>
              <w:jc w:val="left"/>
              <w:rPr/>
            </w:pPr>
            <w:r>
              <w:rPr/>
              <w:t> </w:t>
            </w:r>
          </w:p>
        </w:tc>
        <w:tc>
          <w:tcPr>
            <w:tcW w:w="19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32" w:type="dxa"/>
            <w:tcBorders/>
            <w:vAlign w:val="center"/>
          </w:tcPr>
          <w:p>
            <w:pPr>
              <w:pStyle w:val="TableContents"/>
              <w:bidi w:val="0"/>
              <w:spacing w:before="0" w:after="283"/>
              <w:jc w:val="left"/>
              <w:rPr>
                <w:sz w:val="4"/>
                <w:szCs w:val="4"/>
              </w:rPr>
            </w:pPr>
            <w:r>
              <w:rPr>
                <w:sz w:val="4"/>
                <w:szCs w:val="4"/>
              </w:rPr>
            </w:r>
          </w:p>
        </w:tc>
        <w:tc>
          <w:tcPr>
            <w:tcW w:w="3645" w:type="dxa"/>
            <w:gridSpan w:val="2"/>
            <w:tcBorders/>
            <w:vAlign w:val="center"/>
          </w:tcPr>
          <w:p>
            <w:pPr>
              <w:pStyle w:val="TableContents"/>
              <w:bidi w:val="0"/>
              <w:spacing w:before="0" w:after="283"/>
              <w:jc w:val="left"/>
              <w:rPr>
                <w:sz w:val="4"/>
                <w:szCs w:val="4"/>
              </w:rPr>
            </w:pPr>
            <w:r>
              <w:rPr>
                <w:sz w:val="4"/>
                <w:szCs w:val="4"/>
              </w:rPr>
            </w:r>
          </w:p>
        </w:tc>
        <w:tc>
          <w:tcPr>
            <w:tcW w:w="2128" w:type="dxa"/>
            <w:gridSpan w:val="2"/>
            <w:tcBorders/>
            <w:vAlign w:val="center"/>
          </w:tcPr>
          <w:p>
            <w:pPr>
              <w:pStyle w:val="TableContents"/>
              <w:bidi w:val="0"/>
              <w:spacing w:before="0" w:after="283"/>
              <w:jc w:val="left"/>
              <w:rPr>
                <w:sz w:val="4"/>
                <w:szCs w:val="4"/>
              </w:rPr>
            </w:pPr>
            <w:r>
              <w:rPr>
                <w:sz w:val="4"/>
                <w:szCs w:val="4"/>
              </w:rPr>
            </w:r>
          </w:p>
        </w:tc>
      </w:tr>
      <w:tr>
        <w:trPr/>
        <w:tc>
          <w:tcPr>
            <w:tcW w:w="443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Jessica Oien</w:t>
            </w:r>
          </w:p>
        </w:tc>
        <w:tc>
          <w:tcPr>
            <w:tcW w:w="122"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Legal Officer and Corporate Secretary</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200" w:type="dxa"/>
            <w:tcBorders/>
            <w:vAlign w:val="bottom"/>
          </w:tcPr>
          <w:p>
            <w:pPr>
              <w:pStyle w:val="TableContents"/>
              <w:bidi w:val="0"/>
              <w:spacing w:before="0" w:after="283"/>
              <w:jc w:val="left"/>
              <w:rPr/>
            </w:pPr>
            <w:r>
              <w:rPr/>
              <w:t> </w:t>
            </w:r>
          </w:p>
        </w:tc>
        <w:tc>
          <w:tcPr>
            <w:tcW w:w="1928" w:type="dxa"/>
            <w:tcBorders/>
          </w:tcPr>
          <w:p>
            <w:pPr>
              <w:pStyle w:val="TableContents"/>
              <w:bidi w:val="0"/>
              <w:spacing w:before="0" w:after="283"/>
              <w:jc w:val="center"/>
              <w:rPr/>
            </w:pPr>
            <w:r>
              <w:rPr/>
              <w:t xml:space="preserve">    </w:t>
            </w:r>
            <w:r>
              <w:rPr/>
              <w:t>, 2026</w:t>
            </w:r>
          </w:p>
        </w:tc>
      </w:tr>
      <w:tr>
        <w:trPr>
          <w:trHeight w:val="240" w:hRule="atLeast"/>
        </w:trPr>
        <w:tc>
          <w:tcPr>
            <w:tcW w:w="4432" w:type="dxa"/>
            <w:tcBorders/>
            <w:vAlign w:val="center"/>
          </w:tcPr>
          <w:p>
            <w:pPr>
              <w:pStyle w:val="TableContents"/>
              <w:bidi w:val="0"/>
              <w:spacing w:before="0" w:after="283"/>
              <w:jc w:val="left"/>
              <w:rPr>
                <w:sz w:val="4"/>
                <w:szCs w:val="4"/>
              </w:rPr>
            </w:pPr>
            <w:r>
              <w:rPr>
                <w:sz w:val="4"/>
                <w:szCs w:val="4"/>
              </w:rPr>
            </w:r>
          </w:p>
        </w:tc>
        <w:tc>
          <w:tcPr>
            <w:tcW w:w="3645" w:type="dxa"/>
            <w:gridSpan w:val="2"/>
            <w:tcBorders/>
            <w:vAlign w:val="center"/>
          </w:tcPr>
          <w:p>
            <w:pPr>
              <w:pStyle w:val="TableContents"/>
              <w:bidi w:val="0"/>
              <w:spacing w:before="0" w:after="283"/>
              <w:jc w:val="left"/>
              <w:rPr>
                <w:sz w:val="4"/>
                <w:szCs w:val="4"/>
              </w:rPr>
            </w:pPr>
            <w:r>
              <w:rPr>
                <w:sz w:val="4"/>
                <w:szCs w:val="4"/>
              </w:rPr>
            </w:r>
          </w:p>
        </w:tc>
        <w:tc>
          <w:tcPr>
            <w:tcW w:w="2128" w:type="dxa"/>
            <w:gridSpan w:val="2"/>
            <w:tcBorders/>
            <w:vAlign w:val="center"/>
          </w:tcPr>
          <w:p>
            <w:pPr>
              <w:pStyle w:val="TableContents"/>
              <w:bidi w:val="0"/>
              <w:spacing w:before="0" w:after="283"/>
              <w:jc w:val="left"/>
              <w:rPr>
                <w:sz w:val="4"/>
                <w:szCs w:val="4"/>
              </w:rPr>
            </w:pPr>
            <w:r>
              <w:rPr>
                <w:sz w:val="4"/>
                <w:szCs w:val="4"/>
              </w:rPr>
            </w:r>
          </w:p>
        </w:tc>
      </w:tr>
      <w:tr>
        <w:trPr/>
        <w:tc>
          <w:tcPr>
            <w:tcW w:w="443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David Hinkle</w:t>
            </w:r>
          </w:p>
        </w:tc>
        <w:tc>
          <w:tcPr>
            <w:tcW w:w="122"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Finance, Controller and Treasurer (</w:t>
            </w:r>
            <w:r>
              <w:rPr>
                <w:rFonts w:ascii="Times New Roman" w:hAnsi="Times New Roman"/>
                <w:i/>
                <w:sz w:val="20"/>
              </w:rPr>
              <w:t>Principal Financial Officer and</w:t>
            </w:r>
          </w:p>
        </w:tc>
        <w:tc>
          <w:tcPr>
            <w:tcW w:w="200" w:type="dxa"/>
            <w:tcBorders/>
            <w:vAlign w:val="bottom"/>
          </w:tcPr>
          <w:p>
            <w:pPr>
              <w:pStyle w:val="TableContents"/>
              <w:bidi w:val="0"/>
              <w:spacing w:before="0" w:after="283"/>
              <w:jc w:val="left"/>
              <w:rPr/>
            </w:pPr>
            <w:r>
              <w:rPr/>
              <w:t> </w:t>
            </w:r>
          </w:p>
        </w:tc>
        <w:tc>
          <w:tcPr>
            <w:tcW w:w="1928" w:type="dxa"/>
            <w:tcBorders/>
          </w:tcPr>
          <w:p>
            <w:pPr>
              <w:pStyle w:val="TableContents"/>
              <w:bidi w:val="0"/>
              <w:spacing w:before="0" w:after="283"/>
              <w:jc w:val="center"/>
              <w:rPr/>
            </w:pPr>
            <w:r>
              <w:rPr/>
              <w:t xml:space="preserve">    </w:t>
            </w:r>
            <w:r>
              <w:rPr/>
              <w:t>, 2026</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23" w:type="dxa"/>
            <w:tcBorders/>
            <w:vAlign w:val="bottom"/>
          </w:tcPr>
          <w:p>
            <w:pPr>
              <w:pStyle w:val="TableContents"/>
              <w:bidi w:val="0"/>
              <w:spacing w:before="0" w:after="283"/>
              <w:jc w:val="center"/>
              <w:rPr/>
            </w:pPr>
            <w:r>
              <w:rPr>
                <w:i/>
              </w:rPr>
              <w:t>Principal Accounting Officer</w:t>
            </w:r>
            <w:r>
              <w:rPr/>
              <w:t>)</w:t>
            </w:r>
          </w:p>
        </w:tc>
        <w:tc>
          <w:tcPr>
            <w:tcW w:w="200" w:type="dxa"/>
            <w:tcBorders/>
            <w:vAlign w:val="bottom"/>
          </w:tcPr>
          <w:p>
            <w:pPr>
              <w:pStyle w:val="TableContents"/>
              <w:bidi w:val="0"/>
              <w:spacing w:before="0" w:after="283"/>
              <w:jc w:val="left"/>
              <w:rPr/>
            </w:pPr>
            <w:r>
              <w:rPr/>
              <w:t> </w:t>
            </w:r>
          </w:p>
        </w:tc>
        <w:tc>
          <w:tcPr>
            <w:tcW w:w="1928"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32" w:type="dxa"/>
            <w:tcBorders/>
            <w:vAlign w:val="center"/>
          </w:tcPr>
          <w:p>
            <w:pPr>
              <w:pStyle w:val="TableContents"/>
              <w:bidi w:val="0"/>
              <w:spacing w:before="0" w:after="283"/>
              <w:jc w:val="left"/>
              <w:rPr>
                <w:sz w:val="4"/>
                <w:szCs w:val="4"/>
              </w:rPr>
            </w:pPr>
            <w:r>
              <w:rPr>
                <w:sz w:val="4"/>
                <w:szCs w:val="4"/>
              </w:rPr>
            </w:r>
          </w:p>
        </w:tc>
        <w:tc>
          <w:tcPr>
            <w:tcW w:w="3645" w:type="dxa"/>
            <w:gridSpan w:val="2"/>
            <w:tcBorders/>
            <w:vAlign w:val="center"/>
          </w:tcPr>
          <w:p>
            <w:pPr>
              <w:pStyle w:val="TableContents"/>
              <w:bidi w:val="0"/>
              <w:spacing w:before="0" w:after="283"/>
              <w:jc w:val="left"/>
              <w:rPr>
                <w:sz w:val="4"/>
                <w:szCs w:val="4"/>
              </w:rPr>
            </w:pPr>
            <w:r>
              <w:rPr>
                <w:sz w:val="4"/>
                <w:szCs w:val="4"/>
              </w:rPr>
            </w:r>
          </w:p>
        </w:tc>
        <w:tc>
          <w:tcPr>
            <w:tcW w:w="2128" w:type="dxa"/>
            <w:gridSpan w:val="2"/>
            <w:tcBorders/>
            <w:vAlign w:val="center"/>
          </w:tcPr>
          <w:p>
            <w:pPr>
              <w:pStyle w:val="TableContents"/>
              <w:bidi w:val="0"/>
              <w:spacing w:before="0" w:after="283"/>
              <w:jc w:val="left"/>
              <w:rPr>
                <w:sz w:val="4"/>
                <w:szCs w:val="4"/>
              </w:rPr>
            </w:pPr>
            <w:r>
              <w:rPr>
                <w:sz w:val="4"/>
                <w:szCs w:val="4"/>
              </w:rPr>
            </w:r>
          </w:p>
        </w:tc>
      </w:tr>
      <w:tr>
        <w:trPr/>
        <w:tc>
          <w:tcPr>
            <w:tcW w:w="443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Jonathan Lim, M.D.</w:t>
            </w:r>
          </w:p>
        </w:tc>
        <w:tc>
          <w:tcPr>
            <w:tcW w:w="122"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28" w:type="dxa"/>
            <w:tcBorders/>
          </w:tcPr>
          <w:p>
            <w:pPr>
              <w:pStyle w:val="TableContents"/>
              <w:bidi w:val="0"/>
              <w:spacing w:before="0" w:after="283"/>
              <w:jc w:val="center"/>
              <w:rPr/>
            </w:pPr>
            <w:r>
              <w:rPr/>
              <w:t xml:space="preserve">    </w:t>
            </w:r>
            <w:r>
              <w:rPr/>
              <w:t>, 2026</w:t>
            </w:r>
          </w:p>
        </w:tc>
      </w:tr>
      <w:tr>
        <w:trPr>
          <w:trHeight w:val="240" w:hRule="atLeast"/>
        </w:trPr>
        <w:tc>
          <w:tcPr>
            <w:tcW w:w="4432" w:type="dxa"/>
            <w:tcBorders/>
            <w:vAlign w:val="center"/>
          </w:tcPr>
          <w:p>
            <w:pPr>
              <w:pStyle w:val="TableContents"/>
              <w:bidi w:val="0"/>
              <w:spacing w:before="0" w:after="283"/>
              <w:jc w:val="left"/>
              <w:rPr>
                <w:sz w:val="4"/>
                <w:szCs w:val="4"/>
              </w:rPr>
            </w:pPr>
            <w:r>
              <w:rPr>
                <w:sz w:val="4"/>
                <w:szCs w:val="4"/>
              </w:rPr>
            </w:r>
          </w:p>
        </w:tc>
        <w:tc>
          <w:tcPr>
            <w:tcW w:w="3645" w:type="dxa"/>
            <w:gridSpan w:val="2"/>
            <w:tcBorders/>
            <w:vAlign w:val="center"/>
          </w:tcPr>
          <w:p>
            <w:pPr>
              <w:pStyle w:val="TableContents"/>
              <w:bidi w:val="0"/>
              <w:spacing w:before="0" w:after="283"/>
              <w:jc w:val="left"/>
              <w:rPr>
                <w:sz w:val="4"/>
                <w:szCs w:val="4"/>
              </w:rPr>
            </w:pPr>
            <w:r>
              <w:rPr>
                <w:sz w:val="4"/>
                <w:szCs w:val="4"/>
              </w:rPr>
            </w:r>
          </w:p>
        </w:tc>
        <w:tc>
          <w:tcPr>
            <w:tcW w:w="2128" w:type="dxa"/>
            <w:gridSpan w:val="2"/>
            <w:tcBorders/>
            <w:vAlign w:val="center"/>
          </w:tcPr>
          <w:p>
            <w:pPr>
              <w:pStyle w:val="TableContents"/>
              <w:bidi w:val="0"/>
              <w:spacing w:before="0" w:after="283"/>
              <w:jc w:val="left"/>
              <w:rPr>
                <w:sz w:val="4"/>
                <w:szCs w:val="4"/>
              </w:rPr>
            </w:pPr>
            <w:r>
              <w:rPr>
                <w:sz w:val="4"/>
                <w:szCs w:val="4"/>
              </w:rPr>
            </w:r>
          </w:p>
        </w:tc>
      </w:tr>
      <w:tr>
        <w:trPr/>
        <w:tc>
          <w:tcPr>
            <w:tcW w:w="443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James Christensen, Ph.D.</w:t>
            </w:r>
          </w:p>
        </w:tc>
        <w:tc>
          <w:tcPr>
            <w:tcW w:w="122"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28" w:type="dxa"/>
            <w:tcBorders/>
          </w:tcPr>
          <w:p>
            <w:pPr>
              <w:pStyle w:val="TableContents"/>
              <w:bidi w:val="0"/>
              <w:spacing w:before="0" w:after="283"/>
              <w:jc w:val="center"/>
              <w:rPr/>
            </w:pPr>
            <w:r>
              <w:rPr/>
              <w:t xml:space="preserve">    </w:t>
            </w:r>
            <w:r>
              <w:rPr/>
              <w:t>, 2026</w:t>
            </w:r>
          </w:p>
        </w:tc>
      </w:tr>
      <w:tr>
        <w:trPr>
          <w:trHeight w:val="240" w:hRule="atLeast"/>
        </w:trPr>
        <w:tc>
          <w:tcPr>
            <w:tcW w:w="4432" w:type="dxa"/>
            <w:tcBorders/>
            <w:vAlign w:val="center"/>
          </w:tcPr>
          <w:p>
            <w:pPr>
              <w:pStyle w:val="TableContents"/>
              <w:bidi w:val="0"/>
              <w:spacing w:before="0" w:after="283"/>
              <w:jc w:val="left"/>
              <w:rPr>
                <w:sz w:val="4"/>
                <w:szCs w:val="4"/>
              </w:rPr>
            </w:pPr>
            <w:r>
              <w:rPr>
                <w:sz w:val="4"/>
                <w:szCs w:val="4"/>
              </w:rPr>
            </w:r>
          </w:p>
        </w:tc>
        <w:tc>
          <w:tcPr>
            <w:tcW w:w="3645" w:type="dxa"/>
            <w:gridSpan w:val="2"/>
            <w:tcBorders/>
            <w:vAlign w:val="center"/>
          </w:tcPr>
          <w:p>
            <w:pPr>
              <w:pStyle w:val="TableContents"/>
              <w:bidi w:val="0"/>
              <w:spacing w:before="0" w:after="283"/>
              <w:jc w:val="left"/>
              <w:rPr>
                <w:sz w:val="4"/>
                <w:szCs w:val="4"/>
              </w:rPr>
            </w:pPr>
            <w:r>
              <w:rPr>
                <w:sz w:val="4"/>
                <w:szCs w:val="4"/>
              </w:rPr>
            </w:r>
          </w:p>
        </w:tc>
        <w:tc>
          <w:tcPr>
            <w:tcW w:w="2128" w:type="dxa"/>
            <w:gridSpan w:val="2"/>
            <w:tcBorders/>
            <w:vAlign w:val="center"/>
          </w:tcPr>
          <w:p>
            <w:pPr>
              <w:pStyle w:val="TableContents"/>
              <w:bidi w:val="0"/>
              <w:spacing w:before="0" w:after="283"/>
              <w:jc w:val="left"/>
              <w:rPr>
                <w:sz w:val="4"/>
                <w:szCs w:val="4"/>
              </w:rPr>
            </w:pPr>
            <w:r>
              <w:rPr>
                <w:sz w:val="4"/>
                <w:szCs w:val="4"/>
              </w:rPr>
            </w:r>
          </w:p>
        </w:tc>
      </w:tr>
      <w:tr>
        <w:trPr/>
        <w:tc>
          <w:tcPr>
            <w:tcW w:w="443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Jennifer Lew</w:t>
            </w:r>
          </w:p>
        </w:tc>
        <w:tc>
          <w:tcPr>
            <w:tcW w:w="122"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28" w:type="dxa"/>
            <w:tcBorders/>
          </w:tcPr>
          <w:p>
            <w:pPr>
              <w:pStyle w:val="TableContents"/>
              <w:bidi w:val="0"/>
              <w:spacing w:before="0" w:after="283"/>
              <w:jc w:val="center"/>
              <w:rPr/>
            </w:pPr>
            <w:r>
              <w:rPr/>
              <w:t xml:space="preserve">    </w:t>
            </w:r>
            <w:r>
              <w:rPr/>
              <w:t>, 2026</w:t>
            </w:r>
          </w:p>
        </w:tc>
      </w:tr>
      <w:tr>
        <w:trPr>
          <w:trHeight w:val="240" w:hRule="atLeast"/>
        </w:trPr>
        <w:tc>
          <w:tcPr>
            <w:tcW w:w="4432" w:type="dxa"/>
            <w:tcBorders/>
            <w:vAlign w:val="center"/>
          </w:tcPr>
          <w:p>
            <w:pPr>
              <w:pStyle w:val="TableContents"/>
              <w:bidi w:val="0"/>
              <w:spacing w:before="0" w:after="283"/>
              <w:jc w:val="left"/>
              <w:rPr>
                <w:sz w:val="4"/>
                <w:szCs w:val="4"/>
              </w:rPr>
            </w:pPr>
            <w:r>
              <w:rPr>
                <w:sz w:val="4"/>
                <w:szCs w:val="4"/>
              </w:rPr>
            </w:r>
          </w:p>
        </w:tc>
        <w:tc>
          <w:tcPr>
            <w:tcW w:w="3645" w:type="dxa"/>
            <w:gridSpan w:val="2"/>
            <w:tcBorders/>
            <w:vAlign w:val="center"/>
          </w:tcPr>
          <w:p>
            <w:pPr>
              <w:pStyle w:val="TableContents"/>
              <w:bidi w:val="0"/>
              <w:spacing w:before="0" w:after="283"/>
              <w:jc w:val="left"/>
              <w:rPr>
                <w:sz w:val="4"/>
                <w:szCs w:val="4"/>
              </w:rPr>
            </w:pPr>
            <w:r>
              <w:rPr>
                <w:sz w:val="4"/>
                <w:szCs w:val="4"/>
              </w:rPr>
            </w:r>
          </w:p>
        </w:tc>
        <w:tc>
          <w:tcPr>
            <w:tcW w:w="2128" w:type="dxa"/>
            <w:gridSpan w:val="2"/>
            <w:tcBorders/>
            <w:vAlign w:val="center"/>
          </w:tcPr>
          <w:p>
            <w:pPr>
              <w:pStyle w:val="TableContents"/>
              <w:bidi w:val="0"/>
              <w:spacing w:before="0" w:after="283"/>
              <w:jc w:val="left"/>
              <w:rPr>
                <w:sz w:val="4"/>
                <w:szCs w:val="4"/>
              </w:rPr>
            </w:pPr>
            <w:r>
              <w:rPr>
                <w:sz w:val="4"/>
                <w:szCs w:val="4"/>
              </w:rPr>
            </w:r>
          </w:p>
        </w:tc>
      </w:tr>
      <w:tr>
        <w:trPr/>
        <w:tc>
          <w:tcPr>
            <w:tcW w:w="443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Nancy Whiting, Pharm.D.</w:t>
            </w:r>
          </w:p>
        </w:tc>
        <w:tc>
          <w:tcPr>
            <w:tcW w:w="122" w:type="dxa"/>
            <w:tcBorders/>
            <w:vAlign w:val="bottom"/>
          </w:tcPr>
          <w:p>
            <w:pPr>
              <w:pStyle w:val="TableContents"/>
              <w:bidi w:val="0"/>
              <w:spacing w:before="0" w:after="283"/>
              <w:jc w:val="left"/>
              <w:rPr/>
            </w:pPr>
            <w:r>
              <w:rPr/>
              <w:t>  </w:t>
            </w:r>
          </w:p>
        </w:tc>
        <w:tc>
          <w:tcPr>
            <w:tcW w:w="352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28" w:type="dxa"/>
            <w:tcBorders/>
          </w:tcPr>
          <w:p>
            <w:pPr>
              <w:pStyle w:val="TableContents"/>
              <w:bidi w:val="0"/>
              <w:spacing w:before="0" w:after="283"/>
              <w:jc w:val="center"/>
              <w:rPr/>
            </w:pPr>
            <w:r>
              <w:rPr/>
              <w:t xml:space="preserve">    </w:t>
            </w:r>
            <w:r>
              <w:rPr/>
              <w:t>,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257" w:name="filename2.htm"/>
      <w:bookmarkStart w:id="258" w:name="ksfilename2"/>
      <w:bookmarkEnd w:id="257"/>
      <w:bookmarkEnd w:id="258"/>
      <w:r>
        <w:rPr>
          <w:rFonts w:ascii="Times New Roman" w:hAnsi="Times New Roman"/>
          <w:b/>
          <w:sz w:val="20"/>
        </w:rPr>
        <w:t xml:space="preserve">Exhibit 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Sections 242 and 245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RTW Newco10, Inc., a corporation organized and existing under and by virtue of the provisions of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this corporation was originally incorporated pursuant to the General Corporation Law on April 2, 2026 under the name RTW Newco10, Inc.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the sole member of the Board of Directors of this corporation (the “</w:t>
      </w:r>
      <w:r>
        <w:rPr>
          <w:rFonts w:ascii="Times New Roman" w:hAnsi="Times New Roman"/>
          <w:b/>
          <w:sz w:val="20"/>
        </w:rPr>
        <w:t>Board of Directors</w:t>
      </w:r>
      <w:r>
        <w:rPr>
          <w:rFonts w:ascii="Times New Roman" w:hAnsi="Times New Roman"/>
          <w:sz w:val="20"/>
        </w:rPr>
        <w:t xml:space="preserve">”)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The name of this corporation is Serapha Bio, Inc. (the “</w:t>
      </w:r>
      <w:r>
        <w:rPr>
          <w:rFonts w:ascii="Times New Roman" w:hAnsi="Times New Roman"/>
          <w:b/>
          <w:sz w:val="20"/>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address of the registered office of the Corporation in the State of Delaware is 251 Little Falls Drive, in the City of Wilmington, County of New Castle, Delaware 19808. The name of its registered agent at such address is Corporation Service Company.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nature of the business or purposes to be conducted or promoted is to engage in any lawful act or activity for which corporations may be organized under the General Corporation Law.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The total number of shares of all classes of stock which the Corporation shall have the authority to issue is 160,000,000. The Corporation has two classes of stock, referred to as Common Stock and Preferred Stock. There are 100,000,000 shares of authorized Common Stock, $0.00001 par value per share and 60,000,000 shares of authorized Preferred Stock, $0.00001 par value per share (the “</w:t>
      </w:r>
      <w:r>
        <w:rPr>
          <w:rFonts w:ascii="Times New Roman" w:hAnsi="Times New Roman"/>
          <w:b/>
          <w:sz w:val="20"/>
        </w:rPr>
        <w:t>Preferred Stock</w:t>
      </w:r>
      <w:r>
        <w:rPr>
          <w:rFonts w:ascii="Times New Roman" w:hAnsi="Times New Roman"/>
          <w:sz w:val="20"/>
        </w:rPr>
        <w:t>”), 35,000,000 of which are hereby designated “</w:t>
      </w:r>
      <w:r>
        <w:rPr>
          <w:rFonts w:ascii="Times New Roman" w:hAnsi="Times New Roman"/>
          <w:b/>
          <w:sz w:val="20"/>
        </w:rPr>
        <w:t>Series A Preferred Stock</w:t>
      </w:r>
      <w:r>
        <w:rPr>
          <w:rFonts w:ascii="Times New Roman" w:hAnsi="Times New Roman"/>
          <w:sz w:val="20"/>
        </w:rPr>
        <w:t>”. Of the authorized shares of Preferred Stock, 25,000,000 shares are hereby designated “</w:t>
      </w:r>
      <w:r>
        <w:rPr>
          <w:rFonts w:ascii="Times New Roman" w:hAnsi="Times New Roman"/>
          <w:b/>
          <w:sz w:val="20"/>
        </w:rPr>
        <w:t>Series A-1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statement of the designations and the powers, preferences and special rights, and the qualifications, limitations or restrictions thereof in respect of each class of capital stock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General</w:t>
      </w:r>
      <w:r>
        <w:rPr>
          <w:rFonts w:ascii="Times New Roman" w:hAnsi="Times New Roman"/>
          <w:sz w:val="20"/>
        </w:rPr>
        <w:t xml:space="preserve">. The voting, dividend and liquidation rights of the holders of the Common Stock are subject to and qualified by the powers, preferences and special rights of the holders of the Preferred Stock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Voting</w:t>
      </w:r>
      <w:r>
        <w:rPr>
          <w:rFonts w:ascii="Times New Roman" w:hAnsi="Times New Roman"/>
          <w:sz w:val="20"/>
        </w:rPr>
        <w:t xml:space="preserve">. Except as otherwise provided herein or by applicable law, the holders of the Common Stock shall be entitled to one vote for each share of Common Stock held as of the applicable record date for each meeting of stockholders (and written actions in lieu of meetings);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required by law, holders of Common Stock, as such, shall not be entitled to vote on any amendment to this Amended and Restated Certificate of Incorporation (this “</w:t>
      </w:r>
      <w:r>
        <w:rPr>
          <w:rFonts w:ascii="Times New Roman" w:hAnsi="Times New Roman"/>
          <w:b/>
          <w:sz w:val="20"/>
        </w:rPr>
        <w:t>Certificate of Incorporation</w:t>
      </w:r>
      <w:r>
        <w:rPr>
          <w:rFonts w:ascii="Times New Roman" w:hAnsi="Times New Roman"/>
          <w:sz w:val="20"/>
        </w:rPr>
        <w:t xml:space="preserve">”)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the Preferred Stock shall have the powers, preferences and special rights set forth in this Part B of this Article Fourth. Unless otherwise indicated, references to “sections” or “Sections” in this Part B of this Article Fourth refer to sections of Part B of this Article Fourth. References to “Preferred Stock” mean the Series A Preferred Stock and the Series A-1 Preferred Stock, collectively, unless the context requires otherwise. The Series A-1 Preferred Stock shall have the same rights, preferences, privileges and restrictions as the Series A Preferred Stock in all respects, except that the Series A-1 Preferred Stock shall be non-voting.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Certificate of Incorporation) the holders of the Preferred Stock then outstanding shall first receive, or simultaneously receive, a dividend on each outstanding share of Preferred Stock in an amount at least equal to (i) in the case of a dividend on Common Stock, the product of (A) the dividend declared, paid or set aside on such Common Stock and (B) the number of shares of Common Stock issuable upon conversion of a share of such Preferred Stock; (ii) 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Preferred Stock, divided by the number of shares of Common Stock issuable upon conversion of a share of such class or series of capital stock; or (iii) in the case of a dividend on any class or series that is not convertible into Common Stock, the product of (A) the amount of the dividend payable on each share of such class or series of capital stock divided by the original issuance price of such class or series of capital stock (subject to appropriate adjustment in the event of any stock dividend, stock split, combination or other similar recapitalization with respect to such class or series) and (B) the applicable Original Issue Price (as defined below); provided that, if the Corporation declares, pays or sets aside, on the same date, a dividend on shares of more than one class or series of capital stock of the Corporation,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dividend payable to the holders of Preferred Stock pursuant to this Section 1 shall be calculated based upon the dividend on the class or series of capital stock that would result in the highest Preferred Stock dividend for the applicable series of Preferred Stock. The “</w:t>
      </w:r>
      <w:r>
        <w:rPr>
          <w:rFonts w:ascii="Times New Roman" w:hAnsi="Times New Roman"/>
          <w:b/>
          <w:sz w:val="20"/>
        </w:rPr>
        <w:t>Original Issue Price</w:t>
      </w:r>
      <w:r>
        <w:rPr>
          <w:rFonts w:ascii="Times New Roman" w:hAnsi="Times New Roman"/>
          <w:sz w:val="20"/>
        </w:rPr>
        <w:t xml:space="preserve">” shall mean, with respect to the Series A Preferred Stock, $4.50 per share, subject to appropriate adjustment in the event of any stock dividend, stock split, combination or other similar recapitalization with respect to the applicable Preferred Stock. The Original Issue Price for the Series A-1 Preferred Stock shall be $4.50 per share (which shall be equal to the Original Issue Price for the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Liquidation, Dissolution or Winding Up; Certain Mergers, Consolidations and Asset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Preferential Payments to Holders of Preferred Stock</w:t>
      </w:r>
      <w:r>
        <w:rPr>
          <w:rFonts w:ascii="Times New Roman" w:hAnsi="Times New Roman"/>
          <w:sz w:val="20"/>
        </w:rPr>
        <w:t xml:space="preserve">. In the event of (a) any voluntary or involuntary liquidation, dissolution or winding up of the Corporation, the holders of shares of each series of Preferred Stock then outstanding shall be entitled to be paid out of the assets of the Corporation available for distribution to its stockholders, and (b) a Deemed Liquidation Event (as defined below), the holders of shares of each series of Preferred Stock then outstanding shall be entitled to be paid out of the consideration payable to stockholders in such Deemed Liquidation Event or out of the Available Proceeds (as defined below), as applicable, on a </w:t>
      </w:r>
      <w:r>
        <w:rPr>
          <w:rFonts w:ascii="Times New Roman" w:hAnsi="Times New Roman"/>
          <w:i/>
          <w:sz w:val="20"/>
        </w:rPr>
        <w:t>pari passu</w:t>
      </w:r>
      <w:r>
        <w:rPr>
          <w:rFonts w:ascii="Times New Roman" w:hAnsi="Times New Roman"/>
          <w:sz w:val="20"/>
        </w:rPr>
        <w:t xml:space="preserve"> basis based on their respective Liquidation Amounts (as defined below) and before any payment shall be made to the holders of Common Stock by reason of their ownership thereof, an amount per share of each such series of Preferred Stock equal to the greater of (i) one times the applicable Original Issue Price, plus any dividends declared but unpaid thereon, or (ii) such amount per share as would have been payable had all shares of such series of Preferred Stock (and all shares of all other series of Preferred Stock that would receive a larger distribution per share if such series of Preferred Stock were converted into Common Stock) been converted into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is hereinafter referred to, for each series of Preferred Stock, as applicable, as the “</w:t>
      </w:r>
      <w:r>
        <w:rPr>
          <w:rFonts w:ascii="Times New Roman" w:hAnsi="Times New Roman"/>
          <w:b/>
          <w:sz w:val="20"/>
        </w:rPr>
        <w:t>Liquidation Amount</w:t>
      </w:r>
      <w:r>
        <w:rPr>
          <w:rFonts w:ascii="Times New Roman" w:hAnsi="Times New Roman"/>
          <w:sz w:val="20"/>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hAnsi="Times New Roman"/>
          <w:sz w:val="20"/>
          <w:u w:val="single"/>
        </w:rPr>
        <w:t>Section 2.1</w:t>
      </w:r>
      <w:r>
        <w:rPr>
          <w:rFonts w:ascii="Times New Roman" w:hAnsi="Times New Roman"/>
          <w:sz w:val="20"/>
        </w:rPr>
        <w:t xml:space="preserve">,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Payments to Holders of Common Stock</w:t>
      </w:r>
      <w:r>
        <w:rPr>
          <w:rFonts w:ascii="Times New Roman" w:hAnsi="Times New Roman"/>
          <w:sz w:val="20"/>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hAnsi="Times New Roman"/>
          <w:sz w:val="20"/>
          <w:u w:val="single"/>
        </w:rPr>
        <w:t>Section 2.1</w:t>
      </w:r>
      <w:r>
        <w:rPr>
          <w:rFonts w:ascii="Times New Roman" w:hAnsi="Times New Roman"/>
          <w:sz w:val="20"/>
        </w:rPr>
        <w:t xml:space="preserve"> or the remaining Available Proceeds, as the case may be, shall be distributed among the holders of shares of Common Stock, pro rata based on the number of shares of Common Stock held by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Deemed Liquidation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2.3.1 </w:t>
      </w:r>
      <w:r>
        <w:rPr>
          <w:rFonts w:ascii="Times New Roman" w:hAnsi="Times New Roman"/>
          <w:b/>
          <w:sz w:val="20"/>
        </w:rPr>
        <w:t>Definition</w:t>
      </w:r>
      <w:r>
        <w:rPr>
          <w:rFonts w:ascii="Times New Roman" w:hAnsi="Times New Roman"/>
          <w:sz w:val="20"/>
        </w:rPr>
        <w:t>. Each of the following events shall be considered a “</w:t>
      </w:r>
      <w:r>
        <w:rPr>
          <w:rFonts w:ascii="Times New Roman" w:hAnsi="Times New Roman"/>
          <w:b/>
          <w:sz w:val="20"/>
        </w:rPr>
        <w:t>Deemed Liquidation Event</w:t>
      </w:r>
      <w:r>
        <w:rPr>
          <w:rFonts w:ascii="Times New Roman" w:hAnsi="Times New Roman"/>
          <w:sz w:val="20"/>
        </w:rPr>
        <w:t>” unless the holders of at least a majority of the outstanding shares of Series A Preferred Stock, which majority must include each of (i) RTW Holdings X, LLC and (ii) RA Capital Healthcare Fund, L.P. and RA Capital Nexus Fund IV, L.P., taken together (such holders holding such majority, the “</w:t>
      </w:r>
      <w:r>
        <w:rPr>
          <w:rFonts w:ascii="Times New Roman" w:hAnsi="Times New Roman"/>
          <w:b/>
          <w:sz w:val="20"/>
        </w:rPr>
        <w:t>Requisite Holders</w:t>
      </w:r>
      <w:r>
        <w:rPr>
          <w:rFonts w:ascii="Times New Roman" w:hAnsi="Times New Roman"/>
          <w:sz w:val="20"/>
        </w:rPr>
        <w:t xml:space="preserve">”; provided that, for purposes of determining the Requisite Holders, the shares held by RA Capital Healthcare Fund, L.P. and RA Capital Nexus Fund IV, L.P. shall be aggregated and treated as held by a single holder, and the shares held by RTW Holdings X, LLC shall not be aggregated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shares of any other holder), elect otherwise by written notice sent to the Corporation at least 10 days prior to the effective date of any such event: </w:t>
      </w:r>
    </w:p>
    <w:p>
      <w:pPr>
        <w:pStyle w:val="TextBody"/>
        <w:bidi w:val="0"/>
        <w:spacing w:before="120" w:after="0"/>
        <w:jc w:val="left"/>
        <w:rPr>
          <w:rFonts w:ascii="Times New Roman" w:hAnsi="Times New Roman"/>
          <w:sz w:val="20"/>
        </w:rPr>
      </w:pPr>
      <w:r>
        <w:rPr>
          <w:rFonts w:ascii="Times New Roman" w:hAnsi="Times New Roman"/>
          <w:sz w:val="20"/>
        </w:rPr>
        <w:t xml:space="preserve">(a) a merger, consolidation, statutory conversion, transfer, domestication, or continuance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1"/>
        <w:gridCol w:w="511"/>
        <w:gridCol w:w="7043"/>
      </w:tblGrid>
      <w:tr>
        <w:trPr/>
        <w:tc>
          <w:tcPr>
            <w:tcW w:w="2651"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is a constituent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9"/>
        <w:gridCol w:w="7044"/>
      </w:tblGrid>
      <w:tr>
        <w:trPr/>
        <w:tc>
          <w:tcPr>
            <w:tcW w:w="265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subsidiary of the Corporation is a constituent party and the Corporation issues shares of its capital stock pursuant to such merger, consolidation, statutory conversion, transfer, domestication, or continuance,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or other equity interests that represent, immediately following such merger, consolidation, statutory conversion, transfer, domestication, or continuance,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domestication, or continuance, the parent corporation or entity of such surviving or resulting corporation or entity; or </w:t>
      </w:r>
    </w:p>
    <w:p>
      <w:pPr>
        <w:pStyle w:val="TextBody"/>
        <w:bidi w:val="0"/>
        <w:spacing w:before="240" w:after="0"/>
        <w:jc w:val="left"/>
        <w:rPr>
          <w:rFonts w:ascii="Times New Roman" w:hAnsi="Times New Roman"/>
          <w:sz w:val="20"/>
        </w:rPr>
      </w:pPr>
      <w:r>
        <w:rPr>
          <w:rFonts w:ascii="Times New Roman" w:hAnsi="Times New Roman"/>
          <w:sz w:val="20"/>
        </w:rPr>
        <w:t xml:space="preserve">(b) (i) the sale, lease, transfer, exclusive license or other disposition, in a single transaction or series of related transactions, by the Corporation or any subsidiary of the Corporation of all or substantially all the assets of the Corporation and its subsidiaries taken as a whole, or (ii) the sale, lease, transfer, exclusive license, or other disposition (whether by merger, consolidation, statutory conversion, domestication,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b/>
          <w:sz w:val="20"/>
        </w:rPr>
        <w:t>Effecting a Deemed Liquidation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shall not have the power to effect a Deemed Liquidation Event referred to in </w:t>
      </w:r>
      <w:r>
        <w:rPr>
          <w:rFonts w:ascii="Times New Roman" w:hAnsi="Times New Roman"/>
          <w:sz w:val="20"/>
          <w:u w:val="single"/>
        </w:rPr>
        <w:t>Section 2.3.1(a)(i)</w:t>
      </w:r>
      <w:r>
        <w:rPr>
          <w:rFonts w:ascii="Times New Roman" w:hAnsi="Times New Roman"/>
          <w:sz w:val="20"/>
        </w:rPr>
        <w:t xml:space="preserve"> unless the agreement or plan with respect to such transaction, or terms of such transaction (any such agreement, plan or terms, the “</w:t>
      </w:r>
      <w:r>
        <w:rPr>
          <w:rFonts w:ascii="Times New Roman" w:hAnsi="Times New Roman"/>
          <w:b/>
          <w:sz w:val="20"/>
        </w:rPr>
        <w:t>Transaction Document</w:t>
      </w:r>
      <w:r>
        <w:rPr>
          <w:rFonts w:ascii="Times New Roman" w:hAnsi="Times New Roman"/>
          <w:sz w:val="20"/>
        </w:rPr>
        <w:t xml:space="preserve">”), provide that the consideration payable to the stockholders of the Corporation in such Deemed Liquidation Event shall be allocated to the holders of capital stock of the Corporation in accordance with </w:t>
      </w:r>
      <w:r>
        <w:rPr>
          <w:rFonts w:ascii="Times New Roman" w:hAnsi="Times New Roman"/>
          <w:sz w:val="20"/>
          <w:u w:val="single"/>
        </w:rPr>
        <w:t>Sections 2.1</w:t>
      </w:r>
      <w:r>
        <w:rPr>
          <w:rFonts w:ascii="Times New Roman" w:hAnsi="Times New Roman"/>
          <w:sz w:val="20"/>
        </w:rPr>
        <w:t xml:space="preserve"> and 2.2.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 Deemed Liquidation Event referred to in </w:t>
      </w:r>
      <w:r>
        <w:rPr>
          <w:rFonts w:ascii="Times New Roman" w:hAnsi="Times New Roman"/>
          <w:sz w:val="20"/>
          <w:u w:val="single"/>
        </w:rPr>
        <w:t>Section 2.3.1(a)(ii)</w:t>
      </w:r>
      <w:r>
        <w:rPr>
          <w:rFonts w:ascii="Times New Roman" w:hAnsi="Times New Roman"/>
          <w:sz w:val="20"/>
        </w:rPr>
        <w:t xml:space="preserve"> or </w:t>
      </w:r>
      <w:r>
        <w:rPr>
          <w:rFonts w:ascii="Times New Roman" w:hAnsi="Times New Roman"/>
          <w:sz w:val="20"/>
          <w:u w:val="single"/>
        </w:rPr>
        <w:t>2.3.1(b</w:t>
      </w:r>
      <w:r>
        <w:rPr>
          <w:rFonts w:ascii="Times New Roman" w:hAnsi="Times New Roman"/>
          <w:sz w:val="20"/>
        </w:rPr>
        <w:t xml:space="preserve">),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than 120 days after such Deemed Liquidation Event, the Corporation shall use the consideration received by the Corporation for such Deemed Liquidation Event (net of any retained liabilities associated with the assets sold or technology licensed, any other expenses reasonably related to such Deemed Liquidation Event or any other expenses incident to the dissolution of the Corporation as provided herein, in each case as determined in good faith by the Board of Directors), together with any other assets of the Corporation available for distribution to its stockholders, all to the extent permitted by Delaware law governing distributions to stockholders (the “</w:t>
      </w:r>
      <w:r>
        <w:rPr>
          <w:rFonts w:ascii="Times New Roman" w:hAnsi="Times New Roman"/>
          <w:b/>
          <w:sz w:val="20"/>
        </w:rPr>
        <w:t>Available</w:t>
      </w:r>
      <w:r>
        <w:rPr>
          <w:rFonts w:ascii="Times New Roman" w:hAnsi="Times New Roman"/>
          <w:sz w:val="20"/>
        </w:rPr>
        <w:t xml:space="preserve"> </w:t>
      </w:r>
      <w:r>
        <w:rPr>
          <w:rFonts w:ascii="Times New Roman" w:hAnsi="Times New Roman"/>
          <w:b/>
          <w:sz w:val="20"/>
        </w:rPr>
        <w:t>Proceeds</w:t>
      </w:r>
      <w:r>
        <w:rPr>
          <w:rFonts w:ascii="Times New Roman" w:hAnsi="Times New Roman"/>
          <w:sz w:val="20"/>
        </w:rPr>
        <w:t>”) on the 150th day after such Deemed Liquidation Event (the “</w:t>
      </w:r>
      <w:r>
        <w:rPr>
          <w:rFonts w:ascii="Times New Roman" w:hAnsi="Times New Roman"/>
          <w:b/>
          <w:sz w:val="20"/>
        </w:rPr>
        <w:t>DLE Redemption Date</w:t>
      </w:r>
      <w:r>
        <w:rPr>
          <w:rFonts w:ascii="Times New Roman" w:hAnsi="Times New Roman"/>
          <w:sz w:val="20"/>
        </w:rPr>
        <w:t xml:space="preserve">”), to redeem all outstanding shares of Preferred Stock at a price per share equal to the applicable Liquidation Amount; </w:t>
      </w:r>
      <w:r>
        <w:rPr>
          <w:rFonts w:ascii="Times New Roman" w:hAnsi="Times New Roman"/>
          <w:i/>
          <w:sz w:val="20"/>
        </w:rPr>
        <w:t>provided</w:t>
      </w:r>
      <w:r>
        <w:rPr>
          <w:rFonts w:ascii="Times New Roman" w:hAnsi="Times New Roman"/>
          <w:sz w:val="20"/>
        </w:rPr>
        <w:t xml:space="preserve"> that if the definitive agreements governing such Deemed Liquidation Event contain contingent indemnification obligations on the part of the Corporation and prohibit the Corporation from distributing all or a portion of the Available Proceeds while such indemnification obligations remain outstanding, then the DLE Redemption Date shall automatically be extended to the date that is ten business days following the date on which such prohibition expires.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w:t>
      </w:r>
      <w:r>
        <w:rPr>
          <w:rFonts w:ascii="Times New Roman" w:hAnsi="Times New Roman"/>
          <w:sz w:val="20"/>
          <w:u w:val="single"/>
        </w:rPr>
        <w:t>Section 2.3.2</w:t>
      </w:r>
      <w:r>
        <w:rPr>
          <w:rFonts w:ascii="Times New Roman" w:hAnsi="Times New Roman"/>
          <w:sz w:val="20"/>
        </w:rPr>
        <w:t xml:space="preserve">, the Corporation shall not expend or dissipate the Available Proceeds for any purpose, except to discharge expenses incurred in connection with such Deemed Liquidation Event. In connection with a distribution or redemption provided for in </w:t>
      </w:r>
      <w:r>
        <w:rPr>
          <w:rFonts w:ascii="Times New Roman" w:hAnsi="Times New Roman"/>
          <w:sz w:val="20"/>
          <w:u w:val="single"/>
        </w:rPr>
        <w:t>Section 2.3.2</w:t>
      </w:r>
      <w:r>
        <w:rPr>
          <w:rFonts w:ascii="Times New Roman" w:hAnsi="Times New Roman"/>
          <w:sz w:val="20"/>
        </w:rPr>
        <w:t>, the Corporation shall send written notice of the redemption (the “</w:t>
      </w:r>
      <w:r>
        <w:rPr>
          <w:rFonts w:ascii="Times New Roman" w:hAnsi="Times New Roman"/>
          <w:b/>
          <w:sz w:val="20"/>
        </w:rPr>
        <w:t>Redemption Notice</w:t>
      </w:r>
      <w:r>
        <w:rPr>
          <w:rFonts w:ascii="Times New Roman" w:hAnsi="Times New Roman"/>
          <w:sz w:val="20"/>
        </w:rPr>
        <w:t xml:space="preserve">”) to each holder of record of Preferred Stock. Each Redemption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held by the holder that the Corporation shall redeem on the date specified in the Redemption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9"/>
        <w:gridCol w:w="7043"/>
      </w:tblGrid>
      <w:tr>
        <w:trPr/>
        <w:tc>
          <w:tcPr>
            <w:tcW w:w="265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and the price per share at which the shares of Preferred Stock are being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holders of shares in certificated form, that the holder is to surrender to the Corporation, in the manner and at the place designated, his, her or its certificate or certificates representing the shares of Preferred Stock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Redemption Notice shall have been duly given, and if payment is tendered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date terminate, except only the right of the holders to receive the payment without interest upon surrender of any such certificate or certificates therefor. </w:t>
      </w:r>
    </w:p>
    <w:p>
      <w:pPr>
        <w:pStyle w:val="TextBody"/>
        <w:bidi w:val="0"/>
        <w:spacing w:before="240" w:after="0"/>
        <w:jc w:val="left"/>
        <w:rPr>
          <w:rFonts w:ascii="Times New Roman" w:hAnsi="Times New Roman"/>
          <w:sz w:val="20"/>
        </w:rPr>
      </w:pPr>
      <w:r>
        <w:rPr>
          <w:rFonts w:ascii="Times New Roman" w:hAnsi="Times New Roman"/>
          <w:sz w:val="20"/>
        </w:rPr>
        <w:t xml:space="preserve">2.3.3 </w:t>
      </w:r>
      <w:r>
        <w:rPr>
          <w:rFonts w:ascii="Times New Roman" w:hAnsi="Times New Roman"/>
          <w:b/>
          <w:sz w:val="20"/>
        </w:rPr>
        <w:t>Amount Deemed Paid or Distributed</w:t>
      </w:r>
      <w:r>
        <w:rPr>
          <w:rFonts w:ascii="Times New Roman" w:hAnsi="Times New Roman"/>
          <w:sz w:val="20"/>
        </w:rPr>
        <w:t xml:space="preserve">.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Requisite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2.3.4 </w:t>
      </w:r>
      <w:r>
        <w:rPr>
          <w:rFonts w:ascii="Times New Roman" w:hAnsi="Times New Roman"/>
          <w:b/>
          <w:sz w:val="20"/>
        </w:rPr>
        <w:t>Allocation of Escrow and Contingent Consideration</w:t>
      </w:r>
      <w:r>
        <w:rPr>
          <w:rFonts w:ascii="Times New Roman" w:hAnsi="Times New Roman"/>
          <w:sz w:val="20"/>
        </w:rPr>
        <w:t xml:space="preserve">. In the event of a Deemed Liquidation Event pursuant to </w:t>
      </w:r>
      <w:r>
        <w:rPr>
          <w:rFonts w:ascii="Times New Roman" w:hAnsi="Times New Roman"/>
          <w:sz w:val="20"/>
          <w:u w:val="single"/>
        </w:rPr>
        <w:t>Section 2.3.1(a)(i)</w:t>
      </w:r>
      <w:r>
        <w:rPr>
          <w:rFonts w:ascii="Times New Roman" w:hAnsi="Times New Roman"/>
          <w:sz w:val="20"/>
        </w:rPr>
        <w:t>, if any portion of the consideration payable to the stockholders of the Corporation is payable only upon satisfaction of contingencies (the “</w:t>
      </w:r>
      <w:r>
        <w:rPr>
          <w:rFonts w:ascii="Times New Roman" w:hAnsi="Times New Roman"/>
          <w:b/>
          <w:sz w:val="20"/>
        </w:rPr>
        <w:t>Additional Consideration</w:t>
      </w:r>
      <w:r>
        <w:rPr>
          <w:rFonts w:ascii="Times New Roman" w:hAnsi="Times New Roman"/>
          <w:sz w:val="20"/>
        </w:rPr>
        <w:t>”), the Transaction Document shall provide that (a) the portion of such consideration that is not Additional Consideration (such portion, the “</w:t>
      </w:r>
      <w:r>
        <w:rPr>
          <w:rFonts w:ascii="Times New Roman" w:hAnsi="Times New Roman"/>
          <w:b/>
          <w:sz w:val="20"/>
        </w:rPr>
        <w:t>Initial Consideration</w:t>
      </w:r>
      <w:r>
        <w:rPr>
          <w:rFonts w:ascii="Times New Roman" w:hAnsi="Times New Roman"/>
          <w:sz w:val="20"/>
        </w:rPr>
        <w:t xml:space="preserve">”) shall be allocated among the holders of capital stock of the Corporation in accordance with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after taking into account the previous payment of the Initial Consideration as part of the same transaction. For the purposes of this </w:t>
      </w:r>
      <w:r>
        <w:rPr>
          <w:rFonts w:ascii="Times New Roman" w:hAnsi="Times New Roman"/>
          <w:sz w:val="20"/>
          <w:u w:val="single"/>
        </w:rPr>
        <w:t>Section 2.3.4</w:t>
      </w:r>
      <w:r>
        <w:rPr>
          <w:rFonts w:ascii="Times New Roman" w:hAnsi="Times New Roman"/>
          <w:sz w:val="20"/>
        </w:rPr>
        <w:t xml:space="preserve">, consideration placed into escrow or retained as a holdback to be available for satisfaction of indemnification or similar obligations in connection with such Deemed Liquidation Event shall be deemed to be Additional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General</w:t>
      </w:r>
      <w:r>
        <w:rPr>
          <w:rFonts w:ascii="Times New Roman" w:hAnsi="Times New Roman"/>
          <w:sz w:val="20"/>
        </w:rPr>
        <w:t xml:space="preserve">. On any matter presented to the stockholders of the Corporation for their action or consideration at any meeting of stockholders of the Corporation (or by written consent of stockholders in lieu of a meeting), each holder of outstanding shares of Series A Preferred Stock shall be entitled to cast the number of votes equal to the number of whole shares of Common Stock into which the shares of Series A Preferred Stock held by such holder are convertible (as provided in </w:t>
      </w:r>
      <w:r>
        <w:rPr>
          <w:rFonts w:ascii="Times New Roman" w:hAnsi="Times New Roman"/>
          <w:sz w:val="20"/>
          <w:u w:val="single"/>
        </w:rPr>
        <w:t>Section 4</w:t>
      </w:r>
      <w:r>
        <w:rPr>
          <w:rFonts w:ascii="Times New Roman" w:hAnsi="Times New Roman"/>
          <w:sz w:val="20"/>
        </w:rPr>
        <w:t xml:space="preserve"> below) as of the record date for determining stockholders entitled to vote on such matter. Except as provided by law or by the other provisions of this Certificate of Incorporation, holders of Series A Preferred Stock shall vote together with the holders of Common Stock as a single class and on an as-converted to Common Stock basis. Except as required by the General Corporation Law, holders of Series A-1 Preferred Stock shall have no voting rights and shall not be entitled to vote on any matter presented to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At all times when at least 15,334,197 shares of Series A Preferred Stock remain outstanding (subject to appropriate adjustment in the event of any stock dividend, stock split, combination, or other similar recapitalization with respect to the Series A Preferred Stock), the holders of record of the shares of Series A Preferred Stock, exclusively and voting together as a separate class on an as-converted to Common Stock basis, shall be entitled to elect five directors of the Corporation (the “</w:t>
      </w:r>
      <w:r>
        <w:rPr>
          <w:rFonts w:ascii="Times New Roman" w:hAnsi="Times New Roman"/>
          <w:b/>
          <w:sz w:val="20"/>
        </w:rPr>
        <w:t>Preferred Directors</w:t>
      </w:r>
      <w:r>
        <w:rPr>
          <w:rFonts w:ascii="Times New Roman" w:hAnsi="Times New Roman"/>
          <w:sz w:val="20"/>
        </w:rPr>
        <w:t xml:space="preserve">”); (ii) the holders of Common Stock and Series A Preferred Stock, voting together as a single class on an as-converted basis, shall be entitled to elect one director, who shall be the Chief Executive Officer; (iii) the holders of Common Stock and Series A Preferred Stock, voting together as a single class on an as-converted basis, shall be entitled to elect one director who is not an employee or Affiliate of the Corporation or any holder of Preferred Stock; and (iv) the holders of record of the shares of Common Stock and of any other class or series of voting stock (including the Series A Preferred Stock), exclusively and voting together as a single class on an as-converted to Common Stock basis, shall be entitled to elect the balance of the total number of directors of the Corporation. Notwithstanding the foregoing, for administrative convenience, the initial Preferred Directors may also be appointed by the Board of Directors in connection with the approval of the initial issuance of Series A Preferred Stock without a separate action by the holders of Series A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director elected as provided in </w:t>
      </w:r>
      <w:r>
        <w:rPr>
          <w:rFonts w:ascii="Times New Roman" w:hAnsi="Times New Roman"/>
          <w:sz w:val="20"/>
          <w:u w:val="single"/>
        </w:rPr>
        <w:t>Section 3.2(a)(i)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or appointed by the proviso of </w:t>
      </w:r>
      <w:r>
        <w:rPr>
          <w:rFonts w:ascii="Times New Roman" w:hAnsi="Times New Roman"/>
          <w:sz w:val="20"/>
          <w:u w:val="single"/>
        </w:rPr>
        <w:t>Section 3.2(a)</w:t>
      </w:r>
      <w:r>
        <w:rPr>
          <w:rFonts w:ascii="Times New Roman" w:hAnsi="Times New Roman"/>
          <w:sz w:val="20"/>
        </w:rPr>
        <w:t xml:space="preserve"> may be removed without cause by, and only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8"/>
        <w:gridCol w:w="7045"/>
      </w:tblGrid>
      <w:tr>
        <w:trPr/>
        <w:tc>
          <w:tcPr>
            <w:tcW w:w="265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70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holders of shares of Series A Preferred Stock or Common Stock, as the case may be, fail to elect a sufficient number of directors to fill all directorships for which they are entitled to elect directors pursuant to </w:t>
            </w:r>
            <w:r>
              <w:rPr>
                <w:rFonts w:ascii="Times New Roman" w:hAnsi="Times New Roman"/>
                <w:sz w:val="20"/>
                <w:u w:val="single"/>
              </w:rPr>
              <w:t>Section 3.2(a)</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3.2(a)</w:t>
            </w:r>
            <w:r>
              <w:rPr>
                <w:rFonts w:ascii="Times New Roman" w:hAnsi="Times New Roman"/>
                <w:sz w:val="20"/>
              </w:rPr>
              <w:t xml:space="preserve">), then any directorship not so filled shall remain vacant until such time as the holders of the Preferred Stock or Common Stock, as the case may be, fill such directorship in accordance with </w:t>
            </w:r>
            <w:r>
              <w:rPr>
                <w:rFonts w:ascii="Times New Roman" w:hAnsi="Times New Roman"/>
                <w:sz w:val="20"/>
                <w:u w:val="single"/>
              </w:rPr>
              <w:t>Section 3.2(a)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9"/>
        <w:gridCol w:w="7044"/>
      </w:tblGrid>
      <w:tr>
        <w:trPr/>
        <w:tc>
          <w:tcPr>
            <w:tcW w:w="265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vacancy in the director seat described in Section 3.2(a)(ii) or (iii) can be filled by either (A) the stockholders entitled to elect such director, or (B) a majority of the remaining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At any meeting held for the purpose of electing a director, the presence in person or by proxy of the holders of a majority of the outstanding shares of the class or series of capital stock entitled to elect such director shall constitute a quorum for the purpose of electing such director. </w:t>
      </w:r>
    </w:p>
    <w:p>
      <w:pPr>
        <w:pStyle w:val="TextBody"/>
        <w:bidi w:val="0"/>
        <w:spacing w:before="240" w:after="0"/>
        <w:jc w:val="left"/>
        <w:rPr>
          <w:rFonts w:ascii="Times New Roman" w:hAnsi="Times New Roman"/>
          <w:sz w:val="20"/>
        </w:rPr>
      </w:pPr>
      <w:r>
        <w:rPr>
          <w:rFonts w:ascii="Times New Roman" w:hAnsi="Times New Roman"/>
          <w:sz w:val="20"/>
        </w:rPr>
        <w:t>(e) For purposes of this Certificate of Incorporation, “</w:t>
      </w:r>
      <w:r>
        <w:rPr>
          <w:rFonts w:ascii="Times New Roman" w:hAnsi="Times New Roman"/>
          <w:b/>
          <w:sz w:val="20"/>
        </w:rPr>
        <w:t>Requisite Directors</w:t>
      </w:r>
      <w:r>
        <w:rPr>
          <w:rFonts w:ascii="Times New Roman" w:hAnsi="Times New Roman"/>
          <w:sz w:val="20"/>
        </w:rPr>
        <w:t xml:space="preserve">” means the Board of Directors, including at least a majority of the Preferred Directors then seated.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Preferred Stock Protective Provisions</w:t>
      </w:r>
      <w:r>
        <w:rPr>
          <w:rFonts w:ascii="Times New Roman" w:hAnsi="Times New Roman"/>
          <w:sz w:val="20"/>
        </w:rPr>
        <w:t xml:space="preserve">. At any time when at least 21,178,375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reorganization, recapitalization, reclassification, waiver, statutory conversion, or otherwise, effect any of the following acts or transactions without (in addition to any other vote required by law or this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3.3.1 liquidate, dissolve or wind up the affairs of the Corporation or effect any Deemed Liquidation Event or any other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3.3.2 amend, alter or repeal any provision of the Certificate of Incorporation or Bylaws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3.3.3 create, issue or obligate itself to issue (A) shares of any capital stock unless the same ranks junior to the Preferred Stock with respect to its special rights, powers and preferences, or (B) any Simple Agreements for Future Equity or convertible notes which may convert into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3.3.4 increase or decrease the authorized number of shares of Common Stock, Preferred Stock or any additional class or series of capital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3.3.5 purchase or redeem or pay or declare any dividend or make any distribution on any capital stock, other than (A) redemptions of or dividends or distributions on the Preferred Stock as authorized in the Certificate of Incorporation, (B) dividends or other distributions payable on the Common Stock solely in the form of additional shares of Common Stock; (C) stock repurchased from former employees or consultants in connection with the cessation of their employment/services, at no greater than the original purchase price thereof, and (D) redemptions, dividends or repurchases approved by the Requisite Directors; </w:t>
      </w:r>
    </w:p>
    <w:p>
      <w:pPr>
        <w:pStyle w:val="TextBody"/>
        <w:bidi w:val="0"/>
        <w:spacing w:before="240" w:after="0"/>
        <w:jc w:val="left"/>
        <w:rPr>
          <w:rFonts w:ascii="Times New Roman" w:hAnsi="Times New Roman"/>
          <w:sz w:val="20"/>
        </w:rPr>
      </w:pPr>
      <w:r>
        <w:rPr>
          <w:rFonts w:ascii="Times New Roman" w:hAnsi="Times New Roman"/>
          <w:sz w:val="20"/>
        </w:rPr>
        <w:t xml:space="preserve">3.3.6 without the approval of the Requisite Directors, (A) create or adopt any equity compensation plan or (B) amend any such plan to increase the number of shares authorized for issuance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3.3.7 create, or issue, any debt security,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w:t>
      </w:r>
    </w:p>
    <w:p>
      <w:pPr>
        <w:pStyle w:val="TextBody"/>
        <w:bidi w:val="0"/>
        <w:spacing w:before="240" w:after="0"/>
        <w:jc w:val="left"/>
        <w:rPr>
          <w:rFonts w:ascii="Times New Roman" w:hAnsi="Times New Roman"/>
          <w:sz w:val="20"/>
        </w:rPr>
      </w:pPr>
      <w:r>
        <w:rPr>
          <w:rFonts w:ascii="Times New Roman" w:hAnsi="Times New Roman"/>
          <w:sz w:val="20"/>
        </w:rPr>
        <w:t xml:space="preserve">3.3.8 create, or hold capital stock in, any subsidiary that is not wholly owned (either directly or through one or more other subsidiaries) by the Corporation (or substantially wholly owned other than de minimis holdings of a second holder as may be required by non-U.S. law), or permit any subsidiary to create,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3.3.9 increase or decrease the authorized number of directors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3.3.10 sell, assign, license, pledge or encumber material technology or intellectual property, or enter into or grant any royalty streams related thereto, other than transactions entered into in the ordinary course of business, unless approved by the Board of Directors, including the approval of at least one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3.3.11 unless otherwise approved by the Requisite Directors, make, or permit any subsidiary to make, any loan or advance to any entity or individual, including, without limitation, any employee or director of the Corporation or any subsidiary, except advances and similar expenditures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3.3.12 unless otherwise approved by the Requisite Directors, guarantee, directly or indirectly, or permit any subsidiary to guarantee, directly or indirectly, any indebtedness except for trade accounts of the Corporation or any subsidiary arising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3.3.13 unless otherwise approved by the Requisite Directors, hire, terminate, or change the compensation of, approve or amend any stock or option awards to, or enter into any non-employment related transaction with, the Chief Executive Officer, any individual reporting directly to the Board of Directors, or executive-level individual reporting directly to the Chief Executive Officer, or any immediate family member of any such individual; or </w:t>
      </w:r>
    </w:p>
    <w:p>
      <w:pPr>
        <w:pStyle w:val="TextBody"/>
        <w:bidi w:val="0"/>
        <w:spacing w:before="240" w:after="0"/>
        <w:jc w:val="left"/>
        <w:rPr>
          <w:rFonts w:ascii="Times New Roman" w:hAnsi="Times New Roman"/>
          <w:sz w:val="20"/>
        </w:rPr>
      </w:pPr>
      <w:r>
        <w:rPr>
          <w:rFonts w:ascii="Times New Roman" w:hAnsi="Times New Roman"/>
          <w:sz w:val="20"/>
        </w:rPr>
        <w:t xml:space="preserve">3.3.14 unless otherwise approved by the Requisite Directors, approve any equity grant to any employee who holds at least 1% of the capital stock of the Corporation (on an as-converted basis) that (A) vests other than on a four-year schedule with a one-year cliff, (B) provides for acceleration of vesting, or (C) is not subject to a right of first refusal in favor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Optional</w:t>
      </w:r>
      <w:r>
        <w:rPr>
          <w:rFonts w:ascii="Times New Roman" w:hAnsi="Times New Roman"/>
          <w:sz w:val="20"/>
        </w:rPr>
        <w:t xml:space="preserve"> </w:t>
      </w:r>
      <w:r>
        <w:rPr>
          <w:rFonts w:ascii="Times New Roman" w:hAnsi="Times New Roman"/>
          <w:b/>
          <w:sz w:val="20"/>
        </w:rPr>
        <w:t>Conversion</w:t>
      </w:r>
      <w:r>
        <w:rPr>
          <w:rFonts w:ascii="Times New Roman" w:hAnsi="Times New Roman"/>
          <w:sz w:val="20"/>
        </w:rPr>
        <w:t>. The holders of the Preferred Stock shall have conversion rights as follows (the “</w:t>
      </w:r>
      <w:r>
        <w:rPr>
          <w:rFonts w:ascii="Times New Roman" w:hAnsi="Times New Roman"/>
          <w:b/>
          <w:sz w:val="20"/>
        </w:rPr>
        <w:t>Conversion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rPr>
        <w:t>Conversion Ratio</w:t>
      </w:r>
      <w:r>
        <w:rPr>
          <w:rFonts w:ascii="Times New Roman" w:hAnsi="Times New Roman"/>
          <w:sz w:val="20"/>
        </w:rPr>
        <w:t xml:space="preserve">. Each share of Preferred Stock shall be convertible, at the option of the holder thereof, at any time, and without the payment of additional consideration by the holder thereof, into such whole number of fully paid and non-assessable shares of Common Stock (calculated as provided in </w:t>
      </w:r>
      <w:r>
        <w:rPr>
          <w:rFonts w:ascii="Times New Roman" w:hAnsi="Times New Roman"/>
          <w:sz w:val="20"/>
          <w:u w:val="single"/>
        </w:rPr>
        <w:t>Section 4.2</w:t>
      </w:r>
      <w:r>
        <w:rPr>
          <w:rFonts w:ascii="Times New Roman" w:hAnsi="Times New Roman"/>
          <w:sz w:val="20"/>
        </w:rPr>
        <w:t xml:space="preserve"> below), as is determined by dividing the applicable Original Issue Price by the applicable Conversion Price (as defined below) in effect at the time of conversion. The “</w:t>
      </w:r>
      <w:r>
        <w:rPr>
          <w:rFonts w:ascii="Times New Roman" w:hAnsi="Times New Roman"/>
          <w:b/>
          <w:sz w:val="20"/>
        </w:rPr>
        <w:t>Conversion Price</w:t>
      </w:r>
      <w:r>
        <w:rPr>
          <w:rFonts w:ascii="Times New Roman" w:hAnsi="Times New Roman"/>
          <w:sz w:val="20"/>
        </w:rPr>
        <w:t xml:space="preserve">” applicable to the Preferred Stock as of the Original Issue Date shall be equal to $4.50 per share of the Series A Preferred Stock. The Conversion Price for the Series A-1 Preferred Stock as of the Original Issue Date shall be $4.50 per share (which shall be equal to the initial Conversion Price for the Series A Preferred Stock). Such initial Conversion Price for a series of Preferred Stock, and the rate at which shares of Preferred Stock may be converted into shares of Common Stock, shall be subject to adjustment as provided in this </w:t>
      </w:r>
      <w:r>
        <w:rPr>
          <w:rFonts w:ascii="Times New Roman" w:hAnsi="Times New Roman"/>
          <w:sz w:val="20"/>
          <w:u w:val="single"/>
        </w:rPr>
        <w:t>Section 4</w:t>
      </w:r>
      <w:r>
        <w:rPr>
          <w:rFonts w:ascii="Times New Roman" w:hAnsi="Times New Roman"/>
          <w:sz w:val="20"/>
        </w:rPr>
        <w:t xml:space="preserve">. Notwithstanding the foregoing and notwithstanding </w:t>
      </w:r>
      <w:r>
        <w:rPr>
          <w:rFonts w:ascii="Times New Roman" w:hAnsi="Times New Roman"/>
          <w:sz w:val="20"/>
          <w:u w:val="single"/>
        </w:rPr>
        <w:t>Section 4.3.1</w:t>
      </w:r>
      <w:r>
        <w:rPr>
          <w:rFonts w:ascii="Times New Roman" w:hAnsi="Times New Roman"/>
          <w:sz w:val="20"/>
        </w:rPr>
        <w:t xml:space="preserve">, the optional right to convert shares of Series A Preferred Stock into shares of Common Stock pursuant to the first sentence of this </w:t>
      </w:r>
      <w:r>
        <w:rPr>
          <w:rFonts w:ascii="Times New Roman" w:hAnsi="Times New Roman"/>
          <w:sz w:val="20"/>
          <w:u w:val="single"/>
        </w:rPr>
        <w:t>Section 4.1.1</w:t>
      </w:r>
      <w:r>
        <w:rPr>
          <w:rFonts w:ascii="Times New Roman" w:hAnsi="Times New Roman"/>
          <w:sz w:val="20"/>
        </w:rPr>
        <w:t xml:space="preserve"> shall be suspended, and no optional conversion of Series A Preferred Stock may be effective, from and after the date the Corporation delivers (pursuant to Section 5.2.1 below) notice of a Qualified Financing (as defined below) until immediately after the earlier of (x) consummation of the Qualified Financing and the associated Special Mandatory Conversion or (y) termination of the Qualified Financing; provided, however, that the foregoing limitation on the right to optionally convert shares into Common Stock pursuant to this Section 4.1.1 shall not affect the calculation of the number of shares deemed issuable upon conversion of such shares for purposes of (A) voting rights under this Certificate of Incorporation, or (B) determining amounts payable in respect of shares of Series A Preferred Stock in connection with a dissolution, liquidation, or winding up of the Corporation or pursuant to a Deemed Liquidation Event. For the avoidance of doubt, this suspension shall not apply to the Series A-1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rPr>
        <w:t>Termination of Conversion Rights</w:t>
      </w:r>
      <w:r>
        <w:rPr>
          <w:rFonts w:ascii="Times New Roman" w:hAnsi="Times New Roman"/>
          <w:sz w:val="20"/>
        </w:rPr>
        <w:t xml:space="preserve">. In the event of a notice of redemption of any shares of Preferred Stock pursuant to </w:t>
      </w:r>
      <w:r>
        <w:rPr>
          <w:rFonts w:ascii="Times New Roman" w:hAnsi="Times New Roman"/>
          <w:sz w:val="20"/>
          <w:u w:val="single"/>
        </w:rPr>
        <w:t>Section 2.3.2(b)</w:t>
      </w:r>
      <w:r>
        <w:rPr>
          <w:rFonts w:ascii="Times New Roman" w:hAnsi="Times New Roman"/>
          <w:sz w:val="20"/>
        </w:rPr>
        <w:t xml:space="preserve">, the Conversion Rights of the shares designated for redemption shall terminate at 5:00 p.m. Eastern time (the “close of business” for purposes hereof)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 w:hAnsi="Times New Roman"/>
          <w:i/>
          <w:sz w:val="20"/>
        </w:rPr>
        <w:t>provided</w:t>
      </w:r>
      <w:r>
        <w:rPr>
          <w:rFonts w:ascii="Times New Roman" w:hAnsi="Times New Roman"/>
          <w:sz w:val="20"/>
        </w:rPr>
        <w:t xml:space="preserve"> that the foregoing termination of Conversion Rights shall not affect the amount(s) otherwise paid or payable in accordance with </w:t>
      </w:r>
      <w:r>
        <w:rPr>
          <w:rFonts w:ascii="Times New Roman" w:hAnsi="Times New Roman"/>
          <w:sz w:val="20"/>
          <w:u w:val="single"/>
        </w:rPr>
        <w:t>Section 2.1</w:t>
      </w:r>
      <w:r>
        <w:rPr>
          <w:rFonts w:ascii="Times New Roman" w:hAnsi="Times New Roman"/>
          <w:sz w:val="20"/>
        </w:rPr>
        <w:t xml:space="preserve"> to the holders of Preferred Stock pursuant to such liquidation, dissolution or winding up of the Corporation or a Deemed Liquidation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Number of Shares Issuable Upon Conversion</w:t>
      </w:r>
      <w:r>
        <w:rPr>
          <w:rFonts w:ascii="Times New Roman" w:hAnsi="Times New Roman"/>
          <w:sz w:val="20"/>
        </w:rPr>
        <w:t xml:space="preserve">. The number of shares of Common Stock issuable to a holder of Preferred Stock upon conversion of such Preferred Stock shall be the nearest whole share, after aggregating all fractional interests in shares of Common Stock that would otherwise be issuable upon conversion of all shares of that same series of Preferred Stock being converted by such holder (with any fractional interests after such aggregation representing 0.5 or greater of a whole share being entitled to a whole share). For the avoidance of doubt, no fractional interests in shares of Common Stock shall be created or issuable as a result of the conversion of the Preferred Stock pursuant to </w:t>
      </w:r>
      <w:r>
        <w:rPr>
          <w:rFonts w:ascii="Times New Roman" w:hAnsi="Times New Roman"/>
          <w:sz w:val="20"/>
          <w:u w:val="single"/>
        </w:rPr>
        <w:t>Section 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4.3.1 </w:t>
      </w:r>
      <w:r>
        <w:rPr>
          <w:rFonts w:ascii="Times New Roman" w:hAnsi="Times New Roman"/>
          <w:b/>
          <w:sz w:val="20"/>
        </w:rPr>
        <w:t>Notice of Conversion</w:t>
      </w:r>
      <w:r>
        <w:rPr>
          <w:rFonts w:ascii="Times New Roman" w:hAnsi="Times New Roman"/>
          <w:sz w:val="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Unless a later time and date is otherwise specified by the Corporation,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hAnsi="Times New Roman"/>
          <w:b/>
          <w:sz w:val="20"/>
        </w:rPr>
        <w:t>Conversion Time</w:t>
      </w:r>
      <w:r>
        <w:rPr>
          <w:rFonts w:ascii="Times New Roman" w:hAnsi="Times New Roman"/>
          <w:sz w:val="20"/>
        </w:rPr>
        <w:t xml:space="preserve">”), and the shares of Common Stock issuable upon conversion of the specified shares shall be deemed to be outstanding of record as of such date. The Corporation shall, as soon as practicable after the Conversion Time (i) a notice of issuance of uncertificated shares and may, upon written request, issue and deliver a certificate for the number of full shares of Common Stock issuable upon such conversion in accordance with the provisions hereof and, may, if applicable and upon written request, issue and deliver a certificate for the number (if any) of the shares of Preferred Stock represented by any surrendered certificate that were not converted into Common Stock, and (ii) pay all declared but unpaid dividends on the shares of Preferred Stock converted. </w:t>
      </w:r>
    </w:p>
    <w:p>
      <w:pPr>
        <w:pStyle w:val="TextBody"/>
        <w:bidi w:val="0"/>
        <w:spacing w:before="240" w:after="0"/>
        <w:jc w:val="left"/>
        <w:rPr>
          <w:rFonts w:ascii="Times New Roman" w:hAnsi="Times New Roman"/>
          <w:sz w:val="20"/>
        </w:rPr>
      </w:pPr>
      <w:r>
        <w:rPr>
          <w:rFonts w:ascii="Times New Roman" w:hAnsi="Times New Roman"/>
          <w:sz w:val="20"/>
        </w:rPr>
        <w:t xml:space="preserve">4.3.2 </w:t>
      </w:r>
      <w:r>
        <w:rPr>
          <w:rFonts w:ascii="Times New Roman" w:hAnsi="Times New Roman"/>
          <w:b/>
          <w:sz w:val="20"/>
        </w:rPr>
        <w:t>Reservation of Shares</w:t>
      </w:r>
      <w:r>
        <w:rPr>
          <w:rFonts w:ascii="Times New Roman" w:hAnsi="Times New Roman"/>
          <w:sz w:val="20"/>
        </w:rPr>
        <w:t xml:space="preserve">.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that would cause an adjustment reducing the Conversion Price for any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4.3.3 </w:t>
      </w:r>
      <w:r>
        <w:rPr>
          <w:rFonts w:ascii="Times New Roman" w:hAnsi="Times New Roman"/>
          <w:b/>
          <w:sz w:val="20"/>
        </w:rPr>
        <w:t>Effect of Conversion</w:t>
      </w:r>
      <w:r>
        <w:rPr>
          <w:rFonts w:ascii="Times New Roman" w:hAnsi="Times New Roman"/>
          <w:sz w:val="20"/>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 </w:t>
      </w:r>
    </w:p>
    <w:p>
      <w:pPr>
        <w:pStyle w:val="TextBody"/>
        <w:bidi w:val="0"/>
        <w:spacing w:before="240" w:after="0"/>
        <w:jc w:val="left"/>
        <w:rPr>
          <w:rFonts w:ascii="Times New Roman" w:hAnsi="Times New Roman"/>
          <w:sz w:val="20"/>
        </w:rPr>
      </w:pPr>
      <w:r>
        <w:rPr>
          <w:rFonts w:ascii="Times New Roman" w:hAnsi="Times New Roman"/>
          <w:sz w:val="20"/>
        </w:rPr>
        <w:t xml:space="preserve">4.3.4 </w:t>
      </w:r>
      <w:r>
        <w:rPr>
          <w:rFonts w:ascii="Times New Roman" w:hAnsi="Times New Roman"/>
          <w:b/>
          <w:sz w:val="20"/>
        </w:rPr>
        <w:t>No Further Adjustment</w:t>
      </w:r>
      <w:r>
        <w:rPr>
          <w:rFonts w:ascii="Times New Roman" w:hAnsi="Times New Roman"/>
          <w:sz w:val="20"/>
        </w:rPr>
        <w:t xml:space="preserve">. Upon any such conversion, no adjustment to the Conversion Price shall be made for any declared but unpaid dividends on the Preferred Stock surrendered for conversion or on the Common Stock delivered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4.3.5 </w:t>
      </w:r>
      <w:r>
        <w:rPr>
          <w:rFonts w:ascii="Times New Roman" w:hAnsi="Times New Roman"/>
          <w:b/>
          <w:sz w:val="20"/>
        </w:rPr>
        <w:t>Taxes</w:t>
      </w:r>
      <w:r>
        <w:rPr>
          <w:rFonts w:ascii="Times New Roman" w:hAnsi="Times New Roman"/>
          <w:sz w:val="20"/>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hAnsi="Times New Roman"/>
          <w:sz w:val="20"/>
          <w:u w:val="single"/>
        </w:rPr>
        <w:t>Section 4</w:t>
      </w:r>
      <w:r>
        <w:rPr>
          <w:rFonts w:ascii="Times New Roman" w:hAnsi="Times New Roman"/>
          <w:sz w:val="20"/>
        </w:rPr>
        <w:t xml:space="preserve">.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Adjustments</w:t>
      </w:r>
      <w:r>
        <w:rPr>
          <w:rFonts w:ascii="Times New Roman" w:hAnsi="Times New Roman"/>
          <w:sz w:val="20"/>
        </w:rPr>
        <w:t xml:space="preserve"> </w:t>
      </w:r>
      <w:r>
        <w:rPr>
          <w:rFonts w:ascii="Times New Roman" w:hAnsi="Times New Roman"/>
          <w:b/>
          <w:sz w:val="20"/>
        </w:rPr>
        <w:t>to Preferred Stock Conversion Price for Diluting Issues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4.4.1 </w:t>
      </w:r>
      <w:r>
        <w:rPr>
          <w:rFonts w:ascii="Times New Roman" w:hAnsi="Times New Roman"/>
          <w:b/>
          <w:sz w:val="20"/>
        </w:rPr>
        <w:t>Special Definitions</w:t>
      </w:r>
      <w:r>
        <w:rPr>
          <w:rFonts w:ascii="Times New Roman" w:hAnsi="Times New Roman"/>
          <w:sz w:val="20"/>
        </w:rPr>
        <w:t xml:space="preserve">. For purposes of this Article Fourth, the following definitions shall apply: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Additional Shares of Common Stock</w:t>
      </w:r>
      <w:r>
        <w:rPr>
          <w:rFonts w:ascii="Times New Roman" w:hAnsi="Times New Roman"/>
          <w:sz w:val="20"/>
        </w:rPr>
        <w:t xml:space="preserve">” means all shares of Common Stock issued (or, pursuant to </w:t>
      </w:r>
      <w:r>
        <w:rPr>
          <w:rFonts w:ascii="Times New Roman" w:hAnsi="Times New Roman"/>
          <w:sz w:val="20"/>
          <w:u w:val="single"/>
        </w:rPr>
        <w:t>Section 4.4.3</w:t>
      </w:r>
      <w:r>
        <w:rPr>
          <w:rFonts w:ascii="Times New Roman" w:hAnsi="Times New Roman"/>
          <w:sz w:val="20"/>
        </w:rPr>
        <w:t xml:space="preserve"> below, deemed to be issued) by the Corporation after the Original Issue Date (as defined below), other than (1) the following shares of Common Stock and (2) shares of Common Stock deemed issued pursuant to the following Options and Convertible Securities, (clauses (1) and (2), collectively, “</w:t>
      </w:r>
      <w:r>
        <w:rPr>
          <w:rFonts w:ascii="Times New Roman" w:hAnsi="Times New Roman"/>
          <w:b/>
          <w:sz w:val="20"/>
        </w:rPr>
        <w:t>Exempted 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any series of Preferred Stock, shares of Common Stock, Options or Convertible Securities issued as a dividend or distribution on such series of Preferred Stock (including dividends payable in connection with dividends on other classes or series of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by reason of a dividend, stock split, split-up or other distribution on shares of Common Stock that is covered by </w:t>
            </w:r>
            <w:r>
              <w:rPr>
                <w:rFonts w:ascii="Times New Roman" w:hAnsi="Times New Roman"/>
                <w:sz w:val="20"/>
                <w:u w:val="single"/>
              </w:rPr>
              <w:t>Section 4.5</w:t>
            </w:r>
            <w:r>
              <w:rPr>
                <w:rFonts w:ascii="Times New Roman" w:hAnsi="Times New Roman"/>
                <w:sz w:val="20"/>
              </w:rPr>
              <w:t xml:space="preserve">, 4.6, </w:t>
            </w:r>
            <w:r>
              <w:rPr>
                <w:rFonts w:ascii="Times New Roman" w:hAnsi="Times New Roman"/>
                <w:sz w:val="20"/>
                <w:u w:val="single"/>
              </w:rPr>
              <w:t>4.7</w:t>
            </w:r>
            <w:r>
              <w:rPr>
                <w:rFonts w:ascii="Times New Roman" w:hAnsi="Times New Roman"/>
                <w:sz w:val="20"/>
              </w:rPr>
              <w:t xml:space="preserve"> or </w:t>
            </w:r>
            <w:r>
              <w:rPr>
                <w:rFonts w:ascii="Times New Roman" w:hAnsi="Times New Roman"/>
                <w:sz w:val="20"/>
                <w:u w:val="single"/>
              </w:rPr>
              <w:t>4.8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to banks, equipment lessors or other financial institutions, or to real property lessors, pursuant to a debt financing, equipment leasing or real property leasing transaction approved by the Requisite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653"/>
        <w:gridCol w:w="509"/>
        <w:gridCol w:w="7043"/>
      </w:tblGrid>
      <w:tr>
        <w:trPr/>
        <w:tc>
          <w:tcPr>
            <w:tcW w:w="265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or Options issued to employees or directors of, or consultants or advisors to, the Corporation or any of its subsidiaries pursuant to a plan, agreement or arrangement approved (i) prior to the Original Issue Date or (ii) by the Requisite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to suppliers or third party service providers in connection with the provision of goods or services pursuant to transactions approved by the Requisite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9"/>
        <w:gridCol w:w="7044"/>
      </w:tblGrid>
      <w:tr>
        <w:trPr/>
        <w:tc>
          <w:tcPr>
            <w:tcW w:w="265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Times New Roman" w:hAnsi="Times New Roman"/>
                <w:sz w:val="20"/>
                <w:u w:val="single"/>
              </w:rPr>
              <w:t>provided</w:t>
            </w:r>
            <w:r>
              <w:rPr>
                <w:rFonts w:ascii="Times New Roman" w:hAnsi="Times New Roman"/>
                <w:sz w:val="20"/>
              </w:rPr>
              <w:t xml:space="preserve"> that such issuances are approved by the Requisite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issued in connection with a firmly underwritten public offering of the Corporation’s Common Stock pursuant to an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in connection with sponsored research, collaboration, technology license, development, OEM, marketing or other similar agreements or strategic partnerships approved by the Requisite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Series A-1 Preferred Stock, shares of Common Stock issuable or issued upon conversion of Series A-1 Preferred Stock, warrants to purchase shares of Series A-1 Preferred Stock, or shares of Series A-1 Preferred Stock issuable or issued upon exercise of warrants to purchase shares of Series A-1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sz w:val="20"/>
        </w:rPr>
        <w:t>Convertible Securities</w:t>
      </w:r>
      <w:r>
        <w:rPr>
          <w:rFonts w:ascii="Times New Roman" w:hAnsi="Times New Roman"/>
          <w:sz w:val="20"/>
        </w:rPr>
        <w:t xml:space="preserve">” means any evidences of indebtedness, shares or other securities directly or indirectly convertible into or exchangeable for Common Stock, but excluding Options.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Option</w:t>
      </w:r>
      <w:r>
        <w:rPr>
          <w:rFonts w:ascii="Times New Roman" w:hAnsi="Times New Roman"/>
          <w:sz w:val="20"/>
        </w:rPr>
        <w:t xml:space="preserve">” means any rights, options or warrants to subscribe for, purchase or otherwise acquire Common Stock or Convertible Securities.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Original Issue Date</w:t>
      </w:r>
      <w:r>
        <w:rPr>
          <w:rFonts w:ascii="Times New Roman" w:hAnsi="Times New Roman"/>
          <w:sz w:val="20"/>
        </w:rPr>
        <w:t xml:space="preserve">” means the date on which the first share of Series A Preferred Stock is issued. </w:t>
      </w:r>
    </w:p>
    <w:p>
      <w:pPr>
        <w:pStyle w:val="TextBody"/>
        <w:bidi w:val="0"/>
        <w:spacing w:before="240" w:after="0"/>
        <w:jc w:val="left"/>
        <w:rPr>
          <w:rFonts w:ascii="Times New Roman" w:hAnsi="Times New Roman"/>
          <w:sz w:val="20"/>
        </w:rPr>
      </w:pPr>
      <w:r>
        <w:rPr>
          <w:rFonts w:ascii="Times New Roman" w:hAnsi="Times New Roman"/>
          <w:sz w:val="20"/>
        </w:rPr>
        <w:t xml:space="preserve">4.4.2 </w:t>
      </w:r>
      <w:r>
        <w:rPr>
          <w:rFonts w:ascii="Times New Roman" w:hAnsi="Times New Roman"/>
          <w:b/>
          <w:sz w:val="20"/>
        </w:rPr>
        <w:t>No Adjustment of Preferred Stock Conversion Price</w:t>
      </w:r>
      <w:r>
        <w:rPr>
          <w:rFonts w:ascii="Times New Roman" w:hAnsi="Times New Roman"/>
          <w:sz w:val="20"/>
        </w:rPr>
        <w:t xml:space="preserve">. No adjustment in the Conversion Price of any series of Preferred Stock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4.4.3 </w:t>
      </w:r>
      <w:r>
        <w:rPr>
          <w:rFonts w:ascii="Times New Roman" w:hAnsi="Times New Roman"/>
          <w:b/>
          <w:sz w:val="20"/>
        </w:rPr>
        <w:t>Deemed Issue of Additional Shares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(b) If the terms of any Option or Convertible Security, the issuance of which resulted in an adjustment to the Conversion Price of any series of Preferred Stock pursuant to the terms of </w:t>
      </w:r>
      <w:r>
        <w:rPr>
          <w:rFonts w:ascii="Times New Roman" w:hAnsi="Times New Roman"/>
          <w:sz w:val="20"/>
          <w:u w:val="single"/>
        </w:rPr>
        <w:t>Section 4.4.4</w:t>
      </w:r>
      <w:r>
        <w:rPr>
          <w:rFonts w:ascii="Times New Roman" w:hAnsi="Times New Roman"/>
          <w:sz w:val="20"/>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for such series of Preferred Stock as would have obtained had such revised terms been in effect upon the original date of issuance of such Option or Convertible Security. Notwithstanding the foregoing, no readjustment pursuant to this </w:t>
      </w:r>
      <w:r>
        <w:rPr>
          <w:rFonts w:ascii="Times New Roman" w:hAnsi="Times New Roman"/>
          <w:sz w:val="20"/>
          <w:u w:val="single"/>
        </w:rPr>
        <w:t>Section B.4.4.3(b)</w:t>
      </w:r>
      <w:r>
        <w:rPr>
          <w:rFonts w:ascii="Times New Roman" w:hAnsi="Times New Roman"/>
          <w:sz w:val="20"/>
        </w:rPr>
        <w:t xml:space="preserve"> shall have the effect of increasing the Conversion Price applicable to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Times New Roman" w:hAnsi="Times New Roman"/>
          <w:sz w:val="20"/>
          <w:u w:val="single"/>
        </w:rPr>
        <w:t>Section 4.4.4</w:t>
      </w:r>
      <w:r>
        <w:rPr>
          <w:rFonts w:ascii="Times New Roman" w:hAnsi="Times New Roman"/>
          <w:sz w:val="20"/>
        </w:rPr>
        <w:t xml:space="preserve"> (either because the consideration per share (determined pursuant to </w:t>
      </w:r>
      <w:r>
        <w:rPr>
          <w:rFonts w:ascii="Times New Roman" w:hAnsi="Times New Roman"/>
          <w:sz w:val="20"/>
          <w:u w:val="single"/>
        </w:rPr>
        <w:t>Section 4.4.5</w:t>
      </w:r>
      <w:r>
        <w:rPr>
          <w:rFonts w:ascii="Times New Roman" w:hAnsi="Times New Roman"/>
          <w:sz w:val="20"/>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hAnsi="Times New Roman"/>
          <w:sz w:val="20"/>
          <w:u w:val="single"/>
        </w:rPr>
        <w:t>Section 4.4.3(a)</w:t>
      </w:r>
      <w:r>
        <w:rPr>
          <w:rFonts w:ascii="Times New Roman" w:hAnsi="Times New Roman"/>
          <w:sz w:val="20"/>
        </w:rPr>
        <w:t xml:space="preserve"> shall be deemed to have been issued effective upon such increase or decrease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(d) Upon the expiration or termination of any unexercised Option or unconverted or unexchanged Convertible Security (or portion thereof) which resulted (either upon its original issuance or upon a revision of its terms) in an adjustment to the Conversion Price of any series of Preferred Stock pursuant to the terms of </w:t>
      </w:r>
      <w:r>
        <w:rPr>
          <w:rFonts w:ascii="Times New Roman" w:hAnsi="Times New Roman"/>
          <w:sz w:val="20"/>
          <w:u w:val="single"/>
        </w:rPr>
        <w:t>Section 4.4.4</w:t>
      </w:r>
      <w:r>
        <w:rPr>
          <w:rFonts w:ascii="Times New Roman" w:hAnsi="Times New Roman"/>
          <w:sz w:val="20"/>
        </w:rPr>
        <w:t xml:space="preserve">, the Conversion Price of such series of Preferred Stock shall be readjusted to such Conversion Price for such series of Preferred Stock as would have obtained had such Option or Convertible Security (or portion thereof) never been issued. </w:t>
      </w:r>
    </w:p>
    <w:p>
      <w:pPr>
        <w:pStyle w:val="TextBody"/>
        <w:bidi w:val="0"/>
        <w:spacing w:before="240" w:after="0"/>
        <w:jc w:val="left"/>
        <w:rPr>
          <w:rFonts w:ascii="Times New Roman" w:hAnsi="Times New Roman"/>
          <w:sz w:val="20"/>
        </w:rPr>
      </w:pPr>
      <w:r>
        <w:rPr>
          <w:rFonts w:ascii="Times New Roman" w:hAnsi="Times New Roman"/>
          <w:sz w:val="20"/>
        </w:rPr>
        <w:t xml:space="preserve">(e) 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potentially subject to adjustment based upon subsequent events, any adjustment to the Conversion Price of a series of Preferred Stock provided for in this </w:t>
      </w:r>
      <w:r>
        <w:rPr>
          <w:rFonts w:ascii="Times New Roman" w:hAnsi="Times New Roman"/>
          <w:sz w:val="20"/>
          <w:u w:val="single"/>
        </w:rPr>
        <w:t>Section 4.4.3</w:t>
      </w:r>
      <w:r>
        <w:rPr>
          <w:rFonts w:ascii="Times New Roman" w:hAnsi="Times New Roman"/>
          <w:sz w:val="20"/>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hAnsi="Times New Roman"/>
          <w:sz w:val="20"/>
          <w:u w:val="single"/>
        </w:rPr>
        <w:t>Section 4.4.3</w:t>
      </w:r>
      <w:r>
        <w:rPr>
          <w:rFonts w:ascii="Times New Roman" w:hAnsi="Times New Roman"/>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Times New Roman" w:hAnsi="Times New Roman"/>
          <w:sz w:val="20"/>
          <w:u w:val="single"/>
        </w:rPr>
        <w:t>Section 4.4.3</w:t>
      </w:r>
      <w:r>
        <w:rPr>
          <w:rFonts w:ascii="Times New Roman" w:hAnsi="Times New Roman"/>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 Option or Convertible Security contains alternative conversion terms, such as a cap on the valuation of the Corporation at which such conversion will be effected, or circumstances where the Option or Convertible Security may be repaid in lieu of conversion, then the number of shares of Common Stock issuable upon the exercise, conversion and/or exchange of such Option or Convertible Security shall be deemed not calculable until such time as the applicable conversion terms are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4.4.4 </w:t>
      </w:r>
      <w:r>
        <w:rPr>
          <w:rFonts w:ascii="Times New Roman" w:hAnsi="Times New Roman"/>
          <w:b/>
          <w:sz w:val="20"/>
        </w:rPr>
        <w:t>Adjustment of Conversion Price Upon Issuance of Additional Shares of Common Stock</w:t>
      </w:r>
      <w:r>
        <w:rPr>
          <w:rFonts w:ascii="Times New Roman" w:hAnsi="Times New Roman"/>
          <w:sz w:val="20"/>
        </w:rPr>
        <w:t xml:space="preserve">. In the event the Corporation shall at any time after the Original Issue Date issue Additional Shares of Common Stock (including Additional Shares of Common Stock deemed to be issued pursuant to </w:t>
      </w:r>
      <w:r>
        <w:rPr>
          <w:rFonts w:ascii="Times New Roman" w:hAnsi="Times New Roman"/>
          <w:sz w:val="20"/>
          <w:u w:val="single"/>
        </w:rPr>
        <w:t>Section 4.4.3</w:t>
      </w:r>
      <w:r>
        <w:rPr>
          <w:rFonts w:ascii="Times New Roman" w:hAnsi="Times New Roman"/>
          <w:sz w:val="20"/>
        </w:rPr>
        <w:t xml:space="preserve">), without consideration or for a consideration per share less than the Conversion Price of a series of Preferred Stock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 </w:t>
      </w:r>
    </w:p>
    <w:p>
      <w:pPr>
        <w:pStyle w:val="TextBody"/>
        <w:bidi w:val="0"/>
        <w:spacing w:before="240" w:after="0"/>
        <w:jc w:val="center"/>
        <w:rPr>
          <w:rFonts w:ascii="Times New Roman" w:hAnsi="Times New Roman"/>
          <w:sz w:val="20"/>
        </w:rPr>
      </w:pPr>
      <w:r>
        <w:rPr>
          <w:rFonts w:ascii="Times New Roman" w:hAnsi="Times New Roman"/>
          <w:sz w:val="20"/>
        </w:rPr>
        <w:t xml:space="preserve">CP2 = CP1* (A + B) / (A + 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CP2</w:t>
      </w:r>
      <w:r>
        <w:rPr>
          <w:rFonts w:ascii="Times New Roman" w:hAnsi="Times New Roman"/>
          <w:sz w:val="20"/>
        </w:rPr>
        <w:t xml:space="preserve">” shall mean the Conversion Price of such series of Preferred Stock in effect immediately after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CP1</w:t>
      </w:r>
      <w:r>
        <w:rPr>
          <w:rFonts w:ascii="Times New Roman" w:hAnsi="Times New Roman"/>
          <w:sz w:val="20"/>
        </w:rPr>
        <w:t xml:space="preserve">” shall mean the Conversion Price of such series of Preferred Stock in effect immediately prior to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A</w:t>
      </w:r>
      <w:r>
        <w:rPr>
          <w:rFonts w:ascii="Times New Roman" w:hAnsi="Times New Roman"/>
          <w:sz w:val="20"/>
        </w:rPr>
        <w:t xml:space="preserve">”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B</w:t>
      </w:r>
      <w:r>
        <w:rPr>
          <w:rFonts w:ascii="Times New Roman" w:hAnsi="Times New Roman"/>
          <w:sz w:val="20"/>
        </w:rPr>
        <w:t xml:space="preserve">”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C</w:t>
      </w:r>
      <w:r>
        <w:rPr>
          <w:rFonts w:ascii="Times New Roman" w:hAnsi="Times New Roman"/>
          <w:sz w:val="20"/>
        </w:rPr>
        <w:t xml:space="preserve">” shall mean the number of such Additional Shares of Common Stock issued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4.4.5 </w:t>
      </w:r>
      <w:r>
        <w:rPr>
          <w:rFonts w:ascii="Times New Roman" w:hAnsi="Times New Roman"/>
          <w:b/>
          <w:sz w:val="20"/>
        </w:rPr>
        <w:t>Determination of Consideration</w:t>
      </w:r>
      <w:r>
        <w:rPr>
          <w:rFonts w:ascii="Times New Roman" w:hAnsi="Times New Roman"/>
          <w:sz w:val="20"/>
        </w:rPr>
        <w:t xml:space="preserve">. For purposes of this </w:t>
      </w:r>
      <w:r>
        <w:rPr>
          <w:rFonts w:ascii="Times New Roman" w:hAnsi="Times New Roman"/>
          <w:sz w:val="20"/>
          <w:u w:val="single"/>
        </w:rPr>
        <w:t>Section 4.4</w:t>
      </w:r>
      <w:r>
        <w:rPr>
          <w:rFonts w:ascii="Times New Roman" w:hAnsi="Times New Roman"/>
          <w:sz w:val="20"/>
        </w:rPr>
        <w:t xml:space="preserve">, the consideration received by the Corporation for the issuance or deemed issuance of any Additional Shares of Common Stock shall be computed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Cash and Property</w:t>
      </w:r>
      <w:r>
        <w:rPr>
          <w:rFonts w:ascii="Times New Roman" w:hAnsi="Times New Roman"/>
          <w:sz w:val="20"/>
        </w:rPr>
        <w:t xml:space="preserve">. Such consideration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it consists of cash, be computed at the aggregate amount of cash received by the Corporation, excluding amounts paid or payable for accrued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it consists of property other than cash, be computed at the fair market value thereof at the time of such issue, as determined in good faith by the Board of Directors;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Options and Convertible Securities</w:t>
      </w:r>
      <w:r>
        <w:rPr>
          <w:rFonts w:ascii="Times New Roman" w:hAnsi="Times New Roman"/>
          <w:sz w:val="20"/>
        </w:rPr>
        <w:t xml:space="preserve">. The consideration per share received by the Corporation for Additional Shares of Common Stock deemed to have been issued pursuant to </w:t>
      </w:r>
      <w:r>
        <w:rPr>
          <w:rFonts w:ascii="Times New Roman" w:hAnsi="Times New Roman"/>
          <w:sz w:val="20"/>
          <w:u w:val="single"/>
        </w:rPr>
        <w:t>Section 4.4.3</w:t>
      </w:r>
      <w:r>
        <w:rPr>
          <w:rFonts w:ascii="Times New Roman" w:hAnsi="Times New Roman"/>
          <w:sz w:val="20"/>
        </w:rPr>
        <w:t xml:space="preserve">, relating to Options and Convertible Securities, shall be determined by dividing: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1"/>
        <w:gridCol w:w="510"/>
        <w:gridCol w:w="7044"/>
      </w:tblGrid>
      <w:tr>
        <w:trPr/>
        <w:tc>
          <w:tcPr>
            <w:tcW w:w="265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4.4.6 </w:t>
      </w:r>
      <w:r>
        <w:rPr>
          <w:rFonts w:ascii="Times New Roman" w:hAnsi="Times New Roman"/>
          <w:b/>
          <w:sz w:val="20"/>
        </w:rPr>
        <w:t>Multiple Closing Dates</w:t>
      </w:r>
      <w:r>
        <w:rPr>
          <w:rFonts w:ascii="Times New Roman" w:hAnsi="Times New Roman"/>
          <w:sz w:val="20"/>
        </w:rPr>
        <w:t xml:space="preserve">.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w:t>
      </w:r>
      <w:r>
        <w:rPr>
          <w:rFonts w:ascii="Times New Roman" w:hAnsi="Times New Roman"/>
          <w:sz w:val="20"/>
          <w:u w:val="single"/>
        </w:rPr>
        <w:t>Section 4.4.4</w:t>
      </w:r>
      <w:r>
        <w:rPr>
          <w:rFonts w:ascii="Times New Roman" w:hAnsi="Times New Roman"/>
          <w:sz w:val="20"/>
        </w:rPr>
        <w:t xml:space="preserve"> then, upon the final such issuance, the Conversion Price for such series of Preferred Stock shall be readjusted to give effect to all such issuances as if they occurred on the date of the first such issuance (and without giving effect to any additional adjustments as a result of any such subsequent issuances within such period).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rPr>
        <w:t>Adjustment for Stock Splits and Combinations</w:t>
      </w:r>
      <w:r>
        <w:rPr>
          <w:rFonts w:ascii="Times New Roman" w:hAnsi="Times New Roman"/>
          <w:sz w:val="20"/>
        </w:rPr>
        <w:t xml:space="preserve">. If the Corporation shall at any time or from time to time after the Original Issue Date effect a subdivision of the outstanding Common Stock, the Conversion Price of each series of Preferred Stock in effect immediately before that subdivision shall be proportionately decreased so that the number of shares of Common Stock issuable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hAnsi="Times New Roman"/>
          <w:sz w:val="20"/>
          <w:u w:val="single"/>
        </w:rPr>
        <w:t>Section 4.5</w:t>
      </w:r>
      <w:r>
        <w:rPr>
          <w:rFonts w:ascii="Times New Roman" w:hAnsi="Times New Roman"/>
          <w:sz w:val="20"/>
        </w:rPr>
        <w:t xml:space="preserve">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rPr>
        <w:t>Adjustment for Certain Dividends and Distributions</w:t>
      </w:r>
      <w:r>
        <w:rPr>
          <w:rFonts w:ascii="Times New Roman" w:hAnsi="Times New Roman"/>
          <w:sz w:val="20"/>
        </w:rPr>
        <w:t xml:space="preserve">. If at any time or from time to time after the Original Issue Date the Corporation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if such a record date shall have been fixed, as of the close of business on such record date, by multiplying the Conversion Price of each such series of Preferred Stock then in effect by a fraction: </w:t>
      </w:r>
    </w:p>
    <w:p>
      <w:pPr>
        <w:pStyle w:val="TextBody"/>
        <w:bidi w:val="0"/>
        <w:spacing w:before="240" w:after="0"/>
        <w:jc w:val="left"/>
        <w:rPr>
          <w:rFonts w:ascii="Times New Roman" w:hAnsi="Times New Roman"/>
          <w:sz w:val="20"/>
        </w:rPr>
      </w:pPr>
      <w:r>
        <w:rPr>
          <w:rFonts w:ascii="Times New Roman" w:hAnsi="Times New Roman"/>
          <w:sz w:val="20"/>
        </w:rPr>
        <w:t xml:space="preserve">(1) the numerator of which shall be the total number of shares of Common Stock issued and outstanding immediately prior to the time of such issuance or the close of business on such record date,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w:t>
      </w:r>
      <w:r>
        <w:rPr>
          <w:rFonts w:ascii="Times New Roman" w:hAnsi="Times New Roman"/>
          <w:sz w:val="20"/>
          <w:u w:val="single"/>
        </w:rPr>
        <w:t>Section 4.6</w:t>
      </w:r>
      <w:r>
        <w:rPr>
          <w:rFonts w:ascii="Times New Roman" w:hAnsi="Times New Roman"/>
          <w:sz w:val="20"/>
        </w:rPr>
        <w:t xml:space="preserve"> as of the time of actual payment of such dividends or distributions; and (b)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rPr>
        <w:t>Adjustments for Other Dividends and Distributions</w:t>
      </w:r>
      <w:r>
        <w:rPr>
          <w:rFonts w:ascii="Times New Roman" w:hAnsi="Times New Roman"/>
          <w:sz w:val="20"/>
        </w:rPr>
        <w:t xml:space="preserve">. If at any time or from time to time after the Original Issue Date the Corporation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rPr>
        <w:t>Adjustment for Merger or Reorganization, etc</w:t>
      </w:r>
      <w:r>
        <w:rPr>
          <w:rFonts w:ascii="Times New Roman" w:hAnsi="Times New Roman"/>
          <w:sz w:val="20"/>
        </w:rPr>
        <w:t xml:space="preserve">. Subject to the provisions of </w:t>
      </w:r>
      <w:r>
        <w:rPr>
          <w:rFonts w:ascii="Times New Roman" w:hAnsi="Times New Roman"/>
          <w:sz w:val="20"/>
          <w:u w:val="single"/>
        </w:rPr>
        <w:t>Section 2.3</w:t>
      </w:r>
      <w:r>
        <w:rPr>
          <w:rFonts w:ascii="Times New Roman" w:hAnsi="Times New Roman"/>
          <w:sz w:val="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hAnsi="Times New Roman"/>
          <w:sz w:val="20"/>
          <w:u w:val="single"/>
        </w:rPr>
        <w:t>Sections 4.4</w:t>
      </w:r>
      <w:r>
        <w:rPr>
          <w:rFonts w:ascii="Times New Roman" w:hAnsi="Times New Roman"/>
          <w:sz w:val="20"/>
        </w:rPr>
        <w:t xml:space="preserve">, 4.6 or </w:t>
      </w:r>
      <w:r>
        <w:rPr>
          <w:rFonts w:ascii="Times New Roman" w:hAnsi="Times New Roman"/>
          <w:sz w:val="20"/>
          <w:u w:val="single"/>
        </w:rPr>
        <w:t>4.7</w:t>
      </w:r>
      <w:r>
        <w:rPr>
          <w:rFonts w:ascii="Times New Roman" w:hAnsi="Times New Roman"/>
          <w:sz w:val="20"/>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Preferred Stock,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Conversion Price of each series of Preferred Stock) shall thereafter be applicable, as nearly as reasonably may be, in relation to any securities or other property thereafter deliverable upon the conversion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rPr>
        <w:t>Certificate as to Adjustments</w:t>
      </w:r>
      <w:r>
        <w:rPr>
          <w:rFonts w:ascii="Times New Roman" w:hAnsi="Times New Roman"/>
          <w:sz w:val="20"/>
        </w:rPr>
        <w:t xml:space="preserve">. Upon the occurrence of each adjustment or readjustment of the Conversion Price of a series of Preferred Stock pursuant to this </w:t>
      </w:r>
      <w:r>
        <w:rPr>
          <w:rFonts w:ascii="Times New Roman" w:hAnsi="Times New Roman"/>
          <w:sz w:val="20"/>
          <w:u w:val="single"/>
        </w:rPr>
        <w:t>Section 4</w:t>
      </w:r>
      <w:r>
        <w:rPr>
          <w:rFonts w:ascii="Times New Roman" w:hAnsi="Times New Roman"/>
          <w:sz w:val="20"/>
        </w:rPr>
        <w:t xml:space="preserve">, the Corporation at its expense shall, as promptly as reasonably practicable but in any event not later than ten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Conversion Price then in effect for each series of Preferred Stock held by such holder, and (ii) the number of shares of Common Stock and the amount, if any, of other securities, cash or property which then would be received upon the conversion of each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series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(b) of any capital reorganization of the Corporation, any reclassification of the Common Stock of the Corporation, or any Deemed Liquidation Event; or </w:t>
      </w:r>
    </w:p>
    <w:p>
      <w:pPr>
        <w:pStyle w:val="TextBody"/>
        <w:bidi w:val="0"/>
        <w:spacing w:before="240" w:after="0"/>
        <w:jc w:val="left"/>
        <w:rPr>
          <w:rFonts w:ascii="Times New Roman" w:hAnsi="Times New Roman"/>
          <w:sz w:val="20"/>
        </w:rPr>
      </w:pPr>
      <w:r>
        <w:rPr>
          <w:rFonts w:ascii="Times New Roman" w:hAnsi="Times New Roman"/>
          <w:sz w:val="20"/>
        </w:rPr>
        <w:t xml:space="preserve">(c) of the voluntary or involuntary dissolution, liquidation or winding-up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General Mandatory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5.1.1 </w:t>
      </w:r>
      <w:r>
        <w:rPr>
          <w:rFonts w:ascii="Times New Roman" w:hAnsi="Times New Roman"/>
          <w:b/>
          <w:sz w:val="20"/>
        </w:rPr>
        <w:t>Trigger Events</w:t>
      </w:r>
      <w:r>
        <w:rPr>
          <w:rFonts w:ascii="Times New Roman" w:hAnsi="Times New Roman"/>
          <w:sz w:val="20"/>
        </w:rPr>
        <w:t xml:space="preserve">. All outstanding shares of Preferred Stock shall automatically be converted into shares of Common Stock, at the then effective conversion rate as calculated pursuant to </w:t>
      </w:r>
      <w:r>
        <w:rPr>
          <w:rFonts w:ascii="Times New Roman" w:hAnsi="Times New Roman"/>
          <w:sz w:val="20"/>
          <w:u w:val="single"/>
        </w:rPr>
        <w:t>Sections 4.1.1</w:t>
      </w:r>
      <w:r>
        <w:rPr>
          <w:rFonts w:ascii="Times New Roman" w:hAnsi="Times New Roman"/>
          <w:sz w:val="20"/>
        </w:rPr>
        <w:t xml:space="preserve"> and </w:t>
      </w:r>
      <w:r>
        <w:rPr>
          <w:rFonts w:ascii="Times New Roman" w:hAnsi="Times New Roman"/>
          <w:sz w:val="20"/>
          <w:u w:val="single"/>
        </w:rPr>
        <w:t>4.2</w:t>
      </w:r>
      <w:r>
        <w:rPr>
          <w:rFonts w:ascii="Times New Roman" w:hAnsi="Times New Roman"/>
          <w:sz w:val="20"/>
        </w:rPr>
        <w:t>, upon the earliest to occur of (the time of such conversion is referred to herein as the “</w:t>
      </w:r>
      <w:r>
        <w:rPr>
          <w:rFonts w:ascii="Times New Roman" w:hAnsi="Times New Roman"/>
          <w:b/>
          <w:sz w:val="20"/>
        </w:rPr>
        <w:t>Mandatory Conversion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immediately prior to the closing of the sale of shares of Common Stock to the public, in a firm-commitment underwritten public offering pursuant to an effective registration statement under the Securities Act of 1933, as amended, resulting in (i) a pre-money valuation of the Corporation of at least $250,000,000 and (ii) at least $50,000,000 of gross proceeds to the Corporation and in connection with such offering the shares of Common Stock are listed for trading on the Nasdaq Stock Market, the New York Stock Exchange or another exchange or marketplace approved by the Requisite Directors (a “</w:t>
      </w:r>
      <w:r>
        <w:rPr>
          <w:rFonts w:ascii="Times New Roman" w:hAnsi="Times New Roman"/>
          <w:b/>
          <w:sz w:val="20"/>
        </w:rPr>
        <w:t>Qualified IPO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prior to the closing of a transaction or series of related transactions in which the Corporation combines with a publicly traded entity (the “</w:t>
      </w:r>
      <w:r>
        <w:rPr>
          <w:rFonts w:ascii="Times New Roman" w:hAnsi="Times New Roman"/>
          <w:b/>
          <w:sz w:val="20"/>
        </w:rPr>
        <w:t>Public Company</w:t>
      </w:r>
      <w:r>
        <w:rPr>
          <w:rFonts w:ascii="Times New Roman" w:hAnsi="Times New Roman"/>
          <w:sz w:val="20"/>
        </w:rPr>
        <w:t>”) by way of merger, consolidation, share exchange or similar transaction, such that immediately following such transaction the equityholders of the Corporation immediately prior to such transaction own, directly or indirectly, a majority of the voting power or economic interests of the Public Company (or its successor), and the Public Company (or its successor) is the surviving publicly traded entity (a “</w:t>
      </w:r>
      <w:r>
        <w:rPr>
          <w:rFonts w:ascii="Times New Roman" w:hAnsi="Times New Roman"/>
          <w:b/>
          <w:sz w:val="20"/>
        </w:rPr>
        <w:t>Reverse Merger Transaction</w:t>
      </w:r>
      <w:r>
        <w:rPr>
          <w:rFonts w:ascii="Times New Roman" w:hAnsi="Times New Roman"/>
          <w:sz w:val="20"/>
        </w:rPr>
        <w:t xml:space="preserve">”). For the avoidance of doubt, a Reverse Merger Transaction shall include any “sign-and-close” transaction or similar structure in which, at the initial closing, (i) the equityholders of the Corporation receive shares of common stock of the Public Company representing no more than 19.9% of the outstanding common stock (or voting power) of the Public Company immediately prior to such issuance, and (ii) the equityholders of the Corporation receive one or more classes or series of preferred stock (or other equity securities) of the Public Company that are convertible into or exercisable for additional shares of common stock, whether or not such conversion or exercise is subject to stockholder approval, exchange rules or other contingencies, where such preferred stock or other securities are intended to, or would upon conversion or exercise, result in the equityholders of the Corporation owning a majority of the voting power or economic interests of the Public Company (or its successor). A Reverse Merger Transaction shall be deemed to occur regardless of whether the transaction is effected in a single step or multiple steps, and regardless of whether stockholder approval, regulatory approval or other conditions to conversion or issuance are satisfied at or after the initial closing; and </w:t>
      </w:r>
    </w:p>
    <w:p>
      <w:pPr>
        <w:pStyle w:val="TextBody"/>
        <w:bidi w:val="0"/>
        <w:spacing w:before="240" w:after="0"/>
        <w:jc w:val="left"/>
        <w:rPr>
          <w:rFonts w:ascii="Times New Roman" w:hAnsi="Times New Roman"/>
          <w:sz w:val="20"/>
        </w:rPr>
      </w:pPr>
      <w:r>
        <w:rPr>
          <w:rFonts w:ascii="Times New Roman" w:hAnsi="Times New Roman"/>
          <w:sz w:val="20"/>
        </w:rPr>
        <w:t xml:space="preserve">(c) the date and time, or upon the occurrence of an event, specified by vote or written consent of the holders of a majority of the outstanding shares of Series A Preferred Stock, voting together as a single class on an as-converted to Common Stock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5.1.2 </w:t>
      </w:r>
      <w:r>
        <w:rPr>
          <w:rFonts w:ascii="Times New Roman" w:hAnsi="Times New Roman"/>
          <w:b/>
          <w:sz w:val="20"/>
        </w:rPr>
        <w:t>Procedural Requirements</w:t>
      </w:r>
      <w:r>
        <w:rPr>
          <w:rFonts w:ascii="Times New Roman" w:hAnsi="Times New Roman"/>
          <w:sz w:val="20"/>
        </w:rPr>
        <w:t xml:space="preserve">. All holders of record of shares of Preferred Stock (or the applicable series thereof) shall be sent written notice of the Mandatory Conversion Time and the place designated for mandatory conversion of all such shares of Preferred Stock pursuant to this </w:t>
      </w:r>
      <w:r>
        <w:rPr>
          <w:rFonts w:ascii="Times New Roman" w:hAnsi="Times New Roman"/>
          <w:sz w:val="20"/>
          <w:u w:val="single"/>
        </w:rPr>
        <w:t>Section 5</w:t>
      </w:r>
      <w:r>
        <w:rPr>
          <w:rFonts w:ascii="Times New Roman" w:hAnsi="Times New Roman"/>
          <w:sz w:val="20"/>
        </w:rPr>
        <w:t xml:space="preserve">. Such notice need not be sent in advance of the occurrence of the Mandatory Conversion Time. Upon receipt of such notice, each holder of shares of Preferred Stock being converted that holds such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hAnsi="Times New Roman"/>
          <w:sz w:val="20"/>
          <w:u w:val="single"/>
        </w:rPr>
        <w:t>Section 5.1</w:t>
      </w:r>
      <w:r>
        <w:rPr>
          <w:rFonts w:ascii="Times New Roman" w:hAnsi="Times New Roman"/>
          <w:sz w:val="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hAnsi="Times New Roman"/>
          <w:sz w:val="20"/>
          <w:u w:val="single"/>
        </w:rPr>
        <w:t>Section 5.2</w:t>
      </w:r>
      <w:r>
        <w:rPr>
          <w:rFonts w:ascii="Times New Roman" w:hAnsi="Times New Roman"/>
          <w:sz w:val="20"/>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or issue and deliver to such holder, or to his, her or its nominees, a notice of issuance of uncertificated shares and may, upon written request, issue and deliver a certificate for the number of full shares of Common Stock issuable upon such conversion in accordance with the provisions hereof; and (b) pay any declared but unpaid dividends on the shares of Preferred Stock converted.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Special 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b/>
          <w:sz w:val="20"/>
        </w:rPr>
        <w:t>Trigger Event</w:t>
      </w:r>
      <w:r>
        <w:rPr>
          <w:rFonts w:ascii="Times New Roman" w:hAnsi="Times New Roman"/>
          <w:sz w:val="20"/>
        </w:rPr>
        <w:t xml:space="preserve">. In the event that any holder of shares of Series A Preferred Stock does not participate in a Qualified Financing (as defined below) by purchasing in the aggregate, in such Qualified Financing and within the time period specified by the Corporation (provided that the Corporation has sent to each holder of Series A Preferred Stock at least 10 days’ written notice of, and the opportunity to purchase its Pro Rata Amount (as defined below) of, the Qualified Financing), such holder’s Pro Rata Amount, then each share of Series A Preferred Stock held by such holder shall automatically, and without any further action on the part of such holder, be converted into that number of shares of Common Stock equal to (i) the number of shares of Common Stock into which such share of Series A Preferred Stock would then be convertible pursuant to </w:t>
      </w:r>
      <w:r>
        <w:rPr>
          <w:rFonts w:ascii="Times New Roman" w:hAnsi="Times New Roman"/>
          <w:sz w:val="20"/>
          <w:u w:val="single"/>
        </w:rPr>
        <w:t>Section 4.1.1</w:t>
      </w:r>
      <w:r>
        <w:rPr>
          <w:rFonts w:ascii="Times New Roman" w:hAnsi="Times New Roman"/>
          <w:sz w:val="20"/>
        </w:rPr>
        <w:t xml:space="preserve"> in effect immediately prior to the consummation of such Qualified Financing, divided by (ii) ten (10), effective upon, subject to, and concurrently with, the consummation of the Qualified Financing. For the avoidance of doubt, (x) the foregoing conversion is intended to result in the conversion of each such share of Series A Preferred Stock into one-tenth (1/10th) of the number of shares of Common Stock into which such share would otherwise have converted on a one-to-one basis, and (y) this </w:t>
      </w:r>
      <w:r>
        <w:rPr>
          <w:rFonts w:ascii="Times New Roman" w:hAnsi="Times New Roman"/>
          <w:sz w:val="20"/>
          <w:u w:val="single"/>
        </w:rPr>
        <w:t>Section 5.2</w:t>
      </w:r>
      <w:r>
        <w:rPr>
          <w:rFonts w:ascii="Times New Roman" w:hAnsi="Times New Roman"/>
          <w:sz w:val="20"/>
        </w:rPr>
        <w:t xml:space="preserve"> shall not apply to the Series A-1 Preferred Stock, and no share of Series A-1 Preferred Stock shall be subject to a Special Mandatory Conversion or be converted, adjusted, or otherwise affected by reason of any holder’s participation or non-participation in a Qualified Financing. For purposes of determining the number of shares of Series A Preferred Stock owned by a holder, and for determining the number of Offered Securities (as defined below) a holder of Series A Preferred Stock has purchased in a Qualified Financing, all shares of Series A Preferred Stock held by, and all Offered Securities purchased by, Affiliates (as defined below) of such holder shall be aggregated with such holder’s shares and Offered Securities (provided that no shares or securities shall be attributed to more than one entity or person within any such group of affiliated entities or persons). Such conversion is referred to as a “</w:t>
      </w:r>
      <w:r>
        <w:rPr>
          <w:rFonts w:ascii="Times New Roman" w:hAnsi="Times New Roman"/>
          <w:b/>
          <w:sz w:val="20"/>
        </w:rPr>
        <w:t xml:space="preserve">Special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Mandatory Conversion</w:t>
      </w:r>
      <w:r>
        <w:rPr>
          <w:rFonts w:ascii="Times New Roman" w:hAnsi="Times New Roman"/>
          <w:sz w:val="20"/>
        </w:rPr>
        <w:t xml:space="preserve">.” For the avoidance of doubt, a holder of Series A Preferred Stock shall be deemed to have purchased its Pro Rata Amount to the extent its Pro Rata Amount is purchased, in whole or in part, by one or more of its Affiliates, and the Offered Securities so purchased by such Affiliates shall be aggregated with such holder’s purchases for purposes of determining whether such holder has purchased its Pro Rata Amount. Notwithstanding the foregoing, RA Capital Healthcare Fund, L.P. and RA Capital Nexus Fund IV, L.P. may elect, by written notice to the Corporation prior to the consummation of a Qualified Financing, to be treated either (i) as a single holder whose shares and Offered Securities are aggregated, or (ii) as separate holders each determined individually, for all purposes of this Section 5.2; and in the absence of such election they shall be treated as separate holders. </w:t>
      </w:r>
    </w:p>
    <w:p>
      <w:pPr>
        <w:pStyle w:val="TextBody"/>
        <w:bidi w:val="0"/>
        <w:spacing w:before="240" w:after="0"/>
        <w:jc w:val="left"/>
        <w:rPr>
          <w:rFonts w:ascii="Times New Roman" w:hAnsi="Times New Roman"/>
          <w:sz w:val="20"/>
        </w:rPr>
      </w:pPr>
      <w:r>
        <w:rPr>
          <w:rFonts w:ascii="Times New Roman" w:hAnsi="Times New Roman"/>
          <w:sz w:val="20"/>
        </w:rPr>
        <w:t xml:space="preserve">5.2.2 </w:t>
      </w:r>
      <w:r>
        <w:rPr>
          <w:rFonts w:ascii="Times New Roman" w:hAnsi="Times New Roman"/>
          <w:b/>
          <w:sz w:val="20"/>
        </w:rPr>
        <w:t>Procedural Requirements</w:t>
      </w:r>
      <w:r>
        <w:rPr>
          <w:rFonts w:ascii="Times New Roman" w:hAnsi="Times New Roman"/>
          <w:sz w:val="20"/>
        </w:rPr>
        <w:t xml:space="preserve">. Upon a Special Mandatory Conversion, each holder of shares of Series A Preferred Stock converted pursuant to </w:t>
      </w:r>
      <w:r>
        <w:rPr>
          <w:rFonts w:ascii="Times New Roman" w:hAnsi="Times New Roman"/>
          <w:sz w:val="20"/>
          <w:u w:val="single"/>
        </w:rPr>
        <w:t>Section 5.2.1</w:t>
      </w:r>
      <w:r>
        <w:rPr>
          <w:rFonts w:ascii="Times New Roman" w:hAnsi="Times New Roman"/>
          <w:sz w:val="20"/>
        </w:rPr>
        <w:t xml:space="preserve"> shall be sent written notice of such Special Mandatory Conversion and the place designated for mandatory conversion of all such shares of Series A Preferred Stock pursuant to this </w:t>
      </w:r>
      <w:r>
        <w:rPr>
          <w:rFonts w:ascii="Times New Roman" w:hAnsi="Times New Roman"/>
          <w:sz w:val="20"/>
          <w:u w:val="single"/>
        </w:rPr>
        <w:t>Section 5.2</w:t>
      </w:r>
      <w:r>
        <w:rPr>
          <w:rFonts w:ascii="Times New Roman" w:hAnsi="Times New Roman"/>
          <w:sz w:val="20"/>
        </w:rPr>
        <w:t xml:space="preserve">. Upon receipt of such notice, each holder of such shares of Series A Preferred Stock in certificated form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A Preferred Stock converted pursuant to </w:t>
      </w:r>
      <w:r>
        <w:rPr>
          <w:rFonts w:ascii="Times New Roman" w:hAnsi="Times New Roman"/>
          <w:sz w:val="20"/>
          <w:u w:val="single"/>
        </w:rPr>
        <w:t>Section 5.2.1</w:t>
      </w:r>
      <w:r>
        <w:rPr>
          <w:rFonts w:ascii="Times New Roman" w:hAnsi="Times New Roman"/>
          <w:sz w:val="20"/>
        </w:rPr>
        <w:t xml:space="preserve">,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w:t>
      </w:r>
      <w:r>
        <w:rPr>
          <w:rFonts w:ascii="Times New Roman" w:hAnsi="Times New Roman"/>
          <w:sz w:val="20"/>
          <w:u w:val="single"/>
        </w:rPr>
        <w:t>Section 5.2.2</w:t>
      </w:r>
      <w:r>
        <w:rPr>
          <w:rFonts w:ascii="Times New Roman" w:hAnsi="Times New Roman"/>
          <w:sz w:val="20"/>
        </w:rPr>
        <w:t xml:space="preserve">. As soon as practicable after the Special Mandatory Conversion and, if applicable, the surrender of any certificate or certificates (or lost certificate affidavit and agreement) for Series A Preferred Stock so converted, the Corporation shall (a) issue and deliver to such holder, or to his, her or its nominees, a notice of issuance of uncertificated shares (and, upon written request, a certificate) for the number of full shares of Common Stock issuable on such conversion in accordance with the provisions hereof, (b) pay any declared but unpaid dividends on the shares of Series A Preferred Stock converted, and (c) upon written request, issue and deliver a new certificate for the number of shares, if any, of Series A Preferred Stock represented by such surrendered certificate and not converted pursuant to </w:t>
      </w:r>
      <w:r>
        <w:rPr>
          <w:rFonts w:ascii="Times New Roman" w:hAnsi="Times New Roman"/>
          <w:sz w:val="20"/>
          <w:u w:val="single"/>
        </w:rPr>
        <w:t>Section 5.2.1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5.2.3 </w:t>
      </w:r>
      <w:r>
        <w:rPr>
          <w:rFonts w:ascii="Times New Roman" w:hAnsi="Times New Roman"/>
          <w:b/>
          <w:sz w:val="20"/>
        </w:rPr>
        <w:t>Definitions</w:t>
      </w:r>
      <w:r>
        <w:rPr>
          <w:rFonts w:ascii="Times New Roman" w:hAnsi="Times New Roman"/>
          <w:sz w:val="20"/>
        </w:rPr>
        <w:t xml:space="preserve">. For purposes of this </w:t>
      </w:r>
      <w:r>
        <w:rPr>
          <w:rFonts w:ascii="Times New Roman" w:hAnsi="Times New Roman"/>
          <w:sz w:val="20"/>
          <w:u w:val="single"/>
        </w:rPr>
        <w:t>Section 5.2</w:t>
      </w:r>
      <w:r>
        <w:rPr>
          <w:rFonts w:ascii="Times New Roman" w:hAnsi="Times New Roman"/>
          <w:sz w:val="20"/>
        </w:rPr>
        <w:t xml:space="preserve">, the following definitions shall apply: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shall mean, with respect to any holder of Preferred Stock, any other person or entity who, directly or indirectly, controls, is controlled by or is under common control with such holder, including, without limitation, any general partner, managing member, officer, director or trustee of such holder, or any venture capital or other investment fund now or hereafter existing that is controlled by one or more general partners or managing members of, or shares the same management company or investment adviser with,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Offered Securities</w:t>
      </w:r>
      <w:r>
        <w:rPr>
          <w:rFonts w:ascii="Times New Roman" w:hAnsi="Times New Roman"/>
          <w:sz w:val="20"/>
        </w:rPr>
        <w:t xml:space="preserve">” shall mean the equity securities of the Corporation or successor entity (as applicable) set aside by the Board of Directors for purchase by holders of outstanding shares of Series A Preferred Stock in connection with a Qualified Financing, and offered to such holders; </w:t>
      </w:r>
      <w:r>
        <w:rPr>
          <w:rFonts w:ascii="Times New Roman" w:hAnsi="Times New Roman"/>
          <w:sz w:val="20"/>
          <w:u w:val="single"/>
        </w:rPr>
        <w:t>provided</w:t>
      </w:r>
      <w:r>
        <w:rPr>
          <w:rFonts w:ascii="Times New Roman" w:hAnsi="Times New Roman"/>
          <w:sz w:val="20"/>
        </w:rPr>
        <w:t xml:space="preserve"> that the aggregate purchase price of the Offered Securities that any holder may be required to purchase to satisfy its Pro Rata Amount shall not exceed such holder’s pro rata share of $100,000,000 in gross proceeds of the Qualified Financing. For the avoidance of doubt, no holder shall be subject to a Special Mandatory Conversion so long as it purchases its Pro Rata Amount of the first $100,000,000 in gross proceeds raised in the Qualified Financing, regardless of the total size of the Qualified Financing. </w:t>
      </w:r>
    </w:p>
    <w:p>
      <w:pPr>
        <w:pStyle w:val="TextBody"/>
        <w:bidi w:val="0"/>
        <w:spacing w:before="240" w:after="0"/>
        <w:jc w:val="left"/>
        <w:rPr/>
      </w:pPr>
      <w:r>
        <w:rPr/>
        <w:t>“</w:t>
      </w:r>
      <w:r>
        <w:rPr>
          <w:rFonts w:ascii="Times New Roman" w:hAnsi="Times New Roman"/>
          <w:b/>
          <w:sz w:val="20"/>
        </w:rPr>
        <w:t>Pro Rata Amount</w:t>
      </w:r>
      <w:r>
        <w:rPr>
          <w:rFonts w:ascii="Times New Roman" w:hAnsi="Times New Roman"/>
          <w:sz w:val="20"/>
        </w:rPr>
        <w:t xml:space="preserve">” shall mean, with respect to any holder of Series A Preferred Stock, the lesser of (a) a number of Offered Securities calculated by multiplying the aggregate number of Offered Securities by a fraction, the numerator of which is equal to the number of shares of Series A Preferred Stock owned by such holder, and the denominator of which is equal to the aggregate number of outstanding shares of Series A Preferred Stock, or (b) the maximum number of Offered Securities that such holder is permitted by the Corporation to purchase in such Qualified Financing, after giving effect to any cutbacks or limitations established by the Board of Directors and applied on a pro rata basis to all holders of Series A Preferred Stock. </w:t>
      </w:r>
    </w:p>
    <w:p>
      <w:pPr>
        <w:pStyle w:val="TextBody"/>
        <w:bidi w:val="0"/>
        <w:spacing w:before="240" w:after="0"/>
        <w:jc w:val="left"/>
        <w:rPr/>
      </w:pPr>
      <w:r>
        <w:rPr/>
        <w:t>“</w:t>
      </w:r>
      <w:r>
        <w:rPr>
          <w:rFonts w:ascii="Times New Roman" w:hAnsi="Times New Roman"/>
          <w:b/>
          <w:sz w:val="20"/>
        </w:rPr>
        <w:t>Qualified Financing</w:t>
      </w:r>
      <w:r>
        <w:rPr>
          <w:rFonts w:ascii="Times New Roman" w:hAnsi="Times New Roman"/>
          <w:sz w:val="20"/>
        </w:rPr>
        <w:t xml:space="preserve">” shall mean the next </w:t>
      </w:r>
      <w:r>
        <w:rPr>
          <w:rFonts w:ascii="Times New Roman" w:hAnsi="Times New Roman"/>
          <w:i/>
          <w:sz w:val="20"/>
        </w:rPr>
        <w:t>bona fide</w:t>
      </w:r>
      <w:r>
        <w:rPr>
          <w:rFonts w:ascii="Times New Roman" w:hAnsi="Times New Roman"/>
          <w:sz w:val="20"/>
        </w:rPr>
        <w:t xml:space="preserve"> sale of the equity securities of either the Corporation or its successor entity in connection with a Reverse Merger Transaction which is consummated substantially concurrently with or following, and in connection with, the closing of a Reverse Merger Transaction, unless the Requisite Holders elect, by written notice sent to the Corporation at least 10 days prior to the consummation of such transaction, that such transaction not be treated as a Qualified Financing for purposes of this Section 5.2. For the avoidance of doubt, the issuance and sale of Series A Preferred Stock in the Series A Financing shall not constitute a Qualified Financing.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Redemption</w:t>
      </w:r>
      <w:r>
        <w:rPr>
          <w:rFonts w:ascii="Times New Roman" w:hAnsi="Times New Roman"/>
          <w:sz w:val="20"/>
        </w:rPr>
        <w:t xml:space="preserve">. Other than as set forth in </w:t>
      </w:r>
      <w:r>
        <w:rPr>
          <w:rFonts w:ascii="Times New Roman" w:hAnsi="Times New Roman"/>
          <w:sz w:val="20"/>
          <w:u w:val="single"/>
        </w:rPr>
        <w:t>Section 2.3.2(b)</w:t>
      </w:r>
      <w:r>
        <w:rPr>
          <w:rFonts w:ascii="Times New Roman" w:hAnsi="Times New Roman"/>
          <w:sz w:val="20"/>
        </w:rPr>
        <w:t xml:space="preserve">, the Preferred Stock is not redeemable at the option of the holder or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Redeemed or Otherwise Acquired Shares</w:t>
      </w:r>
      <w:r>
        <w:rPr>
          <w:rFonts w:ascii="Times New Roman" w:hAnsi="Times New Roman"/>
          <w:sz w:val="20"/>
        </w:rPr>
        <w:t xml:space="preserve">. Unless approved by the Board of Directors and the Requisite Holders,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 The Corporation may thereafter take such appropriate action (without the need for stockholder action) as may be necessary to reduce the authorized number of shares of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Waiver</w:t>
      </w:r>
      <w:r>
        <w:rPr>
          <w:rFonts w:ascii="Times New Roman" w:hAnsi="Times New Roman"/>
          <w:sz w:val="20"/>
        </w:rPr>
        <w:t xml:space="preserve">. Except as otherwise set forth herein, (a)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that would otherwise be required to amend such right, power, preference, or other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Notices</w:t>
      </w:r>
      <w:r>
        <w:rPr>
          <w:rFonts w:ascii="Times New Roman" w:hAnsi="Times New Roman"/>
          <w:sz w:val="20"/>
        </w:rPr>
        <w:t xml:space="preserve">. Any notice required or permitted by the provisions of this Article Fourth to be given to a holder of shares of Preferred Stock shall be mailed, postage prepaid, to the post office address last shown on the records of the Corporation, or given by electronic transmission in compliance with the provisions of the General Corporation Law,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b/>
          <w:sz w:val="20"/>
        </w:rPr>
        <w:t>FIFTH:</w:t>
      </w:r>
      <w:r>
        <w:rPr>
          <w:rFonts w:ascii="Times New Roman" w:hAnsi="Times New Roman"/>
          <w:sz w:val="20"/>
        </w:rPr>
        <w:t xml:space="preserve"> Subject to any additional vote required by this Certificate of Incorporation or the Bylaws of the Corporation, in furtherance and not in limitation of the powers conferred by statute, the Board of Directors is expressly authorized to make, repeal, alter, amend and rescind any or all of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SIXTH:</w:t>
      </w:r>
      <w:r>
        <w:rPr>
          <w:rFonts w:ascii="Times New Roman" w:hAnsi="Times New Roman"/>
          <w:sz w:val="20"/>
        </w:rPr>
        <w:t xml:space="preserve"> Subject to any additional vote required by this Certificate of Incorporation, the number of directors of the Corporation shall be determined in the manner set forth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SEVENTH:</w:t>
      </w:r>
      <w:r>
        <w:rPr>
          <w:rFonts w:ascii="Times New Roman" w:hAnsi="Times New Roman"/>
          <w:sz w:val="20"/>
        </w:rPr>
        <w:t xml:space="preserve"> Elections of directors need not be by written ballot unless the Bylaws of the Corporation shall so provide. </w:t>
      </w:r>
    </w:p>
    <w:p>
      <w:pPr>
        <w:pStyle w:val="TextBody"/>
        <w:bidi w:val="0"/>
        <w:spacing w:before="240" w:after="0"/>
        <w:jc w:val="left"/>
        <w:rPr>
          <w:rFonts w:ascii="Times New Roman" w:hAnsi="Times New Roman"/>
          <w:sz w:val="20"/>
        </w:rPr>
      </w:pPr>
      <w:r>
        <w:rPr>
          <w:rFonts w:ascii="Times New Roman" w:hAnsi="Times New Roman"/>
          <w:b/>
          <w:sz w:val="20"/>
        </w:rPr>
        <w:t>EIGHTH:</w:t>
      </w:r>
      <w:r>
        <w:rPr>
          <w:rFonts w:ascii="Times New Roman" w:hAnsi="Times New Roman"/>
          <w:sz w:val="20"/>
        </w:rPr>
        <w:t xml:space="preserve"> Meetings of stockholders may be held within or outside of the State of Delaware, as the Bylaws of the Corporation may provide. The books of the Corporation may be kept (subject to any provision of applicable law) outside of the State of Delaware at such place or places or in such manner or manners as may be designated from time to time by the Board of Directors or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NINTH:</w:t>
      </w:r>
      <w:r>
        <w:rPr>
          <w:rFonts w:ascii="Times New Roman" w:hAnsi="Times New Roman"/>
          <w:sz w:val="20"/>
        </w:rPr>
        <w:t xml:space="preserve"> To the fullest extent permitted by law, a director or officer of the Corporation shall not be personally liable to the Corporation or its stockholders for monetary damages for breach of fiduciary duty as a director or officer. If the General Corporation Law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elimination of the foregoing provisions of this Article Ninth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 </w:t>
      </w:r>
    </w:p>
    <w:p>
      <w:pPr>
        <w:pStyle w:val="TextBody"/>
        <w:bidi w:val="0"/>
        <w:spacing w:before="240" w:after="0"/>
        <w:jc w:val="left"/>
        <w:rPr>
          <w:rFonts w:ascii="Times New Roman" w:hAnsi="Times New Roman"/>
          <w:sz w:val="20"/>
        </w:rPr>
      </w:pPr>
      <w:r>
        <w:rPr>
          <w:rFonts w:ascii="Times New Roman" w:hAnsi="Times New Roman"/>
          <w:b/>
          <w:sz w:val="20"/>
        </w:rPr>
        <w:t>TENTH:</w:t>
      </w:r>
      <w:r>
        <w:rPr>
          <w:rFonts w:ascii="Times New Roman" w:hAnsi="Times New Roman"/>
          <w:sz w:val="20"/>
        </w:rPr>
        <w:t xml:space="preserve"> To the fullest extent permitted by applicable law, the Corporation is authorized to provide indemnification of (and advancement of expenses to) directors, officers and agents of the Corporation (and any other persons to which the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modification or elimination of the foregoing provisions of this Article Tenth shall not (a) adversely affect any right or protection of any director, officer or other agent of the Corporation existing at the time of such amendment, repeal, modification or elimination; or (b) increase the liability of any director, officer or agent of the Corporation with respect to any acts or omissions of such director, officer or agent occurring prior to such amendment, repeal, modification or elimination.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ELEVENTH:</w:t>
      </w:r>
      <w:r>
        <w:rPr>
          <w:rFonts w:ascii="Times New Roman" w:hAnsi="Times New Roman"/>
          <w:sz w:val="20"/>
        </w:rPr>
        <w:t xml:space="preserve"> The Corporation renounces, to the fullest extent permitted by law, any interest or expectancy of the Corporation in, or in being offered an opportunity to participate in, any Excluded Opportunity. An “</w:t>
      </w:r>
      <w:r>
        <w:rPr>
          <w:rFonts w:ascii="Times New Roman" w:hAnsi="Times New Roman"/>
          <w:b/>
          <w:sz w:val="20"/>
        </w:rPr>
        <w:t>Excluded Opportunity</w:t>
      </w:r>
      <w:r>
        <w:rPr>
          <w:rFonts w:ascii="Times New Roman" w:hAnsi="Times New Roman"/>
          <w:sz w:val="20"/>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officer or employee of the Corporation or any of its subsidiaries (collectively, the persons referred to in clauses (i) and (ii) are “</w:t>
      </w:r>
      <w:r>
        <w:rPr>
          <w:rFonts w:ascii="Times New Roman" w:hAnsi="Times New Roman"/>
          <w:b/>
          <w:sz w:val="20"/>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Certificate of Incorporation, in addition to any other vote required by law or this Certificate of Incorporation, the affirmative vote of the Requisite Holders will be required to amend or repeal, or to adopt any provisions inconsistent with this Article Eleventh. </w:t>
      </w:r>
    </w:p>
    <w:p>
      <w:pPr>
        <w:pStyle w:val="TextBody"/>
        <w:bidi w:val="0"/>
        <w:spacing w:before="240" w:after="0"/>
        <w:jc w:val="left"/>
        <w:rPr>
          <w:rFonts w:ascii="Times New Roman" w:hAnsi="Times New Roman"/>
          <w:sz w:val="20"/>
        </w:rPr>
      </w:pPr>
      <w:r>
        <w:rPr>
          <w:rFonts w:ascii="Times New Roman" w:hAnsi="Times New Roman"/>
          <w:b/>
          <w:sz w:val="20"/>
        </w:rPr>
        <w:t>TWELFTH:</w:t>
      </w:r>
      <w:r>
        <w:rPr>
          <w:rFonts w:ascii="Times New Roman" w:hAnsi="Times New Roman"/>
          <w:sz w:val="20"/>
        </w:rPr>
        <w:t xml:space="preserve"> 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the Corporation’s certificate of incorporation or bylaws or (iv) any action asserting a claim against the Corporation, its directors, officers or employees governed by the internal affairs doctrine or that otherwise relates to the internal affairs of the Corporation,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 </w:t>
      </w:r>
    </w:p>
    <w:p>
      <w:pPr>
        <w:pStyle w:val="TextBody"/>
        <w:bidi w:val="0"/>
        <w:spacing w:before="240" w:after="0"/>
        <w:jc w:val="left"/>
        <w:rPr>
          <w:rFonts w:ascii="Times New Roman" w:hAnsi="Times New Roman"/>
          <w:sz w:val="20"/>
        </w:rPr>
      </w:pPr>
      <w:r>
        <w:rPr>
          <w:rFonts w:ascii="Times New Roman" w:hAnsi="Times New Roman"/>
          <w:b/>
          <w:sz w:val="20"/>
        </w:rPr>
        <w:t>THIRTEENTH:</w:t>
      </w:r>
      <w:r>
        <w:rPr>
          <w:rFonts w:ascii="Times New Roman" w:hAnsi="Times New Roman"/>
          <w:sz w:val="20"/>
        </w:rPr>
        <w:t xml:space="preserve"> If any provision or provisions of this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FOURTEENTH:</w:t>
      </w:r>
      <w:r>
        <w:rPr>
          <w:rFonts w:ascii="Times New Roman" w:hAnsi="Times New Roman"/>
          <w:sz w:val="20"/>
        </w:rPr>
        <w:t xml:space="preserve"> For purposes of Section 500 of the California Corporations Code (to the extent applicable), in connection with any repurchase of shares of Common Stock permitted under this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the foregoing amendment and restatement was approved by the holders of the requisite number of shares of this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this Certificate of Incorporation, which restates and integrates and further amends the provisions of the Corporation’s Certificate of Incorporation, has been duly adopted in accordance with Sections 242 and 245 of the General Corporation Law.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Amended and Restated Certificate of Incorporation has been executed by a duly authorized officer of this corporation on June 22,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RTW NEWCO10,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Alice Lee</w:t>
            </w:r>
          </w:p>
        </w:tc>
      </w:tr>
      <w:tr>
        <w:trPr/>
        <w:tc>
          <w:tcPr>
            <w:tcW w:w="4082" w:type="dxa"/>
            <w:gridSpan w:val="3"/>
            <w:tcBorders/>
          </w:tcPr>
          <w:p>
            <w:pPr>
              <w:pStyle w:val="TableContents"/>
              <w:bidi w:val="0"/>
              <w:spacing w:before="0" w:after="283"/>
              <w:jc w:val="left"/>
              <w:rPr/>
            </w:pPr>
            <w:r>
              <w:rPr/>
              <w:t>Name: Alice Lee</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AMENDED AND RESTATED CERTIFICATE OF INCORPORATION </w:t>
      </w:r>
    </w:p>
    <w:p>
      <w:pPr>
        <w:pStyle w:val="TextBody"/>
        <w:bidi w:val="0"/>
        <w:spacing w:before="0" w:after="0"/>
        <w:jc w:val="right"/>
        <w:rPr>
          <w:rFonts w:ascii="Times New Roman" w:hAnsi="Times New Roman"/>
          <w:b/>
          <w:sz w:val="20"/>
        </w:rPr>
      </w:pPr>
      <w:bookmarkStart w:id="259" w:name="filename3.htm"/>
      <w:bookmarkStart w:id="260" w:name="ksfilename3"/>
      <w:bookmarkEnd w:id="259"/>
      <w:bookmarkEnd w:id="260"/>
      <w:r>
        <w:rPr>
          <w:rFonts w:ascii="Times New Roman" w:hAnsi="Times New Roman"/>
          <w:b/>
          <w:sz w:val="20"/>
        </w:rPr>
        <w:t xml:space="preserve">Exhibit 3.4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120" w:after="0"/>
        <w:jc w:val="center"/>
        <w:rPr>
          <w:rFonts w:ascii="Times New Roman" w:hAnsi="Times New Roman"/>
          <w:sz w:val="20"/>
        </w:rPr>
      </w:pPr>
      <w:r>
        <w:rPr>
          <w:rFonts w:ascii="Times New Roman" w:hAnsi="Times New Roman"/>
          <w:sz w:val="20"/>
        </w:rPr>
        <w:t>(the “</w:t>
      </w:r>
      <w:r>
        <w:rPr>
          <w:rFonts w:ascii="Times New Roman" w:hAnsi="Times New Roman"/>
          <w:b/>
          <w:sz w:val="20"/>
        </w:rPr>
        <w:t>Corporation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Adopted on: </w:t>
      </w:r>
    </w:p>
    <w:p>
      <w:pPr>
        <w:pStyle w:val="TextBody"/>
        <w:bidi w:val="0"/>
        <w:spacing w:before="0" w:after="0"/>
        <w:jc w:val="center"/>
        <w:rPr>
          <w:rFonts w:ascii="Times New Roman" w:hAnsi="Times New Roman"/>
          <w:sz w:val="20"/>
        </w:rPr>
      </w:pPr>
      <w:r>
        <w:rPr>
          <w:rFonts w:ascii="Times New Roman" w:hAnsi="Times New Roman"/>
          <w:sz w:val="20"/>
        </w:rPr>
        <w:t xml:space="preserve">April 1,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OFFICES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Registered Office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Corporation Service Company, 251 Little Falls Drive, Wilmington, Delaware 19808. The name of its registered agent at such address is: Corporation Service Company.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Offices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Corporation (the “</w:t>
      </w:r>
      <w:r>
        <w:rPr>
          <w:rFonts w:ascii="Times New Roman" w:hAnsi="Times New Roman"/>
          <w:b/>
          <w:sz w:val="20"/>
        </w:rPr>
        <w:t>Board of Directors</w:t>
      </w:r>
      <w:r>
        <w:rPr>
          <w:rFonts w:ascii="Times New Roman" w:hAnsi="Times New Roman"/>
          <w:sz w:val="20"/>
        </w:rPr>
        <w:t xml:space="preserve">”) may at any time establish other offices at any place or places where the Corporation is qualified to do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Place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shall be held at any place, within or outside the State of Delaware, designated by the Board of Directors. In the absence of any such designation, stockholders’ meetings shall be held at the registered office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special meeting of the stockholders may be called at any time by the Board of Directors, the chair of the Board of Directors, the president or by one or more stockholders holding shares in the aggregate entitled to cast not less than ten percent (10%) of the votes at that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special meeting is called by any person or persons other than the Board of Directors, the president or the chair of the Board of Directors, the request shall be in writing, specifying the time of such meeting and the general nature of the business proposed to be transacted, and shall be delivered personally or sent by registered mail or by electronic or other facsimile transmission to the chair of the Board of Directors, the president, any vice president, or the secretary of the Corporation. No business may be transacted at such special meeting other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Notice of Stockholders’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Manner of Giving Notice; Affidavit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Written notice of any meeting of stockholders, if mailed, is given when deposited in the United States mail, postage prepaid, directed to the stockholder at his or her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General Corporation Law of the State of Delaware (as amended from time to time, the “</w:t>
      </w:r>
      <w:r>
        <w:rPr>
          <w:rFonts w:ascii="Times New Roman" w:hAnsi="Times New Roman"/>
          <w:b/>
          <w:sz w:val="20"/>
        </w:rPr>
        <w:t>General Corporation Law</w:t>
      </w:r>
      <w:r>
        <w:rPr>
          <w:rFonts w:ascii="Times New Roman" w:hAnsi="Times New Roman"/>
          <w:sz w:val="20"/>
        </w:rPr>
        <w:t xml:space="preserve">”). An affidavit of the secretary or an assistant secretary or of the transfer agent of the Corporation that the notice has been given shall, in the absence of fraud, be prima facie evidence of the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Quorum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 of the meeting or (b) holders of a majority of the shares of stock entitled to vote who are present, in person or by proxy, shall have power to adjourn the meeting to another place (if any), date or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Adjourned Meeting;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Organization; 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person as the Board of Directors may have designated or, in the absence of such a person, the president of the Corporation or, in his or her absence, such person as may be chosen by the holders of a majority of the shares entitled to vote who are present, in person or by proxy, shall call to order any meeting of the stockholders and act as chair of the meeting. In the absence of the secretary of the Corporation, the secretary of the meeting shall be such person as the chair of the meeting appoints. </w:t>
      </w:r>
    </w:p>
    <w:p>
      <w:pPr>
        <w:pStyle w:val="TextBody"/>
        <w:bidi w:val="0"/>
        <w:spacing w:before="240" w:after="0"/>
        <w:jc w:val="left"/>
        <w:rPr>
          <w:rFonts w:ascii="Times New Roman" w:hAnsi="Times New Roman"/>
          <w:sz w:val="20"/>
        </w:rPr>
      </w:pPr>
      <w:r>
        <w:rPr>
          <w:rFonts w:ascii="Times New Roman" w:hAnsi="Times New Roman"/>
          <w:sz w:val="20"/>
        </w:rPr>
        <w:t xml:space="preserve">The chair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entitled to vote at any meeting of stockholders shall be determined in accordance with the provisions of Section 2.12 of these Bylaws, subject to the provisions of Sections 217 and 218 of the General Corporation Law (relating to voting rights of fiduciaries, pledgors and joint owners of stock and to voting trusts and other voting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Waiver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under any provision of the General Corporation Law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Stockholder Action by Written Consent Without a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(a) signed by the holders of outstanding stock having not less than the minimum number of votes that would be necessary to authorize or take such action at a meeting at which all shares entitled to vote thereon were present and voted, and (b) delivered to the Corporation in accordance with Section 228(a)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Every written consent shall bear the date of signature of each stockholder who signs the consent and no written consent shall be effective to take the corporate action referred to therein unless, within sixty (60) days of the date the earliest dated consent is delivered to the Corporation, a written consent or consents signed by a sufficient number of holders to take action are delivered to the Corporation in the manner prescribed in this Section.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copy, facsimile or other reliable reproduction of a consent in writing may be substituted or used in lieu of the original writing for any and all purposes for which the original writing could be used, </w:t>
      </w:r>
      <w:r>
        <w:rPr>
          <w:rFonts w:ascii="Times New Roman" w:hAnsi="Times New Roman"/>
          <w:i/>
          <w:sz w:val="20"/>
        </w:rPr>
        <w:t>provided</w:t>
      </w:r>
      <w:r>
        <w:rPr>
          <w:rFonts w:ascii="Times New Roman" w:hAnsi="Times New Roman"/>
          <w:sz w:val="20"/>
        </w:rPr>
        <w:t xml:space="preserve"> that such copy, facsimile or other reproduction shall be a complete reproduction of the entire original writing. </w:t>
      </w:r>
    </w:p>
    <w:p>
      <w:pPr>
        <w:pStyle w:val="TextBody"/>
        <w:bidi w:val="0"/>
        <w:spacing w:before="240" w:after="0"/>
        <w:jc w:val="left"/>
        <w:rPr>
          <w:rFonts w:ascii="Times New Roman" w:hAnsi="Times New Roman"/>
          <w:sz w:val="20"/>
        </w:rPr>
      </w:pPr>
      <w:r>
        <w:rPr>
          <w:rFonts w:ascii="Times New Roman" w:hAnsi="Times New Roman"/>
          <w:sz w:val="20"/>
        </w:rPr>
        <w:t xml:space="preserve">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Record Date for Stockholder Notice; Voting; Giving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Board of Directors does not so fix a record date: </w:t>
      </w:r>
    </w:p>
    <w:p>
      <w:pPr>
        <w:pStyle w:val="TextBody"/>
        <w:bidi w:val="0"/>
        <w:spacing w:before="120" w:after="0"/>
        <w:jc w:val="left"/>
        <w:rPr>
          <w:rFonts w:ascii="Times New Roman" w:hAnsi="Times New Roman"/>
          <w:sz w:val="20"/>
        </w:rPr>
      </w:pPr>
      <w:r>
        <w:rPr>
          <w:rFonts w:ascii="Times New Roman" w:hAnsi="Times New Roman"/>
          <w:sz w:val="20"/>
        </w:rPr>
        <w:t xml:space="preserve">(a)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w:t>
      </w:r>
    </w:p>
    <w:p>
      <w:pPr>
        <w:pStyle w:val="TextBody"/>
        <w:bidi w:val="0"/>
        <w:spacing w:before="240" w:after="0"/>
        <w:jc w:val="left"/>
        <w:rPr>
          <w:rFonts w:ascii="Times New Roman" w:hAnsi="Times New Roman"/>
          <w:sz w:val="20"/>
        </w:rPr>
      </w:pPr>
      <w:r>
        <w:rPr>
          <w:rFonts w:ascii="Times New Roman" w:hAnsi="Times New Roman"/>
          <w:sz w:val="20"/>
        </w:rPr>
        <w:t xml:space="preserve">(b) 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The record date for determining stockholders for any other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A determination of stockholders of record entitled to notice of or to vote at a meeting of stockholders shall apply to any adjournment of the meeting, if such adjournment is for thirty (30) days or less;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of Directors may fix a new record date for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Proxies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General Corporation Law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Number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adoption of these Bylaws, the number of directors constituting the entire Board of Directors shall be one or more directors.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Election, Qualification and Term of Office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certificate of incorporation, elections of directors need not be by written ballot.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Resignation and Vacancies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or these Bylaws: </w:t>
      </w:r>
    </w:p>
    <w:p>
      <w:pPr>
        <w:pStyle w:val="TextBody"/>
        <w:bidi w:val="0"/>
        <w:spacing w:before="120" w:after="0"/>
        <w:jc w:val="left"/>
        <w:rPr>
          <w:rFonts w:ascii="Times New Roman" w:hAnsi="Times New Roman"/>
          <w:sz w:val="20"/>
        </w:rPr>
      </w:pPr>
      <w:r>
        <w:rPr>
          <w:rFonts w:ascii="Times New Roman" w:hAnsi="Times New Roman"/>
          <w:sz w:val="20"/>
        </w:rPr>
        <w:t xml:space="preserve">(a)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at the time of filling any vacancy or any newly created directorship, the directors then in office constitute less than a majority of the whole Board of Directors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as far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Place of Meetings; Meetings by Telephone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hold meetings, both regular and special, either within or outside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Regular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Regular meetings of the Board of Directors may be held without notice at such time and at such place as shall from time to time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Special Meetings;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Board of Directors for any purpose or purposes may be called at any time by the chair of the Board of Directors, the president, any vice president, the secretary or any two directors. </w:t>
      </w:r>
    </w:p>
    <w:p>
      <w:pPr>
        <w:pStyle w:val="TextBody"/>
        <w:bidi w:val="0"/>
        <w:spacing w:before="240" w:after="0"/>
        <w:jc w:val="left"/>
        <w:rPr>
          <w:rFonts w:ascii="Times New Roman" w:hAnsi="Times New Roman"/>
          <w:sz w:val="20"/>
        </w:rPr>
      </w:pPr>
      <w:r>
        <w:rPr>
          <w:rFonts w:ascii="Times New Roman" w:hAnsi="Times New Roman"/>
          <w:sz w:val="20"/>
        </w:rPr>
        <w:t xml:space="preserve">Notice of the time and place of special meetings shall be delivered personally or by telephone to each director or sent by first-class mail, facsimile or electronic transmission,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or telephone, it shall be delivered at least 48 hours before the time of the holding of the meeting.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Quorum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incorporation requires a greater number, a quorum of the Board of Directors will consist of a majority of the total number of directors then serving; provided, however, that such number will never be less than 1/3 of the total number of directors authorized except that when one director is authorized, then one director will constitute a quorum. At any meeting, whether a quorum be present or otherwise, a majority of the directors present may adjourn from time to time until the time fixed for the next regular meeting of the Board of Directors, without notice other than by announcement at the meeting. If the certificate of incorporation provides that one or more directors will have more or less than one vote per director on any matter, every reference in this section to a majority or other proportion of the directors, including with respect to establishing a quorum for meetings of the Board of Directors or a committee thereof or the requisite vote for approval by directors or the Board of Directors or a committee thereof, will refer to a majority or other proportion of the votes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At each meeting of the Board of Directors at which a quorum is present, all questions and business will be determined by the affirmative vote of a majority of the directors present, unless a different vote be required by law,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Waiver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under any provision of the General Corporation Law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Board Action by Written Consent Without a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Any copy, facsimile or other reliable reproduction of a consent in writing may be substituted or used in lieu of the original writing for any and all purposes for which the original writing could be used, </w:t>
      </w:r>
      <w:r>
        <w:rPr>
          <w:rFonts w:ascii="Times New Roman" w:hAnsi="Times New Roman"/>
          <w:i/>
          <w:sz w:val="20"/>
        </w:rPr>
        <w:t>provided</w:t>
      </w:r>
      <w:r>
        <w:rPr>
          <w:rFonts w:ascii="Times New Roman" w:hAnsi="Times New Roman"/>
          <w:sz w:val="20"/>
        </w:rPr>
        <w:t xml:space="preserve"> that such copy, facsimile or other reproduction shall be a complete reproduction of the entire original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Fees and Compensation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Approval of Loans to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Removal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statute, by the certificate of incorporation or by these Bylaws, any director or the entire Board of Directors may be removed, with or without cause, by the holders of a majority of the shares then entitled to vote at an election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stockholders of the Corporation are entitled to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reduction of the authorized number of directors shall have the effect of removing any director prior to the expiration of such director’s term of office.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Chair of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have, at the discretion of the Board of Directors, a chair of the Board of Directors who shall not be considered an officer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Committees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the General Corporate Law of Delaware to be submitted to stockholders for approval or (b) adopting, amending or repealing any Bylaw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Committee Minutes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committee shall keep regular minutes of its meetings and report the same to the Board of Directors when required.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Meetings and Action of 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officers of the Corporation shall be a President, a Secretary, and a Treasurer. The Corporation may also have, at the discretion of the Board of Directors, one or more vice presidents, one or more assistant secretaries, one or more assistant treasurers, and any such other officers as may be appointed in accordance with the provisions of Section 5.3 of these Bylaws. Any number of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Appointment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officers of the Corporation, except such officers as may be appointed in accordance with the provisions of Sections 5.3 or 5.5 of these Bylaws, shall be appointed by the Board of Directors, subject to the rights, if any, of an officer under any contract of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Subordinate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appoint, or empower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Removal and Resignation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the power of removal is conferred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Vacancies in Offices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in any office of the Corporation shall be filled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President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such supervisory powers, if any, as may be given by the Board of Directors to the chair of the Board of Directors (if any),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Vice Presidents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or disability of the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(if applicable), and the number and date of cancellation of every certificate surrendered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Treasurer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Treasurer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w:t>
      </w:r>
    </w:p>
    <w:p>
      <w:pPr>
        <w:pStyle w:val="TextBody"/>
        <w:bidi w:val="0"/>
        <w:spacing w:before="240" w:after="0"/>
        <w:jc w:val="left"/>
        <w:rPr>
          <w:rFonts w:ascii="Times New Roman" w:hAnsi="Times New Roman"/>
          <w:sz w:val="20"/>
        </w:rPr>
      </w:pPr>
      <w:r>
        <w:rPr>
          <w:rFonts w:ascii="Times New Roman" w:hAnsi="Times New Roman"/>
          <w:sz w:val="20"/>
        </w:rPr>
        <w:t xml:space="preserve">The Treasurer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or the directors, upon request, an account of all his or her transactions as Treasurer and of the financial condition of the Corporation, and shall have other powers and perform such other duties as may be prescribed by the Board of Directors or the Bylaws.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Representation of Shares of Other Corporations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chair of the Board of Directors, the President, any vice president, the Treasurer, the Secretary or any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Authority and Duties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OF DIRECTORS, OFFICERS, EMPLOYEES, AND OTHER AGENTS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to the maximum extent and in the manner permitted by the General Corporation Law,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Indemnification of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have the power, to the maximum extent and in the manner permitted by the General Corporation Law,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Payment of Expenses in Advance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Indemnity Not Exclusive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Conflicts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indemnification or advance shall be made under this Article VI, except where such indemnification or advance is mandated by law or the order, judgment or decree of any court of competent jurisdiction, in any circumstance where it appears: </w:t>
      </w:r>
    </w:p>
    <w:p>
      <w:pPr>
        <w:pStyle w:val="TextBody"/>
        <w:bidi w:val="0"/>
        <w:spacing w:before="120" w:after="0"/>
        <w:jc w:val="left"/>
        <w:rPr>
          <w:rFonts w:ascii="Times New Roman" w:hAnsi="Times New Roman"/>
          <w:sz w:val="20"/>
        </w:rPr>
      </w:pPr>
      <w:r>
        <w:rPr>
          <w:rFonts w:ascii="Times New Roman" w:hAnsi="Times New Roman"/>
          <w:sz w:val="20"/>
        </w:rPr>
        <w:t xml:space="preserve">(a) 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 </w:t>
      </w:r>
    </w:p>
    <w:p>
      <w:pPr>
        <w:pStyle w:val="TextBody"/>
        <w:bidi w:val="0"/>
        <w:spacing w:before="240" w:after="0"/>
        <w:jc w:val="left"/>
        <w:rPr>
          <w:rFonts w:ascii="Times New Roman" w:hAnsi="Times New Roman"/>
          <w:sz w:val="20"/>
        </w:rPr>
      </w:pPr>
      <w:r>
        <w:rPr>
          <w:rFonts w:ascii="Times New Roman" w:hAnsi="Times New Roman"/>
          <w:sz w:val="20"/>
        </w:rPr>
        <w:t xml:space="preserve">(b) That it would be inconsistent with any condition expressly imposed by a court in approving a settlement.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RECORDS AND REPORTS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Maintenance and Inspection of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Inspection by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Stock Certificates; Partly Paid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the Corporation shall be represented by certificates;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and, upon request, every holder of uncertificated shares, shall be entitled to have a certificate signed by, or in the name of the Corporation by the chair or vice-chair of the Board of Directors or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Special Designation On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otherwise provided in Section 202 of the General Corporation Law,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Lost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8.3,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Registered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Transfer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 the books of the Corporation only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holder of any of the shares of stock of the Corporation may sell, transfer, assign, pledge, or otherwise dispose of or encumber any of the shares of stock of the Corporation or any right or interest therein, whether voluntarily or by operation of law, or by gift or otherwise (each, a “</w:t>
      </w:r>
      <w:r>
        <w:rPr>
          <w:rFonts w:ascii="Times New Roman" w:hAnsi="Times New Roman"/>
          <w:b/>
          <w:sz w:val="20"/>
        </w:rPr>
        <w:t>Transfer</w:t>
      </w:r>
      <w:r>
        <w:rPr>
          <w:rFonts w:ascii="Times New Roman" w:hAnsi="Times New Roman"/>
          <w:sz w:val="20"/>
        </w:rPr>
        <w:t xml:space="preserve">”) without the prior written consent of the Corporation, upon duly authorized action of its Board of Directors. The Corporation may withhold consent for any legitimate corporate purpose, as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If a stockholder desires to Transfer any shares, then the stockholder will first give written notice to the Corporation. The notice must name the proposed transferee and state the number of shares to be transferred, the proposed consideration, and all other terms and conditions of the proposed transfer. </w:t>
      </w:r>
    </w:p>
    <w:p>
      <w:pPr>
        <w:pStyle w:val="TextBody"/>
        <w:bidi w:val="0"/>
        <w:spacing w:before="240" w:after="0"/>
        <w:jc w:val="left"/>
        <w:rPr>
          <w:rFonts w:ascii="Times New Roman" w:hAnsi="Times New Roman"/>
          <w:sz w:val="20"/>
        </w:rPr>
      </w:pPr>
      <w:r>
        <w:rPr>
          <w:rFonts w:ascii="Times New Roman" w:hAnsi="Times New Roman"/>
          <w:sz w:val="20"/>
        </w:rPr>
        <w:t xml:space="preserve">(c) At the option of the Corporation, the stockholder will be obligated to pay to the Corporation a reasonable transfer fee related to the costs and time of the Corporation and its legal and other advisors related to any proposed Transfer. </w:t>
      </w:r>
    </w:p>
    <w:p>
      <w:pPr>
        <w:pStyle w:val="TextBody"/>
        <w:bidi w:val="0"/>
        <w:spacing w:before="240" w:after="0"/>
        <w:jc w:val="left"/>
        <w:rPr>
          <w:rFonts w:ascii="Times New Roman" w:hAnsi="Times New Roman"/>
          <w:sz w:val="20"/>
        </w:rPr>
      </w:pPr>
      <w:r>
        <w:rPr>
          <w:rFonts w:ascii="Times New Roman" w:hAnsi="Times New Roman"/>
          <w:sz w:val="20"/>
        </w:rPr>
        <w:t xml:space="preserve">(d) Any Transfer, or purported Transfer, of shares not made in strict compliance with this Section 8.6 will be null and void, will not be recorded on the books of the Corporation and will not be recognized by the Corporation. Transfers of record of shares of stock of the Corporation will be made only upon its books by the holders thereof, in person or by attorney duly authorized, and, in the case of stock represented by certificate, upon the surrender of a properly endorsed certificate or certificates for a like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(e) Any transferee, assignee, or other recipient of shares of stock of the Corporation will receive and hold such stock subject to the provisions of this Section 8.6 and any other restrictions set forth in these Bylaws, and there will be no further Transfer of such stock except in accord with this Section 8.6 and the other provisions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(f) The certificates representing shares of common stock of the Corporation will bear on their face a legend in substantially the following form so long as the foregoing Transfer restrictions are in effect: </w:t>
      </w:r>
    </w:p>
    <w:p>
      <w:pPr>
        <w:pStyle w:val="TextBody"/>
        <w:bidi w:val="0"/>
        <w:spacing w:before="120" w:after="0"/>
        <w:jc w:val="left"/>
        <w:rPr/>
      </w:pPr>
      <w:r>
        <w:rPr/>
        <w:t>“</w:t>
      </w:r>
      <w:r>
        <w:rPr>
          <w:rFonts w:ascii="Times New Roman" w:hAnsi="Times New Roman"/>
          <w:sz w:val="20"/>
        </w:rPr>
        <w:t xml:space="preserve">THE SHARES REPRESENTED BY THIS CERTIFICATE ARE SUBJECT TO A TRANSFER RESTRICTION AS PROVIDED IN THE BYLAWS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(g) The restriction on Transfer set forth in Section 8.6(a) will terminate upon the date securities of the Corporation are first offered to the public pursuant to a registration statement filed with, and declared effective by, the SEC under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Exempt Transfers</w:t>
      </w:r>
      <w:r>
        <w:rPr>
          <w:rFonts w:ascii="Times New Roman" w:hAnsi="Times New Roman"/>
          <w:sz w:val="20"/>
        </w:rPr>
        <w:t xml:space="preserve">. The restriction on Transfer set forth in Section 8.6(a) will not apply (but, for clarity, the other provisions of Section 8.6 will apply)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stockholder’s Transfer of shares of preferred stock of the Corporation (or any shares of common stock issued upon conversion thereof); </w:t>
      </w:r>
    </w:p>
    <w:p>
      <w:pPr>
        <w:pStyle w:val="TextBody"/>
        <w:bidi w:val="0"/>
        <w:spacing w:before="240" w:after="0"/>
        <w:jc w:val="left"/>
        <w:rPr>
          <w:rFonts w:ascii="Times New Roman" w:hAnsi="Times New Roman"/>
          <w:sz w:val="20"/>
        </w:rPr>
      </w:pPr>
      <w:r>
        <w:rPr>
          <w:rFonts w:ascii="Times New Roman" w:hAnsi="Times New Roman"/>
          <w:sz w:val="20"/>
        </w:rPr>
        <w:t>(ii) 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or limited liability company of which the stockholder, members of such stockholder’s immediate family or any trust for the account of such stockholder or such stockholder’s immediate family will be the general or limited partner(s) of such partnership or the controlling member(s) of such limited liability company (“</w:t>
      </w:r>
      <w:r>
        <w:rPr>
          <w:rFonts w:ascii="Times New Roman" w:hAnsi="Times New Roman"/>
          <w:b/>
          <w:sz w:val="20"/>
        </w:rPr>
        <w:t>immediate family</w:t>
      </w:r>
      <w:r>
        <w:rPr>
          <w:rFonts w:ascii="Times New Roman" w:hAnsi="Times New Roman"/>
          <w:sz w:val="20"/>
        </w:rPr>
        <w:t xml:space="preserve">” as used herein means spouse, life partner or similar statutorily-recognized domestic partner, lineal descendant, father, mother, brother, or sister of the stockholder making such Transfer); </w:t>
      </w:r>
    </w:p>
    <w:p>
      <w:pPr>
        <w:pStyle w:val="TextBody"/>
        <w:bidi w:val="0"/>
        <w:spacing w:before="240" w:after="0"/>
        <w:jc w:val="left"/>
        <w:rPr>
          <w:rFonts w:ascii="Times New Roman" w:hAnsi="Times New Roman"/>
          <w:sz w:val="20"/>
        </w:rPr>
      </w:pPr>
      <w:r>
        <w:rPr>
          <w:rFonts w:ascii="Times New Roman" w:hAnsi="Times New Roman"/>
          <w:sz w:val="20"/>
        </w:rPr>
        <w:t xml:space="preserve">(iii) a stockholder’s Transfer of any or all of such stockholder’s shares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(iv) 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 </w:t>
      </w:r>
    </w:p>
    <w:p>
      <w:pPr>
        <w:pStyle w:val="TextBody"/>
        <w:bidi w:val="0"/>
        <w:spacing w:before="240" w:after="0"/>
        <w:jc w:val="left"/>
        <w:rPr>
          <w:rFonts w:ascii="Times New Roman" w:hAnsi="Times New Roman"/>
          <w:sz w:val="20"/>
        </w:rPr>
      </w:pPr>
      <w:r>
        <w:rPr>
          <w:rFonts w:ascii="Times New Roman" w:hAnsi="Times New Roman"/>
          <w:sz w:val="20"/>
        </w:rPr>
        <w:t xml:space="preserve">(v) a corporate stockholder’s Transfer of any or all of its shares to any or all of its stockholders; or </w:t>
      </w:r>
    </w:p>
    <w:p>
      <w:pPr>
        <w:pStyle w:val="TextBody"/>
        <w:bidi w:val="0"/>
        <w:spacing w:before="240" w:after="0"/>
        <w:jc w:val="left"/>
        <w:rPr>
          <w:rFonts w:ascii="Times New Roman" w:hAnsi="Times New Roman"/>
          <w:sz w:val="20"/>
        </w:rPr>
      </w:pPr>
      <w:r>
        <w:rPr>
          <w:rFonts w:ascii="Times New Roman" w:hAnsi="Times New Roman"/>
          <w:sz w:val="20"/>
        </w:rPr>
        <w:t xml:space="preserve">(vi) a Transfer by a stockholder that is a limited or general partnership to any or all of its partners or former partners in accordance with partnership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Regulations; Stock Transfer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 transfer, conversion and registration of shares of stock of the Corporation shall be governed by such other regulations as the Board of Directors may establish.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MATTERS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Checks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Execution of Corporate Contracts and Instruments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Construction;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the general provisions, rules of construction, and definitions in the General Corporation Law shall govern the construction of these Bylaws. Without limiting the generality of this provision, the singular number includes the plural, the plural number includes the singular, and the term “person” includes both a corporation and a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directors of the Corporation, subject to any restrictions contained in (a) the General Corporation Law or (b) the certificate of incorporation, may declare and pay dividends upon the shares of its capital stock. Dividends may be paid in cash, in property, or in shares of the Corporation’s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Fiscal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of the Corporation shall be fixed by resolution of the Board of Directors and may be changed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Seal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adopt a corporate seal, which may be altered at pleasure, and may use the same by causing it or a facsimile thereof, to be impressed or affixed or in any other manner reproduced.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Facsimile and Electronic 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provisions for use of facsimile and electronic signatures elsewhere specifically authorized in these Bylaws, facsimile and electronic signatures of any officer or officers of the Corporation may be used whenever and as authorized by the Board of Directors or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By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altered, amended or repealed, in whole or in part, or new bylaws may be adopted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By the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w:t>
      </w:r>
      <w:r>
        <w:rPr>
          <w:rFonts w:ascii="Times New Roman" w:hAnsi="Times New Roman"/>
          <w:i/>
          <w:sz w:val="20"/>
        </w:rPr>
        <w:t>provided</w:t>
      </w:r>
      <w:r>
        <w:rPr>
          <w:rFonts w:ascii="Times New Roman" w:hAnsi="Times New Roman"/>
          <w:sz w:val="20"/>
        </w:rPr>
        <w:t xml:space="preserve"> that notice of such alteration, amendment, repeal or adoption of new bylaws shall have been stated in the notice of such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right"/>
        <w:rPr>
          <w:rFonts w:ascii="Times New Roman" w:hAnsi="Times New Roman"/>
          <w:b/>
          <w:sz w:val="20"/>
        </w:rPr>
      </w:pPr>
      <w:bookmarkStart w:id="261" w:name="filename4.htm"/>
      <w:bookmarkStart w:id="262" w:name="ksfilename4"/>
      <w:bookmarkEnd w:id="261"/>
      <w:bookmarkEnd w:id="262"/>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THIS WARRANT AND THE SECURITIES ISSUABLE UPON EXERCISE OF THIS WARRANT HAVE NOT BEEN REGISTERED UNDER THE SECURITIES ACT OF 1933, AS AMENDED (THE “</w:t>
      </w:r>
      <w:r>
        <w:rPr>
          <w:rFonts w:ascii="Times New Roman" w:hAnsi="Times New Roman"/>
          <w:b/>
          <w:i/>
          <w:sz w:val="20"/>
        </w:rPr>
        <w:t>SECURITIES ACT</w:t>
      </w:r>
      <w:r>
        <w:rPr>
          <w:rFonts w:ascii="Times New Roman" w:hAnsi="Times New Roman"/>
          <w:sz w:val="20"/>
        </w:rPr>
        <w:t xml:space="preserve">”), OR UNDER THE SECURITIES LAWS OF CERTAIN STATES. THESE SECURITIES MAY NOT BE OFFERED, SOLD OR OTHERWISE TRANSFERRED, PLEDGED, OR HYPOTHECATED EXCEPT AS PERMITTED UNDER THE SECURITIES ACT AND APPLICABLE STATE SECURITIES LAWS PURSUANT TO AN EFFECTIVE REGISTRATION STATEMENT OR AN EXEMPTION FROM REGISTRATION. THE ISSUER OF THESE SECURITIES MAY REQUIRE AN OPINION OF COUNSEL REASONABLY SATISFACTORY TO THE ISSUER THAT SUCH OFFER, SALE OR TRANSFER, PLEDGE, OR HYPOTHECATION OTHERWISE COMPLIES WITH THE SECURITIES ACT AND ANY APPLICABLE STATE SECURITIES LAWS. </w:t>
      </w:r>
    </w:p>
    <w:p>
      <w:pPr>
        <w:pStyle w:val="TextBody"/>
        <w:bidi w:val="0"/>
        <w:spacing w:before="48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TO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Warrant No.: A1-1 </w:t>
      </w:r>
    </w:p>
    <w:p>
      <w:pPr>
        <w:pStyle w:val="TextBody"/>
        <w:bidi w:val="0"/>
        <w:spacing w:before="0" w:after="0"/>
        <w:jc w:val="left"/>
        <w:rPr>
          <w:rFonts w:ascii="Times New Roman" w:hAnsi="Times New Roman"/>
          <w:sz w:val="20"/>
        </w:rPr>
      </w:pPr>
      <w:r>
        <w:rPr>
          <w:rFonts w:ascii="Times New Roman" w:hAnsi="Times New Roman"/>
          <w:sz w:val="20"/>
        </w:rPr>
        <w:t xml:space="preserve">Issue Date: June 12, 2026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RTW Newco10, Inc., a Delaware corporation (the “</w:t>
      </w:r>
      <w:r>
        <w:rPr>
          <w:rFonts w:ascii="Times New Roman" w:hAnsi="Times New Roman"/>
          <w:b/>
          <w:i/>
          <w:sz w:val="20"/>
        </w:rPr>
        <w:t>Company</w:t>
      </w:r>
      <w:r>
        <w:rPr>
          <w:rFonts w:ascii="Times New Roman" w:hAnsi="Times New Roman"/>
          <w:sz w:val="20"/>
        </w:rPr>
        <w:t>”), and YolTech Therapeutics Co., Ltd, a company organized under the laws of the People’s Republic of China (“</w:t>
      </w:r>
      <w:r>
        <w:rPr>
          <w:rFonts w:ascii="Times New Roman" w:hAnsi="Times New Roman"/>
          <w:b/>
          <w:i/>
          <w:sz w:val="20"/>
        </w:rPr>
        <w:t>Licensor</w:t>
      </w:r>
      <w:r>
        <w:rPr>
          <w:rFonts w:ascii="Times New Roman" w:hAnsi="Times New Roman"/>
          <w:sz w:val="20"/>
        </w:rPr>
        <w:t>”), have entered into that certain Exclusive License Agreement, dated as of June 12, 2026 (as amended and/or restated from time to time, the “</w:t>
      </w:r>
      <w:r>
        <w:rPr>
          <w:rFonts w:ascii="Times New Roman" w:hAnsi="Times New Roman"/>
          <w:b/>
          <w:i/>
          <w:sz w:val="20"/>
        </w:rPr>
        <w:t>License Agreement</w:t>
      </w:r>
      <w:r>
        <w:rPr>
          <w:rFonts w:ascii="Times New Roman" w:hAnsi="Times New Roman"/>
          <w:sz w:val="20"/>
        </w:rPr>
        <w:t>”) and that certain Warrant Subscription Agreement, dated as of June 12, 2026 (as amended and/or restated from time to time, the “</w:t>
      </w:r>
      <w:r>
        <w:rPr>
          <w:rFonts w:ascii="Times New Roman" w:hAnsi="Times New Roman"/>
          <w:b/>
          <w:i/>
          <w:sz w:val="20"/>
        </w:rPr>
        <w:t>Subscription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License Agreement and the Subscription Agreement, the Company is obligated to issue to Licensor a warrant to acquire shares of either, as applicable, the Company’s (i) Series A-1 Preferred Stock, $0.00001 par value per share (“</w:t>
      </w:r>
      <w:r>
        <w:rPr>
          <w:rFonts w:ascii="Times New Roman" w:hAnsi="Times New Roman"/>
          <w:b/>
          <w:i/>
          <w:sz w:val="20"/>
        </w:rPr>
        <w:t>Series A-1 Preferred Stock</w:t>
      </w:r>
      <w:r>
        <w:rPr>
          <w:rFonts w:ascii="Times New Roman" w:hAnsi="Times New Roman"/>
          <w:sz w:val="20"/>
        </w:rPr>
        <w:t>”) or (ii) Common Stock (as applicable, “</w:t>
      </w:r>
      <w:r>
        <w:rPr>
          <w:rFonts w:ascii="Times New Roman" w:hAnsi="Times New Roman"/>
          <w:b/>
          <w:i/>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Shares are being issued as part of the consideration under the License Agreement and the Company’s Board of Directors has determined that the rights granted to the Company under the License Agreement have a value at least equal to the aggregate Exercise Price (as defined below) for all Shares issuable hereunder, such that the Holder is not obligated to pay any additional consideration to exercise this Warrant; and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for the mutual promises and covenants set forth in this Warrant and for other good and valuable consideration, the receipt and sufficiency of which is acknowledged, the parties agree as follows: </w:t>
      </w:r>
    </w:p>
    <w:p>
      <w:pPr>
        <w:pStyle w:val="TextBody"/>
        <w:bidi w:val="0"/>
        <w:spacing w:before="12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YolTech Therapeutics Co., Ltd, a company organized under the laws of the People’s Republic of China, or its registered assigns (the “</w:t>
      </w:r>
      <w:r>
        <w:rPr>
          <w:rFonts w:ascii="Times New Roman" w:hAnsi="Times New Roman"/>
          <w:b/>
          <w:i/>
          <w:sz w:val="20"/>
        </w:rPr>
        <w:t>Holder</w:t>
      </w:r>
      <w:r>
        <w:rPr>
          <w:rFonts w:ascii="Times New Roman" w:hAnsi="Times New Roman"/>
          <w:sz w:val="20"/>
        </w:rPr>
        <w:t>”), is entitled, subject to the provisions and upon the terms and conditions set forth in this Warrant to Purchase Shares (this “</w:t>
      </w:r>
      <w:r>
        <w:rPr>
          <w:rFonts w:ascii="Times New Roman" w:hAnsi="Times New Roman"/>
          <w:b/>
          <w:i/>
          <w:sz w:val="20"/>
        </w:rPr>
        <w:t>Warrant</w:t>
      </w:r>
      <w:r>
        <w:rPr>
          <w:rFonts w:ascii="Times New Roman" w:hAnsi="Times New Roman"/>
          <w:sz w:val="20"/>
        </w:rPr>
        <w:t xml:space="preserve">”), to purchase from the Company, Shares, in the amounts, at such times and at the price per share set forth in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Number and Type of Shares; Exercise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Number and Type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As of the Issue Date, the Holder shall initially have the right to acquire up to that number of shares of Series A-1 Preferred Stock equal to 19.9% of the Fully-Diluted Capitalization of the Company as of immediately after the initial closing of the Series A Financing (the “</w:t>
      </w:r>
      <w:r>
        <w:rPr>
          <w:rFonts w:ascii="Times New Roman" w:hAnsi="Times New Roman"/>
          <w:b/>
          <w:i/>
          <w:sz w:val="20"/>
        </w:rPr>
        <w:t>Share Number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Prior to the consummation of a Going Public Event, this Warrant shall be exercisable for shares of Series A-1 Preferred Stock. From and after the consummation of a Going Public Event, this Warrant shall be exercisable for shares of Common Stock as set forth in </w:t>
      </w:r>
      <w:r>
        <w:rPr>
          <w:rFonts w:ascii="Times New Roman" w:hAnsi="Times New Roman"/>
          <w:sz w:val="20"/>
          <w:u w:val="single"/>
        </w:rPr>
        <w:t>Section 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Adjustments to Share Number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From immediately following the initial closing of the Series A Financing until the termination of this </w:t>
      </w:r>
      <w:r>
        <w:rPr>
          <w:rFonts w:ascii="Times New Roman" w:hAnsi="Times New Roman"/>
          <w:sz w:val="20"/>
          <w:u w:val="single"/>
        </w:rPr>
        <w:t>Section 1(b)(i)</w:t>
      </w:r>
      <w:r>
        <w:rPr>
          <w:rFonts w:ascii="Times New Roman" w:hAnsi="Times New Roman"/>
          <w:sz w:val="20"/>
        </w:rPr>
        <w:t xml:space="preserve"> pursuant to </w:t>
      </w:r>
      <w:r>
        <w:rPr>
          <w:rFonts w:ascii="Times New Roman" w:hAnsi="Times New Roman"/>
          <w:sz w:val="20"/>
          <w:u w:val="single"/>
        </w:rPr>
        <w:t>Section 1(b)(ii)</w:t>
      </w:r>
      <w:r>
        <w:rPr>
          <w:rFonts w:ascii="Times New Roman" w:hAnsi="Times New Roman"/>
          <w:sz w:val="20"/>
        </w:rPr>
        <w:t xml:space="preserve"> below, the Share Number shall automatically be adjusted as is necessary so that, immediately following each change in the Fully-Diluted Capitalization (a “</w:t>
      </w:r>
      <w:r>
        <w:rPr>
          <w:rFonts w:ascii="Times New Roman" w:hAnsi="Times New Roman"/>
          <w:b/>
          <w:i/>
          <w:sz w:val="20"/>
        </w:rPr>
        <w:t>Remeasurement Event</w:t>
      </w:r>
      <w:r>
        <w:rPr>
          <w:rFonts w:ascii="Times New Roman" w:hAnsi="Times New Roman"/>
          <w:sz w:val="20"/>
        </w:rPr>
        <w:t xml:space="preserve">”), the aggregate number of Warrant Shares underlying the Warrant (including Warrant Shares which have already been issued pursuant to the Warrant upon partial exercise) represents 19.9% of the Fully-Diluted Capitalization immediately after such Remeasurement Event, calculated after giving effect to each such adjustment. Such adjustment to the Share Number shall arise immediately following each issuance of New Securities that occurs after the initial closing of the Series A Financing during the Anti-Dilution Period. For purposes of determining the adjusted Share Number in connection with each subsequent issuance of New Securities, the Common Stock Outstanding shall be calculated as of immediately after the issuance of such New Securities. Notwithstanding the foregoing, with respect to any New Securities that are Convertible Securities, the adjustment of the Share Number in respect of such New Securities shall occur, and the determination of the number of additional Shares added to the Share Number, shall be made, in each case, immediately following the conversion of such Convertible Securities into shares of Capital Stock. The Company shall not, directly or indirectly, take any action, or enter into any transaction or arrangement, the primary purpose of which is to circumvent the Company’s obligations under this </w:t>
      </w:r>
      <w:r>
        <w:rPr>
          <w:rFonts w:ascii="Times New Roman" w:hAnsi="Times New Roman"/>
          <w:sz w:val="20"/>
          <w:u w:val="single"/>
        </w:rPr>
        <w:t>Section 1(b)(i)</w:t>
      </w:r>
      <w:r>
        <w:rPr>
          <w:rFonts w:ascii="Times New Roman" w:hAnsi="Times New Roman"/>
          <w:sz w:val="20"/>
        </w:rPr>
        <w:t xml:space="preserve">. Within 2 business days following each adjustment of the Share Number pursuant to this </w:t>
      </w:r>
      <w:r>
        <w:rPr>
          <w:rFonts w:ascii="Times New Roman" w:hAnsi="Times New Roman"/>
          <w:sz w:val="20"/>
          <w:u w:val="single"/>
        </w:rPr>
        <w:t>Section 1(b)(i)</w:t>
      </w:r>
      <w:r>
        <w:rPr>
          <w:rFonts w:ascii="Times New Roman" w:hAnsi="Times New Roman"/>
          <w:sz w:val="20"/>
        </w:rPr>
        <w:t xml:space="preserve">, the Company shall notify the Holder in writing of (i) the number of Shares added to the Share Number as a result of such adjustment, (ii) the resulting adjusted Share Number, and (iii) a reasonably detailed explanation of the calculation of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(ii) The provisions of </w:t>
      </w:r>
      <w:r>
        <w:rPr>
          <w:rFonts w:ascii="Times New Roman" w:hAnsi="Times New Roman"/>
          <w:sz w:val="20"/>
          <w:u w:val="single"/>
        </w:rPr>
        <w:t>Section 1(b)(i)</w:t>
      </w:r>
      <w:r>
        <w:rPr>
          <w:rFonts w:ascii="Times New Roman" w:hAnsi="Times New Roman"/>
          <w:sz w:val="20"/>
        </w:rPr>
        <w:t xml:space="preserve"> shall terminate and be of no further force or effect upon the earliest to occur of: (A) expiration of the Anti-Dilution Period and completion of all corresponding adjustments arising pursuant to </w:t>
      </w:r>
      <w:r>
        <w:rPr>
          <w:rFonts w:ascii="Times New Roman" w:hAnsi="Times New Roman"/>
          <w:sz w:val="20"/>
          <w:u w:val="single"/>
        </w:rPr>
        <w:t>Section 1(b)(i)</w:t>
      </w:r>
      <w:r>
        <w:rPr>
          <w:rFonts w:ascii="Times New Roman" w:hAnsi="Times New Roman"/>
          <w:sz w:val="20"/>
        </w:rPr>
        <w:t xml:space="preserve"> prior to expiration (including, for the avoidance of doubt, any adjustments pursuant to </w:t>
      </w:r>
      <w:r>
        <w:rPr>
          <w:rFonts w:ascii="Times New Roman" w:hAnsi="Times New Roman"/>
          <w:sz w:val="20"/>
          <w:u w:val="single"/>
        </w:rPr>
        <w:t>Section 1(b)(i)</w:t>
      </w:r>
      <w:r>
        <w:rPr>
          <w:rFonts w:ascii="Times New Roman" w:hAnsi="Times New Roman"/>
          <w:sz w:val="20"/>
        </w:rPr>
        <w:t xml:space="preserve"> in respect of any New Securities that are Convertible Securities outstanding prior to expiration); (B) upon the consummation of a Change of Control of the Company; and (C) termination of the License Agreement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Period</w:t>
      </w:r>
      <w:r>
        <w:rPr>
          <w:rFonts w:ascii="Times New Roman" w:hAnsi="Times New Roman"/>
          <w:sz w:val="20"/>
        </w:rPr>
        <w:t xml:space="preserve">. This Warrant shall be exercisable at any time commencing on and following the initial closing of the Series A Financing, in whole or in part, and prior to (or in connection with) the expiration of this Warrant pursuant to </w:t>
      </w:r>
      <w:r>
        <w:rPr>
          <w:rFonts w:ascii="Times New Roman" w:hAnsi="Times New Roman"/>
          <w:sz w:val="20"/>
          <w:u w:val="single"/>
        </w:rPr>
        <w:t>Section 7</w:t>
      </w:r>
      <w:r>
        <w:rPr>
          <w:rFonts w:ascii="Times New Roman" w:hAnsi="Times New Roman"/>
          <w:sz w:val="20"/>
        </w:rPr>
        <w:t xml:space="preserve"> (the “</w:t>
      </w:r>
      <w:r>
        <w:rPr>
          <w:rFonts w:ascii="Times New Roman" w:hAnsi="Times New Roman"/>
          <w:b/>
          <w:i/>
          <w:sz w:val="20"/>
        </w:rPr>
        <w:t>Exercise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Exercise Price</w:t>
      </w:r>
      <w:r>
        <w:rPr>
          <w:rFonts w:ascii="Times New Roman" w:hAnsi="Times New Roman"/>
          <w:sz w:val="20"/>
        </w:rPr>
        <w:t>. The exercise price per Share shall be $0.00001, an amount equal to the par value of a share of Series A-1 Preferred Stock (the “</w:t>
      </w:r>
      <w:r>
        <w:rPr>
          <w:rFonts w:ascii="Times New Roman" w:hAnsi="Times New Roman"/>
          <w:b/>
          <w:i/>
          <w:sz w:val="20"/>
        </w:rPr>
        <w:t>Exercise Price</w:t>
      </w:r>
      <w:r>
        <w:rPr>
          <w:rFonts w:ascii="Times New Roman" w:hAnsi="Times New Roman"/>
          <w:sz w:val="20"/>
        </w:rPr>
        <w:t xml:space="preserve">”). As recited above, the Company’s board of directors has determined that the rights granted to the Company under the License Agreement have a value, allocable to the Shares issuable upon exercise of this Warrant, not less than the aggregate Exercise Price for all such Shares, and that such value has been received by the Company as of the Issue Date. Accordingly, the aggregate Exercise Price for all Shares issuable upon exercise of this Warrant shall be deemed prepaid and satisfied in full by the consideration received by the Company under the License Agreement, and no additional cash or other consideration shall be payable by the Holder upon any exercise of this Warrant. Upon issuance against such deemed-paid Exercise Price, the Shares shall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Notice</w:t>
      </w:r>
      <w:r>
        <w:rPr>
          <w:rFonts w:ascii="Times New Roman" w:hAnsi="Times New Roman"/>
          <w:sz w:val="20"/>
        </w:rPr>
        <w:t xml:space="preserve">. Subject to the terms of this Warrant, the Holder may exercise this Warrant, in whole or in part, at any time during the Exercise Period by delivering to the Company via electronic mail a duly completed and executed Exercise Notice, in the form attached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Exercise Notice</w:t>
      </w:r>
      <w:r>
        <w:rPr>
          <w:rFonts w:ascii="Times New Roman" w:hAnsi="Times New Roman"/>
          <w:sz w:val="20"/>
        </w:rPr>
        <w:t>”, the date of delivery of such Exercise Notice, the “</w:t>
      </w:r>
      <w:r>
        <w:rPr>
          <w:rFonts w:ascii="Times New Roman" w:hAnsi="Times New Roman"/>
          <w:b/>
          <w:i/>
          <w:sz w:val="20"/>
        </w:rPr>
        <w:t>Exercise Date</w:t>
      </w:r>
      <w:r>
        <w:rPr>
          <w:rFonts w:ascii="Times New Roman" w:hAnsi="Times New Roman"/>
          <w:sz w:val="20"/>
        </w:rPr>
        <w:t xml:space="preserve">”). For the avoidance of doubt, the Company acknowledges and agrees that, the Shares are being issued as part of the consideration under the License Agreement, the aggregate Exercise Price having been deemed prepaid and satisfied in full as set forth in Section 1, and the Holder is not obligated to pay any additional consideration to exercise the Warrant.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Timing; Certificates; New Warrant</w:t>
      </w:r>
      <w:r>
        <w:rPr>
          <w:rFonts w:ascii="Times New Roman" w:hAnsi="Times New Roman"/>
          <w:sz w:val="20"/>
        </w:rPr>
        <w:t xml:space="preserve">. Subject to the terms of this Warrant, the rights under this Warrant shall be deemed to have been exercised and the Shares issuable upon such exercise shall be deemed to have been issued immediately prior to the close of business on the Exercise Date, the Holder is entitled to receive the Shares issuable upon such exercise and shall be treated for all purposes as the holder of record of such Shares as of the close of business on the Exercise Date. As promptly as reasonably practicable on or after the Exercise Date, the Company shall issue and deliver to the Holder a certificate or certificates (or a notice of issuance of uncertificated shares or other evidence of ownership, if applicable) for that number of shares issuable upon such exercise. In the event that the rights under this Warrant are exercised in part and have not expired, the Company shall execute and deliver a new Warrant reflecting the number of Shares that remain subject to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Fractional Shares</w:t>
      </w:r>
      <w:r>
        <w:rPr>
          <w:rFonts w:ascii="Times New Roman" w:hAnsi="Times New Roman"/>
          <w:sz w:val="20"/>
        </w:rPr>
        <w:t xml:space="preserve">. No fractional Shares shall be issued upon exercise of this Warrant. In lieu of such fractional Share to which the Holder would otherwise be entitled, the Company shall make a cash payment equal to the amount calculated by multiplying such fraction by the fair market value of a full Share (as determined by the Company’s board of directors in its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Reservation of Shares</w:t>
      </w:r>
      <w:r>
        <w:rPr>
          <w:rFonts w:ascii="Times New Roman" w:hAnsi="Times New Roman"/>
          <w:sz w:val="20"/>
        </w:rPr>
        <w:t xml:space="preserve">. During the Exercise Period, the Company agrees to take all reasonable action(s) (including solicitation of any required board or stockholder resolutions) to reserve and keep available from its authorized and unissued shares of Series A-1 Preferred Stock or Common Stock (as applicable) for the purpose of effecting the exercise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Issued Shares</w:t>
      </w:r>
      <w:r>
        <w:rPr>
          <w:rFonts w:ascii="Times New Roman" w:hAnsi="Times New Roman"/>
          <w:sz w:val="20"/>
        </w:rPr>
        <w:t xml:space="preserve">. The Company represents and warrants that all Shares that may be issued upon the exercise of this Warrant will, when issued in accordance with the terms of this Warrant,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Conditional Exercise</w:t>
      </w:r>
      <w:r>
        <w:rPr>
          <w:rFonts w:ascii="Times New Roman" w:hAnsi="Times New Roman"/>
          <w:sz w:val="20"/>
        </w:rPr>
        <w:t xml:space="preserve">. The Holder may exercise this Warrant, subject to the terms of the Warrant, conditioned upon (and effective immediately prior to) consummation of any transaction or other event by indicating the election of such conditional exercise on the 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Automatic Exercise</w:t>
      </w:r>
      <w:r>
        <w:rPr>
          <w:rFonts w:ascii="Times New Roman" w:hAnsi="Times New Roman"/>
          <w:sz w:val="20"/>
        </w:rPr>
        <w:t xml:space="preserve">. If the Holder has not elected to exercise this Warrant prior to the expiration of this Warrant pursuant to </w:t>
      </w:r>
      <w:r>
        <w:rPr>
          <w:rFonts w:ascii="Times New Roman" w:hAnsi="Times New Roman"/>
          <w:sz w:val="20"/>
          <w:u w:val="single"/>
        </w:rPr>
        <w:t>Section 7</w:t>
      </w:r>
      <w:r>
        <w:rPr>
          <w:rFonts w:ascii="Times New Roman" w:hAnsi="Times New Roman"/>
          <w:sz w:val="20"/>
        </w:rPr>
        <w:t xml:space="preserve">, then this Warrant shall automatically (without any act on the part of the Holder) be exercised pursuant to </w:t>
      </w:r>
      <w:r>
        <w:rPr>
          <w:rFonts w:ascii="Times New Roman" w:hAnsi="Times New Roman"/>
          <w:sz w:val="20"/>
          <w:u w:val="single"/>
        </w:rPr>
        <w:t>Section 2(a)</w:t>
      </w:r>
      <w:r>
        <w:rPr>
          <w:rFonts w:ascii="Times New Roman" w:hAnsi="Times New Roman"/>
          <w:sz w:val="20"/>
        </w:rPr>
        <w:t xml:space="preserve"> effective immediately prior to the expiration of this Warrant pursuant to </w:t>
      </w:r>
      <w:r>
        <w:rPr>
          <w:rFonts w:ascii="Times New Roman" w:hAnsi="Times New Roman"/>
          <w:sz w:val="20"/>
          <w:u w:val="single"/>
        </w:rPr>
        <w:t>Section 7</w:t>
      </w:r>
      <w:r>
        <w:rPr>
          <w:rFonts w:ascii="Times New Roman" w:hAnsi="Times New Roman"/>
          <w:sz w:val="20"/>
        </w:rPr>
        <w:t xml:space="preserve">, unless the Holder provides prior written notice to the Company that the Holder desires that this Warrant to expire unexercised. If this Warrant is automatically exercised, the Company shall notify the Holder of the automatic exercise as soon as reasonably practicable, and the Holder shall surrender the Warrant to the Company in accordance with the terms hereof and shall be or become a party to the Stockholder Agreements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w:t>
      </w:r>
      <w:r>
        <w:rPr>
          <w:rFonts w:ascii="Times New Roman" w:hAnsi="Times New Roman"/>
          <w:sz w:val="20"/>
        </w:rPr>
        <w:t xml:space="preserve">. Where any payment or issuance due to be made to the Licensor or the Holder hereunder is subject to any withholding or similar tax, the Company shall have the right to deduct and withhold any such withholding or similar tax from any payment due to the Licensor or the Holder hereunder and will pay such withholding or similar tax to the appropriate governmental authority. To the extent that amounts are so withheld, such withheld amounts shall be treated for all purposes of this Warrant as having been delivered and paid or issued to the Licensor or the Holder or any other recipient of payment or issuance in respect of which such deduction and withholding was made. The Company will in a timely manner transmit to the Licensor or the Holder an official tax certificate or other evidence of such withholding sufficient to enable the Licensor or the Holder to claim such payment of taxes. The Licensor or the Holder will provide the Company any tax forms that may be reasonably necessary in order for the Company not to withhold tax or to withhold tax at a reduced rate under an applicable bilateral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Beneficial Ownership Limitation</w:t>
      </w:r>
      <w:r>
        <w:rPr>
          <w:rFonts w:ascii="Times New Roman" w:hAnsi="Times New Roman"/>
          <w:sz w:val="20"/>
        </w:rPr>
        <w:t xml:space="preserve">. Notwithstanding any other provision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not issue, and the Holder shall not have the right to acquire upon exercise of this Warrant (whether upon full or partial exercise, including any automatic exercise pursuant to </w:t>
      </w:r>
      <w:r>
        <w:rPr>
          <w:rFonts w:ascii="Times New Roman" w:hAnsi="Times New Roman"/>
          <w:sz w:val="20"/>
          <w:u w:val="single"/>
        </w:rPr>
        <w:t>Section 2(g)</w:t>
      </w:r>
      <w:r>
        <w:rPr>
          <w:rFonts w:ascii="Times New Roman" w:hAnsi="Times New Roman"/>
          <w:sz w:val="20"/>
        </w:rPr>
        <w:t>), any Shares to the extent that, after giving effect to such issuance, the Holder (together with any person whose beneficial ownership would be aggregated with the Holder’s for purposes of Section 13(d) of the Securities Exchange Act of 1934, as amended (the “</w:t>
      </w:r>
      <w:r>
        <w:rPr>
          <w:rFonts w:ascii="Times New Roman" w:hAnsi="Times New Roman"/>
          <w:b/>
          <w:i/>
          <w:sz w:val="20"/>
        </w:rPr>
        <w:t>Exchange Act</w:t>
      </w:r>
      <w:r>
        <w:rPr>
          <w:rFonts w:ascii="Times New Roman" w:hAnsi="Times New Roman"/>
          <w:sz w:val="20"/>
        </w:rPr>
        <w:t>”), and the rules promulgated thereunder, including any “group” (within the meaning of Section 13(d)) of which the Holder is a member) would beneficially own in excess of 9.9% of the total number of shares of Common Stock Outstanding immediately after giving effect to such issuance (the “</w:t>
      </w:r>
      <w:r>
        <w:rPr>
          <w:rFonts w:ascii="Times New Roman" w:hAnsi="Times New Roman"/>
          <w:b/>
          <w:i/>
          <w:sz w:val="20"/>
        </w:rPr>
        <w:t>Beneficial Ownership Cap</w:t>
      </w:r>
      <w:r>
        <w:rPr>
          <w:rFonts w:ascii="Times New Roman" w:hAnsi="Times New Roman"/>
          <w:sz w:val="20"/>
        </w:rPr>
        <w:t xml:space="preserve">”). For purposes of this </w:t>
      </w:r>
      <w:r>
        <w:rPr>
          <w:rFonts w:ascii="Times New Roman" w:hAnsi="Times New Roman"/>
          <w:sz w:val="20"/>
          <w:u w:val="single"/>
        </w:rPr>
        <w:t>Section 2(i)</w:t>
      </w:r>
      <w:r>
        <w:rPr>
          <w:rFonts w:ascii="Times New Roman" w:hAnsi="Times New Roman"/>
          <w:sz w:val="20"/>
        </w:rPr>
        <w:t xml:space="preserve">, the number of shares beneficially owned by the Holder shall include the Shares issuable upon the exercise with respect to which the determination is being made, but shall exclude Shares issuable upon exercise of any portion of this Warrant that has not then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(ii) Any purported exercise of this Warrant to the extent it would result in the Holder’s beneficial ownership exceeding the Beneficial Ownership Cap shall be null and void as to such excess. If an Exercise Notice would result in the Holder’s beneficial ownership exceeding the Beneficial Ownership Cap, such Exercise Notice shall be deemed automatically modified to reduce the number of Shares to be issued to the maximum number that would not cause the Holder’s beneficial ownership to exceed the Beneficial Ownership Cap, and the Holder shall remain entitled to submit further Exercise Notices from time to time for any Shares that could not be issued as a result of this </w:t>
      </w:r>
      <w:r>
        <w:rPr>
          <w:rFonts w:ascii="Times New Roman" w:hAnsi="Times New Roman"/>
          <w:sz w:val="20"/>
          <w:u w:val="single"/>
        </w:rPr>
        <w:t>Section 2(i)</w:t>
      </w:r>
      <w:r>
        <w:rPr>
          <w:rFonts w:ascii="Times New Roman" w:hAnsi="Times New Roman"/>
          <w:sz w:val="20"/>
        </w:rPr>
        <w:t xml:space="preserve">, subject at all times to the Beneficial Ownership Cap. </w:t>
      </w:r>
    </w:p>
    <w:p>
      <w:pPr>
        <w:pStyle w:val="TextBody"/>
        <w:bidi w:val="0"/>
        <w:spacing w:before="240" w:after="0"/>
        <w:jc w:val="left"/>
        <w:rPr>
          <w:rFonts w:ascii="Times New Roman" w:hAnsi="Times New Roman"/>
          <w:sz w:val="20"/>
        </w:rPr>
      </w:pPr>
      <w:r>
        <w:rPr>
          <w:rFonts w:ascii="Times New Roman" w:hAnsi="Times New Roman"/>
          <w:sz w:val="20"/>
        </w:rPr>
        <w:t xml:space="preserve">(iii) At the Company’s reasonable written request (made no more than once per calendar quarter), the Holder shall certify in writing the number of shares beneficially owned by the Holder and its affiliates for purposes of determining compliance with the Beneficial Ownership Cap. The Beneficial Ownership Cap may not be waived or increased by either party without the prior written consent of both parties. The parties acknowledge that the Beneficial Ownership Cap is intended, in part, to support the Holder’s status as a passive investor and to facilitate compliance with applicable U.S. data security and foreign investment review regulations applicable to the Company and the Holder, and shall be construed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Transfer of this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Restrictions</w:t>
      </w:r>
      <w:r>
        <w:rPr>
          <w:rFonts w:ascii="Times New Roman" w:hAnsi="Times New Roman"/>
          <w:sz w:val="20"/>
        </w:rPr>
        <w:t xml:space="preserve">. This Warrant shall not be directly or indirectly transferred or assigned by the Holder without the prior written consent of the Company; </w:t>
      </w:r>
      <w:r>
        <w:rPr>
          <w:rFonts w:ascii="Times New Roman" w:hAnsi="Times New Roman"/>
          <w:sz w:val="20"/>
          <w:u w:val="single"/>
        </w:rPr>
        <w:t>provided</w:t>
      </w:r>
      <w:r>
        <w:rPr>
          <w:rFonts w:ascii="Times New Roman" w:hAnsi="Times New Roman"/>
          <w:sz w:val="20"/>
        </w:rPr>
        <w:t xml:space="preserve"> that, the Holder may transfer any portion of this Warrant without such consent (i) to any Subscriber Affiliate at any time, provided that such Subscriber Affiliate remains subject to the transfer restrictions set forth herein, or (ii) to any Person after the consummation of a Going Public Event, subject to any lockup period no more stringent than what the holders of Series A Preferred Stock would be subject to and in any event not to exceed 180 days. The Shares issued upon exercise of this Warrant shall be subject to the transfer restrictions applicable to shares of Series A-1 Preferred Stock or Common Stock (as applicable) as set forth in the Bylaws and the Stockholder Agreements.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 Agreement</w:t>
      </w:r>
      <w:r>
        <w:rPr>
          <w:rFonts w:ascii="Times New Roman" w:hAnsi="Times New Roman"/>
          <w:sz w:val="20"/>
        </w:rPr>
        <w:t xml:space="preserve">. Subject to compliance with the terms of this Warrant and all applicable laws, including the Securities Act, this Warrant may be transferred and assigned by delivering to the Company via electronic mail a duly completed and executed Assignment Agreement, in the form attached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i/>
          <w:sz w:val="20"/>
        </w:rPr>
        <w:t>Assignment Agreement</w:t>
      </w:r>
      <w:r>
        <w:rPr>
          <w:rFonts w:ascii="Times New Roman" w:hAnsi="Times New Roman"/>
          <w:sz w:val="20"/>
        </w:rPr>
        <w:t xml:space="preserve">”). This Warrant must be surrendered to the Company or its designated agent, as applicable, as a condition precedent to any transfer or assignment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Taxes</w:t>
      </w:r>
      <w:r>
        <w:rPr>
          <w:rFonts w:ascii="Times New Roman" w:hAnsi="Times New Roman"/>
          <w:sz w:val="20"/>
        </w:rPr>
        <w:t xml:space="preserve">. In no event shall the Company be required to pay any tax which may be payable in respect of any transfer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Legends</w:t>
      </w:r>
      <w:r>
        <w:rPr>
          <w:rFonts w:ascii="Times New Roman" w:hAnsi="Times New Roman"/>
          <w:sz w:val="20"/>
        </w:rPr>
        <w:t xml:space="preserve">. Each certificate, instrument, or book entry representing the Securities (as defined below) shall be notated with any applicable legend(s) as required by applicable laws, the Stockholder Agreements, the Bylaws, or as otherwise reasonably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Adjustments</w:t>
      </w:r>
      <w:r>
        <w:rPr>
          <w:rFonts w:ascii="Times New Roman" w:hAnsi="Times New Roman"/>
          <w:sz w:val="20"/>
        </w:rPr>
        <w:t xml:space="preserve">. Subject to the terms of this Warrant, the number and kind of Shares are subject to adjustment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Reorganization</w:t>
      </w:r>
      <w:r>
        <w:rPr>
          <w:rFonts w:ascii="Times New Roman" w:hAnsi="Times New Roman"/>
          <w:sz w:val="20"/>
        </w:rPr>
        <w:t xml:space="preserve">. Subject to </w:t>
      </w:r>
      <w:r>
        <w:rPr>
          <w:rFonts w:ascii="Times New Roman" w:hAnsi="Times New Roman"/>
          <w:sz w:val="20"/>
          <w:u w:val="single"/>
        </w:rPr>
        <w:t>Section 1(b)</w:t>
      </w:r>
      <w:r>
        <w:rPr>
          <w:rFonts w:ascii="Times New Roman" w:hAnsi="Times New Roman"/>
          <w:sz w:val="20"/>
        </w:rPr>
        <w:t xml:space="preserve"> above, in the event of any reorganization, recapitalization, merger, consolidation, or similar transaction involving the Company or the Public Company (as applicable) other than a Reclassification (as defined below) or a Going Public Event, in which shares of the Company or the Public Company (as applicable) are converted into or exchanged for securities, cash, or other property, then the Holder shall be entitled to receive upon exercise of this Warrant the kind and amount of securities, cash, or other property of the successor entity resulting from such Reorganization, equivalent in value to that which a holder of the Shares (assuming exercise of this Warrant immediately prior to such Reorganization) would have been entitled in connection with such Reorganization. In any such case, appropriate adjustment (as mutually determined in good faith by the successor entity and the Holder) shall be made in the application of the provisions of this Warrant with respect to the rights and interests of the Holder after such Reorganization. The provisions of this Section shall similarly apply to successive reorganization, recapitalization, merger, consolidation, or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Reclassification of Shares</w:t>
      </w:r>
      <w:r>
        <w:rPr>
          <w:rFonts w:ascii="Times New Roman" w:hAnsi="Times New Roman"/>
          <w:sz w:val="20"/>
        </w:rPr>
        <w:t>. If the Shares issuable upon exercise of this Warrant are changed into the same or a different number of securities of any other class or classes by reclassification, capital reorganization, or otherwise, excluding a Reorganization and a Going Public Event (each, a “</w:t>
      </w:r>
      <w:r>
        <w:rPr>
          <w:rFonts w:ascii="Times New Roman" w:hAnsi="Times New Roman"/>
          <w:b/>
          <w:i/>
          <w:sz w:val="20"/>
        </w:rPr>
        <w:t>Reclassification</w:t>
      </w:r>
      <w:r>
        <w:rPr>
          <w:rFonts w:ascii="Times New Roman" w:hAnsi="Times New Roman"/>
          <w:sz w:val="20"/>
        </w:rPr>
        <w:t xml:space="preserve">”), then, subject to </w:t>
      </w:r>
      <w:r>
        <w:rPr>
          <w:rFonts w:ascii="Times New Roman" w:hAnsi="Times New Roman"/>
          <w:sz w:val="20"/>
          <w:u w:val="single"/>
        </w:rPr>
        <w:t>Section 1(b)</w:t>
      </w:r>
      <w:r>
        <w:rPr>
          <w:rFonts w:ascii="Times New Roman" w:hAnsi="Times New Roman"/>
          <w:sz w:val="20"/>
        </w:rPr>
        <w:t xml:space="preserve"> above, the Holder shall be entitled to receive upon exercise of this Warrant the number and kind of securities that the Holder would have received if this Warrant had been exercised immediately before such Reclassification. The provisions of this Section shall similarly apply to successive Reclassifications.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Subdivisions, Dividends, Distributions and Combinations</w:t>
      </w:r>
      <w:r>
        <w:rPr>
          <w:rFonts w:ascii="Times New Roman" w:hAnsi="Times New Roman"/>
          <w:sz w:val="20"/>
        </w:rPr>
        <w:t xml:space="preserve">. In the event that the then outstanding shares of Series A-1 Preferred Stock or Common Stock (as applicable) are subdivided (by stock split or otherwise) into a greater number of shares, or the Company or the Public Company (as applicable) pays a dividend or makes any other distribution to the Series A-1 Preferred Stock or Common Stock (as applicable) that is payable in Series A-1 Preferred Stock or Common Stock, respectively, then, subject to </w:t>
      </w:r>
      <w:r>
        <w:rPr>
          <w:rFonts w:ascii="Times New Roman" w:hAnsi="Times New Roman"/>
          <w:sz w:val="20"/>
          <w:u w:val="single"/>
        </w:rPr>
        <w:t>Section 1(b)</w:t>
      </w:r>
      <w:r>
        <w:rPr>
          <w:rFonts w:ascii="Times New Roman" w:hAnsi="Times New Roman"/>
          <w:sz w:val="20"/>
        </w:rPr>
        <w:t xml:space="preserve"> above, the number of Shares issuable upon exercise of this Warrant immediately prior to such subdivision, dividend or distribution shall be proportionately increased, concurrently with the effectiveness of such subdivision, dividend or distribution. In the event that the outstanding shares of Series A-1 Preferred Stock or Common Stock (as applicable) are combined (by reverse stock split or otherwise) into a lesser number of shares of such securities, then, subject to </w:t>
      </w:r>
      <w:r>
        <w:rPr>
          <w:rFonts w:ascii="Times New Roman" w:hAnsi="Times New Roman"/>
          <w:sz w:val="20"/>
          <w:u w:val="single"/>
        </w:rPr>
        <w:t>Section 1(b)</w:t>
      </w:r>
      <w:r>
        <w:rPr>
          <w:rFonts w:ascii="Times New Roman" w:hAnsi="Times New Roman"/>
          <w:sz w:val="20"/>
        </w:rPr>
        <w:t xml:space="preserve"> above, the number of Shares issuable upon exercise of this Warrant immediately prior to such combination shall be proportionately decreased, concurrently with the effectiveness of such combination.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of Adjustments</w:t>
      </w:r>
      <w:r>
        <w:rPr>
          <w:rFonts w:ascii="Times New Roman" w:hAnsi="Times New Roman"/>
          <w:sz w:val="20"/>
        </w:rPr>
        <w:t xml:space="preserve">. Upon any adjustment in accordance with this </w:t>
      </w:r>
      <w:r>
        <w:rPr>
          <w:rFonts w:ascii="Times New Roman" w:hAnsi="Times New Roman"/>
          <w:sz w:val="20"/>
          <w:u w:val="single"/>
        </w:rPr>
        <w:t>Section 4</w:t>
      </w:r>
      <w:r>
        <w:rPr>
          <w:rFonts w:ascii="Times New Roman" w:hAnsi="Times New Roman"/>
          <w:sz w:val="20"/>
        </w:rPr>
        <w:t xml:space="preserve">, the Company shall give prompt notice to the Holder, which notice shall state the event giving rise to the adjustment, the number of securities or other property purchasable upon the exercise of the rights under this Warrant, setting forth in reasonable detail the method of calculation of each. The Company shall, upon the written request of the Holder, furnish or cause to be furnished to the Holder a certificate setting forth (i) such adjustments, and (ii) the number of securities and the amount, if any, of other property that at the time would be received upon exercise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Going Public Event</w:t>
      </w:r>
      <w:r>
        <w:rPr>
          <w:rFonts w:ascii="Times New Roman" w:hAnsi="Times New Roman"/>
          <w:sz w:val="20"/>
        </w:rPr>
        <w:t xml:space="preserve">. Effective upon the consummation of a Going Public Event, this Warrant shall automatically, and without any further action by the Company or the Holder,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Going Public Event other than a Reverse Merger, this Warrant shall become a warrant to purchase the number of shares of Common Stock into which the shares of Series A-1 Preferred Stock then underlying this Warrant (after giving effect to all adjustments under this Warrant through such consummation) would be convertible under the Certificate of Incorporation in effect immediately prior to such consummation. </w:t>
      </w:r>
    </w:p>
    <w:p>
      <w:pPr>
        <w:pStyle w:val="TextBody"/>
        <w:bidi w:val="0"/>
        <w:spacing w:before="240" w:after="0"/>
        <w:jc w:val="left"/>
        <w:rPr>
          <w:rFonts w:ascii="Times New Roman" w:hAnsi="Times New Roman"/>
          <w:sz w:val="20"/>
        </w:rPr>
      </w:pPr>
      <w:r>
        <w:rPr>
          <w:rFonts w:ascii="Times New Roman" w:hAnsi="Times New Roman"/>
          <w:sz w:val="20"/>
        </w:rPr>
        <w:t xml:space="preserve">(ii) In the case of a Reverse Merger, this Warrant shall become a warrant to purchase the number of shares of Public Company Common Stock that a holder of a number of shares of Series A Preferred Stock equal to the number of shares of Series A-1 Preferred Stock then underlying this Warrant (after giving effect to all adjustments under this Warrant through such consummation) would have been entitled to receive in respect of such Series A Preferred Stock pursuant to the Reverse Merger. By way of example, in the case of a Reverse Merger in which each share of Series A Preferred Stock is exchanged for 10 shares of Public Company Common Stock, if this Warrant then represents the right to purchase 100,000 shares of Series A-1 Preferred Stock, this Warrant shall thereafter represent the right to purchase 1,000,000 shares of Public Company Common Stock. For the avoidance of doubt, the number of shares of Series A-1 Preferred Stock then underlying this Warrant shall first, immediately prior to the consummation of such Reverse Merger, be adjusted pursuant to Section 2.2(a) of the Subscription Agreement to give effect to any Equity Financing consummated substantially concurrently with or immediately following such Reverse Merger.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shall be issued upon any exercise of this Warrant following an adjustment under this Section 4(e); the number of shares issuable upon exercise shall be rounded down to the nearest whole share. Except as adjusted under this Section 4(e), this Warrant shall remain in full force and effect on its existing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Notification of Certain Events</w:t>
      </w:r>
      <w:r>
        <w:rPr>
          <w:rFonts w:ascii="Times New Roman" w:hAnsi="Times New Roman"/>
          <w:sz w:val="20"/>
        </w:rPr>
        <w:t xml:space="preserve">. Prior to the expiration of this Warrant pursuant to </w:t>
      </w:r>
      <w:r>
        <w:rPr>
          <w:rFonts w:ascii="Times New Roman" w:hAnsi="Times New Roman"/>
          <w:sz w:val="20"/>
          <w:u w:val="single"/>
        </w:rPr>
        <w:t>Section 7</w:t>
      </w:r>
      <w:r>
        <w:rPr>
          <w:rFonts w:ascii="Times New Roman" w:hAnsi="Times New Roman"/>
          <w:sz w:val="20"/>
        </w:rPr>
        <w:t xml:space="preserve">, if the Company or the Public Company (as applicable) shall authorize: (a) the voluntary liquidation, dissolution, or winding up of the Company or the Public Company (as applicable), (b) a Change of Control, or (c) a Going Public Event, then the Company shall send to the Holder at least twenty (20) days prior written notice of the anticipated effective date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Representations and Warranties</w:t>
      </w:r>
      <w:r>
        <w:rPr>
          <w:rFonts w:ascii="Times New Roman" w:hAnsi="Times New Roman"/>
          <w:sz w:val="20"/>
        </w:rPr>
        <w:t xml:space="preserve">. The Company represents and warrants to the Holder as of the date of this Warrant that: (i) the Company has full power and authority to enter into and deliver this Warrant, and when executed and delivered by the Company, will constitute, valid and legally binding obligations of the Company, enforceable in accordance with the terms hereof; (ii) the execution and delivery of this Warrant have been duly and properly authorized by all requisite corporate action of the Company and the Company’s board of directors, and no consent of any other person is required as a prerequisite to the validity and enforceability of this Warrant that has not been obtained; (iii) the Company is not a party to or otherwise subject to any contract or agreement that restricts or otherwise affects its right to execute and deliver this Warrant or to perform its obligations hereunder (including the issuance of Shares), except where all necessary consents or waivers have been obtained. Neither the execution, delivery nor performance of this Warrant (including the issuance of Shares) will conflict with, result in a breach of the terms, conditions or provisions of, constitute a default under, result in any violation of, result in the creation of any lien upon any properties of the Company under, require any consent, approval or other action by or notice to or filing with any court or governmental body pursuant to, the Company’s Certificate of Incorporation or Bylaws, any award of any arbitrator or any agreement, instrument or law to which the Company is subject or by which it is bound; (iv) the issuance of this Warrant is, and assuming the continuing accuracy of the Holder’s representations and warranties herein and no change in applicable law, the issuance of the Shares upon exercise of this Warrant in accordance with the terms hereof will be, exempt from registration and qualification under applicable federal and state securities laws; and (v) the Shares, when issued and delivered in accordance with the terms and for the consideration set forth in this Warrant, will be validly issued, fully paid and nonassessable and free of restrictions on transfer other than restrictions on transfer under the Bylaws, Stockholder Agreements, applicable state and federal securities laws and liens or encumbrances created by or imposed by the Holder, and (vi) the Shares will be duly reserved for issuance following the filing of the Restated Certificate at or prior to the initial closing of the Series A Financing and following each adjustment in the Share Number.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Holder Representations and Warranties</w:t>
      </w:r>
      <w:r>
        <w:rPr>
          <w:rFonts w:ascii="Times New Roman" w:hAnsi="Times New Roman"/>
          <w:sz w:val="20"/>
        </w:rPr>
        <w:t xml:space="preserve">. The Holder represents and warrants to the Company that: (i) the Holder has full power and authority to enter into and deliver this Warrant, and when executed and delivered by the Holder, will constitute, valid and legally binding obligations of the Holder, enforceable in accordance with the terms hereof; (ii) the Securities are being acquired for investment by the Holder for its own account, not as an unlawful nominee or agent, and not with a view to, or for resale in connection with, the distribution thereof, and that the Holder has no present intention of selling, granting any participation in, or otherwise distributing the Securities, nor does it have any contract, undertaking, agreement or arrangement for such action(s); (iii) the Holder is either (a) an “accredited investor” (as defined in Regulation D under the Securities Act), is financially sophisticated, and is able to bear the full loss of its investment related to the Securities, or (b) not a “U.S. person” as defined in Rule 902(k) of Regulation S promulgated under the Securities Act; and (iv) the Holder understands that no public market now exists for the Securities, and that the Company has made no assurances that a public market will ever exist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Expiration of the Warrant</w:t>
      </w:r>
      <w:r>
        <w:rPr>
          <w:rFonts w:ascii="Times New Roman" w:hAnsi="Times New Roman"/>
          <w:sz w:val="20"/>
        </w:rPr>
        <w:t xml:space="preserve">. This Warrant shall expire and shall no longer be exercisable as of the date of the 10th anniversary of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Certain Definitions</w:t>
      </w:r>
      <w:r>
        <w:rPr>
          <w:rFonts w:ascii="Times New Roman" w:hAnsi="Times New Roman"/>
          <w:sz w:val="20"/>
        </w:rPr>
        <w:t xml:space="preserve">. Capitalized terms used and not otherwise defined herein have the meanings ascribed thereto in the Subscription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Bylaws</w:t>
      </w:r>
      <w:r>
        <w:rPr>
          <w:rFonts w:ascii="Times New Roman" w:hAnsi="Times New Roman"/>
          <w:sz w:val="20"/>
        </w:rPr>
        <w:t xml:space="preserve">” means the Company’s Bylaws, as amended and/or restated from time to time.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Certificate of Incorporation</w:t>
      </w:r>
      <w:r>
        <w:rPr>
          <w:rFonts w:ascii="Times New Roman" w:hAnsi="Times New Roman"/>
          <w:sz w:val="20"/>
        </w:rPr>
        <w:t xml:space="preserve">” means the Company’s Certificate of Incorporation as in effect from time to time, including, from and after its filing, the Restated Certificate (as defined in the Subscription Agreement).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Person</w:t>
      </w:r>
      <w:r>
        <w:rPr>
          <w:rFonts w:ascii="Times New Roman" w:hAnsi="Times New Roman"/>
          <w:sz w:val="20"/>
        </w:rPr>
        <w:t xml:space="preserve">” means an individual, a partnership, a corporation (including a business trust), a joint stock company, a limited liability company, an unincorporated association, a joint venture or other entity or a governmental authority.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Securities</w:t>
      </w:r>
      <w:r>
        <w:rPr>
          <w:rFonts w:ascii="Times New Roman" w:hAnsi="Times New Roman"/>
          <w:sz w:val="20"/>
        </w:rPr>
        <w:t xml:space="preserve">” means, collectively, this Warrant and the Shares issuable upon exercise of this Warrant.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w:t>
      </w:r>
      <w:r>
        <w:rPr>
          <w:rFonts w:ascii="Times New Roman" w:hAnsi="Times New Roman"/>
          <w:sz w:val="20"/>
        </w:rPr>
        <w:t xml:space="preserve">. Subject to the restrictions on transfer set forth in </w:t>
      </w:r>
      <w:r>
        <w:rPr>
          <w:rFonts w:ascii="Times New Roman" w:hAnsi="Times New Roman"/>
          <w:sz w:val="20"/>
          <w:u w:val="single"/>
        </w:rPr>
        <w:t>Section 3</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Governing Law</w:t>
      </w:r>
      <w:r>
        <w:rPr>
          <w:rFonts w:ascii="Times New Roman" w:hAnsi="Times New Roman"/>
          <w:sz w:val="20"/>
        </w:rPr>
        <w:t xml:space="preserve">. This Warrant and all actions arising out of or in connection with this Warrant shall be governed by and construed in accordance with the laws of the State of Delaware, without regard to the conflicts of law provisions of the State of Delaware, or of any other state.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 and Waiver</w:t>
      </w:r>
      <w:r>
        <w:rPr>
          <w:rFonts w:ascii="Times New Roman" w:hAnsi="Times New Roman"/>
          <w:sz w:val="20"/>
        </w:rPr>
        <w:t xml:space="preserve">. Except as expressly set forth in this Warrant, any provision of this Warrant may be amended, waived, modified, or terminated upon the written consent of (i) the Company, and (ii) the Holder.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All notices and other communications under this Warrant shall be in writing and shall be deemed given upon delivery by hand, upon delivery by nationally recognized overnight courier (with written confirmation of receipt), upon transmission by email unless the sending party receives an automated non-delivery notification, in which case notice shall be deemed given only upon actual receipt, or upon the earlier of actual receipt or five days after being sent by registered or certified mail (return receipt requested) to the parties, in each case, at the addresses set forth on the signature pages hereto (or at such other addresses as may be specified by notice given in accordance with this </w:t>
      </w:r>
      <w:r>
        <w:rPr>
          <w:rFonts w:ascii="Times New Roman" w:hAnsi="Times New Roman"/>
          <w:sz w:val="20"/>
          <w:u w:val="single"/>
        </w:rPr>
        <w:t>Section 9(d)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Survival</w:t>
      </w:r>
      <w:r>
        <w:rPr>
          <w:rFonts w:ascii="Times New Roman" w:hAnsi="Times New Roman"/>
          <w:sz w:val="20"/>
        </w:rPr>
        <w:t xml:space="preserve">. Except as expressly set forth in this Warrant, the rights and obligations of the Company and the Holder under this Warrant shall survive any exercise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If any provision of this Warrant becomes or is declared by a court of competent jurisdiction to be illegal, unenforceable, or void, portions of such provision, or such provision in its entirety, to the extent necessary, shall be severed from this Warrant, and such illegal, unenforceable, or void provision shall be replaced with a valid and enforceable provision that will achieve, to the extent possible, the same economic, business and other purposes of the illegal, unenforceable, or void provision. The remaining provisions of this Warrant shall be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Warrant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Entire Agreement; Full Satisfaction</w:t>
      </w:r>
      <w:r>
        <w:rPr>
          <w:rFonts w:ascii="Times New Roman" w:hAnsi="Times New Roman"/>
          <w:sz w:val="20"/>
        </w:rPr>
        <w:t xml:space="preserve">. This Warrant, the License Agreement, the Subscription Agreement and the Stockholder Agreements constitute the full and entire understanding and agreement between the parties with respect to the applicable subject matter of this Warrant, the License Agreement, the Subscription Agreement, and the Stockholder Agreements, and any other written or oral agreement relating to such subject matter existing between the parties are expressly cancelled.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Further Assurances</w:t>
      </w:r>
      <w:r>
        <w:rPr>
          <w:rFonts w:ascii="Times New Roman" w:hAnsi="Times New Roman"/>
          <w:sz w:val="20"/>
        </w:rPr>
        <w:t xml:space="preserve">. Each party agrees to execute and deliver, by the proper exercise of its corporate, limited liability company, partnership, or other powers, all such other and additional instruments and documents and do all such other acts and things as may be necessary to fully effectuate the terms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Holder’s Economic Rights</w:t>
      </w:r>
      <w:r>
        <w:rPr>
          <w:rFonts w:ascii="Times New Roman" w:hAnsi="Times New Roman"/>
          <w:sz w:val="20"/>
        </w:rPr>
        <w:t xml:space="preserve">. If the Company makes any dividend or any other distribution of cash, securities of the Company (except as contemplated by </w:t>
      </w:r>
      <w:r>
        <w:rPr>
          <w:rFonts w:ascii="Times New Roman" w:hAnsi="Times New Roman"/>
          <w:sz w:val="20"/>
          <w:u w:val="single"/>
        </w:rPr>
        <w:t>Section 4(c)</w:t>
      </w:r>
      <w:r>
        <w:rPr>
          <w:rFonts w:ascii="Times New Roman" w:hAnsi="Times New Roman"/>
          <w:sz w:val="20"/>
        </w:rPr>
        <w:t xml:space="preserve"> herein or in connection with any transaction or event in which the then-outstanding Warrant is fully exercised for Shares no later than immediately prior to such transaction or event or other assets (including any right to purchase securities of the Company or other assets) to holders of Series A-1 Preferred Stock, then the Company shall, simultaneously with such dividend or distribution, set aside an amount of cash, or the applicable securities or other assets, equal to the amount of cash, or the applicable securities or other assets, as the Holder would have received if the then-outstanding Warrant had been fully exercised for Shares immediately prior to such dividend or other distribution (or the record date thereof), a portion of which shall be paid or distributed to the Holder upon exercise of this Warrant </w:t>
      </w:r>
      <w:r>
        <w:rPr>
          <w:rFonts w:ascii="Times New Roman" w:hAnsi="Times New Roman"/>
          <w:i/>
          <w:sz w:val="20"/>
        </w:rPr>
        <w:t>pro rata</w:t>
      </w:r>
      <w:r>
        <w:rPr>
          <w:rFonts w:ascii="Times New Roman" w:hAnsi="Times New Roman"/>
          <w:sz w:val="20"/>
        </w:rPr>
        <w:t xml:space="preserve"> based on the portion of this Warrant exercised at such time.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Replacement of this Warrant</w:t>
      </w:r>
      <w:r>
        <w:rPr>
          <w:rFonts w:ascii="Times New Roman" w:hAnsi="Times New Roman"/>
          <w:sz w:val="20"/>
        </w:rPr>
        <w:t xml:space="preserve">. Subject to the receipt of evidence reasonably satisfactory to the Company of the loss, theft, destruction, or mutilation of this Warrant and, if requested by the Company, an indemnity agreement in form and substance acceptable to the Company, the Company shall execute and deliver, in lieu of this Warrant, a new Warrant of the same amount, at the expense of the Holder. The term “Warrant” shall include this Warrant and any warrants delivered in substitution, exchange, or replacement, all of which shall be deemed to be issued pursuant to the Subscription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and the Holder have made this Warrant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NEWCO10, INC.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70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Alice Lee</w:t>
            </w:r>
          </w:p>
        </w:tc>
      </w:tr>
      <w:tr>
        <w:trPr/>
        <w:tc>
          <w:tcPr>
            <w:tcW w:w="70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Address: c/o RTW Investments, LP</w:t>
              <w:br/>
              <w:t>40 10th Avenue, Floor 7</w:t>
            </w:r>
          </w:p>
        </w:tc>
      </w:tr>
      <w:tr>
        <w:trPr/>
        <w:tc>
          <w:tcPr>
            <w:tcW w:w="4082" w:type="dxa"/>
            <w:gridSpan w:val="3"/>
            <w:tcBorders/>
            <w:vAlign w:val="bottom"/>
          </w:tcPr>
          <w:p>
            <w:pPr>
              <w:pStyle w:val="TableContents"/>
              <w:bidi w:val="0"/>
              <w:spacing w:before="0" w:after="283"/>
              <w:jc w:val="left"/>
              <w:rPr/>
            </w:pPr>
            <w:r>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and the Holder have made this Warrant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3"/>
        <w:gridCol w:w="60"/>
        <w:gridCol w:w="3109"/>
      </w:tblGrid>
      <w:tr>
        <w:trPr/>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YOLTECH THERAPEUTICS CO., LTD</w:t>
            </w:r>
          </w:p>
        </w:tc>
      </w:tr>
      <w:tr>
        <w:trPr>
          <w:trHeight w:val="240" w:hRule="atLeast"/>
        </w:trPr>
        <w:tc>
          <w:tcPr>
            <w:tcW w:w="913"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09" w:type="dxa"/>
            <w:tcBorders>
              <w:bottom w:val="single" w:sz="2" w:space="0" w:color="000000"/>
            </w:tcBorders>
            <w:tcMar>
              <w:bottom w:w="28" w:type="dxa"/>
            </w:tcMar>
          </w:tcPr>
          <w:p>
            <w:pPr>
              <w:pStyle w:val="TableContents"/>
              <w:bidi w:val="0"/>
              <w:spacing w:before="0" w:after="283"/>
              <w:jc w:val="left"/>
              <w:rPr/>
            </w:pPr>
            <w:r>
              <w:rPr/>
              <w:t>/s/ Yuxuan Wu</w:t>
            </w:r>
          </w:p>
        </w:tc>
      </w:tr>
      <w:tr>
        <w:trPr/>
        <w:tc>
          <w:tcPr>
            <w:tcW w:w="91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09" w:type="dxa"/>
            <w:tcBorders/>
            <w:vAlign w:val="bottom"/>
          </w:tcPr>
          <w:p>
            <w:pPr>
              <w:pStyle w:val="TableContents"/>
              <w:bidi w:val="0"/>
              <w:spacing w:before="0" w:after="283"/>
              <w:jc w:val="left"/>
              <w:rPr/>
            </w:pPr>
            <w:r>
              <w:rPr/>
              <w:t>Yuxuan Wu</w:t>
            </w:r>
          </w:p>
        </w:tc>
      </w:tr>
      <w:tr>
        <w:trPr/>
        <w:tc>
          <w:tcPr>
            <w:tcW w:w="91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09" w:type="dxa"/>
            <w:tcBorders/>
            <w:vAlign w:val="bottom"/>
          </w:tcPr>
          <w:p>
            <w:pPr>
              <w:pStyle w:val="TableContents"/>
              <w:bidi w:val="0"/>
              <w:spacing w:before="0" w:after="283"/>
              <w:jc w:val="left"/>
              <w:rPr/>
            </w:pPr>
            <w:r>
              <w:rPr/>
              <w:t>Legal Representative</w:t>
            </w:r>
          </w:p>
        </w:tc>
      </w:tr>
      <w:tr>
        <w:trPr>
          <w:trHeight w:val="240" w:hRule="atLeast"/>
        </w:trPr>
        <w:tc>
          <w:tcPr>
            <w:tcW w:w="913"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09" w:type="dxa"/>
            <w:tcBorders/>
            <w:vAlign w:val="bottom"/>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YolTech Therapeutics Co., Ltd.</w:t>
              <w:br/>
              <w:t>12F, Building A, 58 Tanzhu Rd.,</w:t>
            </w:r>
          </w:p>
        </w:tc>
      </w:tr>
      <w:tr>
        <w:trPr/>
        <w:tc>
          <w:tcPr>
            <w:tcW w:w="4082" w:type="dxa"/>
            <w:gridSpan w:val="3"/>
            <w:tcBorders/>
            <w:vAlign w:val="bottom"/>
          </w:tcPr>
          <w:p>
            <w:pPr>
              <w:pStyle w:val="TableContents"/>
              <w:bidi w:val="0"/>
              <w:spacing w:before="0" w:after="283"/>
              <w:jc w:val="left"/>
              <w:rPr/>
            </w:pPr>
            <w:r>
              <w:rPr/>
              <w:t>Minhang District, Shanghai</w:t>
            </w:r>
          </w:p>
        </w:tc>
      </w:tr>
      <w:tr>
        <w:trPr/>
        <w:tc>
          <w:tcPr>
            <w:tcW w:w="4082" w:type="dxa"/>
            <w:gridSpan w:val="3"/>
            <w:tcBorders/>
            <w:vAlign w:val="bottom"/>
          </w:tcPr>
          <w:p>
            <w:pPr>
              <w:pStyle w:val="TableContents"/>
              <w:bidi w:val="0"/>
              <w:spacing w:before="0" w:after="283"/>
              <w:jc w:val="left"/>
              <w:rPr/>
            </w:pPr>
            <w:r>
              <w:rPr/>
              <w:t>People’s Republic of China</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Effective Date: ________ __, 20__ </w:t>
      </w:r>
    </w:p>
    <w:p>
      <w:pPr>
        <w:pStyle w:val="TextBody"/>
        <w:bidi w:val="0"/>
        <w:spacing w:before="240" w:after="0"/>
        <w:jc w:val="left"/>
        <w:rPr>
          <w:rFonts w:ascii="Times New Roman" w:hAnsi="Times New Roman"/>
          <w:sz w:val="20"/>
        </w:rPr>
      </w:pPr>
      <w:r>
        <w:rPr>
          <w:rFonts w:ascii="Times New Roman" w:hAnsi="Times New Roman"/>
          <w:sz w:val="20"/>
        </w:rPr>
        <w:t>Reference is made to the Warrant to Purchase Shares, dated June 12, 2026, by and between RTW Newco10, Inc. (the “</w:t>
      </w:r>
      <w:r>
        <w:rPr>
          <w:rFonts w:ascii="Times New Roman" w:hAnsi="Times New Roman"/>
          <w:b/>
          <w:i/>
          <w:sz w:val="20"/>
        </w:rPr>
        <w:t>Company</w:t>
      </w:r>
      <w:r>
        <w:rPr>
          <w:rFonts w:ascii="Times New Roman" w:hAnsi="Times New Roman"/>
          <w:sz w:val="20"/>
        </w:rPr>
        <w:t>”) and the Holder, as amended and/or restated from time to time (the “</w:t>
      </w:r>
      <w:r>
        <w:rPr>
          <w:rFonts w:ascii="Times New Roman" w:hAnsi="Times New Roman"/>
          <w:b/>
          <w:i/>
          <w:sz w:val="20"/>
        </w:rPr>
        <w:t>Warrant</w:t>
      </w:r>
      <w:r>
        <w:rPr>
          <w:rFonts w:ascii="Times New Roman" w:hAnsi="Times New Roman"/>
          <w:sz w:val="20"/>
        </w:rPr>
        <w:t xml:space="preserve">”). Capitalized terms used, but not expressly defined in this Exercise Notice shall have the assigned meanings set forth in the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w:t>
            </w:r>
            <w:r>
              <w:rPr>
                <w:rFonts w:ascii="Times New Roman" w:hAnsi="Times New Roman"/>
                <w:sz w:val="20"/>
              </w:rPr>
              <w:t xml:space="preserve">. In accordance with the terms of the Warrant, the Holder elects to purchase: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Number of Shares: 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Class/Series:  Series A-1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Conditional Exercise</w:t>
            </w:r>
            <w:r>
              <w:rPr>
                <w:rFonts w:ascii="Times New Roman" w:hAnsi="Times New Roman"/>
                <w:sz w:val="20"/>
              </w:rPr>
              <w:t xml:space="preserve">. Is this a conditional exercise pursuant to </w:t>
            </w:r>
            <w:r>
              <w:rPr>
                <w:rFonts w:ascii="Times New Roman" w:hAnsi="Times New Roman"/>
                <w:sz w:val="20"/>
                <w:u w:val="single"/>
              </w:rPr>
              <w:t>Section 2(f)</w:t>
            </w:r>
            <w:r>
              <w:rPr>
                <w:rFonts w:ascii="Times New Roman" w:hAnsi="Times New Roman"/>
                <w:sz w:val="20"/>
              </w:rPr>
              <w:t xml:space="preserve"> of the Warrant: </w:t>
            </w:r>
          </w:p>
        </w:tc>
      </w:tr>
    </w:tbl>
    <w:p>
      <w:pPr>
        <w:pStyle w:val="TextBody"/>
        <w:bidi w:val="0"/>
        <w:spacing w:before="120" w:after="0"/>
        <w:jc w:val="left"/>
        <w:rPr/>
      </w:pPr>
      <w:r>
        <w:rPr/>
        <w:t>☐  </w:t>
      </w:r>
      <w:r>
        <w:rPr>
          <w:rFonts w:ascii="Times New Roman" w:hAnsi="Times New Roman"/>
          <w:sz w:val="20"/>
        </w:rPr>
        <w:t xml:space="preserve">Yes     ☐  No </w:t>
      </w:r>
    </w:p>
    <w:p>
      <w:pPr>
        <w:pStyle w:val="TextBody"/>
        <w:bidi w:val="0"/>
        <w:spacing w:before="120" w:after="0"/>
        <w:jc w:val="left"/>
        <w:rPr>
          <w:rFonts w:ascii="Times New Roman" w:hAnsi="Times New Roman"/>
          <w:sz w:val="20"/>
        </w:rPr>
      </w:pPr>
      <w:r>
        <w:rPr>
          <w:rFonts w:ascii="Times New Roman" w:hAnsi="Times New Roman"/>
          <w:sz w:val="20"/>
        </w:rPr>
        <w:t xml:space="preserve">If “Yes,” indicate the applicable condition: </w:t>
      </w:r>
    </w:p>
    <w:p>
      <w:pPr>
        <w:pStyle w:val="TextBody"/>
        <w:bidi w:val="0"/>
        <w:spacing w:before="0" w:after="0"/>
        <w:jc w:val="left"/>
        <w:rPr>
          <w:u w:val="single"/>
        </w:rPr>
      </w:pPr>
      <w:r>
        <w:rPr>
          <w:u w:val="single"/>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All representations and warranties of the Holder set forth in </w:t>
            </w:r>
            <w:r>
              <w:rPr>
                <w:rFonts w:ascii="Times New Roman" w:hAnsi="Times New Roman"/>
                <w:sz w:val="20"/>
                <w:u w:val="single"/>
              </w:rPr>
              <w:t>Section 6(b)</w:t>
            </w:r>
            <w:r>
              <w:rPr>
                <w:rFonts w:ascii="Times New Roman" w:hAnsi="Times New Roman"/>
                <w:sz w:val="20"/>
              </w:rPr>
              <w:t xml:space="preserve"> of the Warrant, with respect to the Shares, are true and correct, in all respects, as of the effective date of this Exercise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Holder has made this Exercise Notice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7"/>
        <w:gridCol w:w="126"/>
        <w:gridCol w:w="2159"/>
      </w:tblGrid>
      <w:tr>
        <w:trPr/>
        <w:tc>
          <w:tcPr>
            <w:tcW w:w="179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YOLTECH THERAPEUTICS CO., LTD</w:t>
            </w:r>
          </w:p>
        </w:tc>
      </w:tr>
      <w:tr>
        <w:trPr>
          <w:trHeight w:val="240" w:hRule="atLeast"/>
        </w:trPr>
        <w:tc>
          <w:tcPr>
            <w:tcW w:w="1797"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797"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2159" w:type="dxa"/>
            <w:tcBorders>
              <w:bottom w:val="single" w:sz="2" w:space="0" w:color="000000"/>
            </w:tcBorders>
            <w:tcMar>
              <w:bottom w:w="28" w:type="dxa"/>
            </w:tcMar>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Title:</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797"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Address:</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797"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Email:</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Notice of Exercise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ASSIGNMENT AGREEMENT </w:t>
      </w:r>
    </w:p>
    <w:p>
      <w:pPr>
        <w:pStyle w:val="TextBody"/>
        <w:bidi w:val="0"/>
        <w:spacing w:before="240" w:after="0"/>
        <w:jc w:val="left"/>
        <w:rPr>
          <w:rFonts w:ascii="Times New Roman" w:hAnsi="Times New Roman"/>
          <w:sz w:val="20"/>
        </w:rPr>
      </w:pPr>
      <w:r>
        <w:rPr>
          <w:rFonts w:ascii="Times New Roman" w:hAnsi="Times New Roman"/>
          <w:sz w:val="20"/>
        </w:rPr>
        <w:t xml:space="preserve">ASSIGNOR: </w:t>
      </w:r>
      <w:r>
        <w:rPr>
          <w:rFonts w:ascii="Times New Roman" w:hAnsi="Times New Roman"/>
          <w:sz w:val="20"/>
          <w:u w:val="single"/>
        </w:rPr>
        <w:t>              (</w:t>
      </w:r>
      <w:r>
        <w:rPr>
          <w:rFonts w:ascii="Times New Roman" w:hAnsi="Times New Roman"/>
          <w:sz w:val="20"/>
        </w:rPr>
        <w:t>“</w:t>
      </w:r>
      <w:r>
        <w:rPr>
          <w:rFonts w:ascii="Times New Roman" w:hAnsi="Times New Roman"/>
          <w:b/>
          <w:i/>
          <w:sz w:val="20"/>
        </w:rPr>
        <w:t>Assignor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ASSIGNEE: </w:t>
      </w:r>
      <w:r>
        <w:rPr>
          <w:rFonts w:ascii="Times New Roman" w:hAnsi="Times New Roman"/>
          <w:sz w:val="20"/>
          <w:u w:val="single"/>
        </w:rPr>
        <w:t>               </w:t>
      </w:r>
      <w:r>
        <w:rPr>
          <w:rFonts w:ascii="Times New Roman" w:hAnsi="Times New Roman"/>
          <w:sz w:val="20"/>
        </w:rPr>
        <w:t>(“</w:t>
      </w:r>
      <w:r>
        <w:rPr>
          <w:rFonts w:ascii="Times New Roman" w:hAnsi="Times New Roman"/>
          <w:b/>
          <w:i/>
          <w:sz w:val="20"/>
        </w:rPr>
        <w:t>Assignee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SHARES: _________ shares of Series A-1 Preferred Stock (the “</w:t>
      </w:r>
      <w:r>
        <w:rPr>
          <w:rFonts w:ascii="Times New Roman" w:hAnsi="Times New Roman"/>
          <w:b/>
          <w:i/>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EFFECTIVE DATE: ________ __, 20__ </w:t>
      </w:r>
    </w:p>
    <w:p>
      <w:pPr>
        <w:pStyle w:val="TextBody"/>
        <w:bidi w:val="0"/>
        <w:spacing w:before="240" w:after="0"/>
        <w:jc w:val="left"/>
        <w:rPr>
          <w:rFonts w:ascii="Times New Roman" w:hAnsi="Times New Roman"/>
          <w:sz w:val="20"/>
        </w:rPr>
      </w:pPr>
      <w:r>
        <w:rPr>
          <w:rFonts w:ascii="Times New Roman" w:hAnsi="Times New Roman"/>
          <w:sz w:val="20"/>
        </w:rPr>
        <w:t>Reference is made to the Warrant to Purchase Shares, dated June 12, 2026, by and between RTW Newco10, Inc. (the “</w:t>
      </w:r>
      <w:r>
        <w:rPr>
          <w:rFonts w:ascii="Times New Roman" w:hAnsi="Times New Roman"/>
          <w:b/>
          <w:i/>
          <w:sz w:val="20"/>
        </w:rPr>
        <w:t>Company</w:t>
      </w:r>
      <w:r>
        <w:rPr>
          <w:rFonts w:ascii="Times New Roman" w:hAnsi="Times New Roman"/>
          <w:sz w:val="20"/>
        </w:rPr>
        <w:t>”) and the Holder, as amended and/or restated from time to time (the “</w:t>
      </w:r>
      <w:r>
        <w:rPr>
          <w:rFonts w:ascii="Times New Roman" w:hAnsi="Times New Roman"/>
          <w:b/>
          <w:i/>
          <w:sz w:val="20"/>
        </w:rPr>
        <w:t>Warrant</w:t>
      </w:r>
      <w:r>
        <w:rPr>
          <w:rFonts w:ascii="Times New Roman" w:hAnsi="Times New Roman"/>
          <w:sz w:val="20"/>
        </w:rPr>
        <w:t xml:space="preserve">”). Capitalized terms used, but not expressly defined in this Assignment Agreement shall have the assigned meanings set forth in the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Registered Holder</w:t>
            </w:r>
            <w:r>
              <w:rPr>
                <w:rFonts w:ascii="Times New Roman" w:hAnsi="Times New Roman"/>
                <w:sz w:val="20"/>
              </w:rPr>
              <w:t xml:space="preserve">. The Assignor represents and warrants that it is the registered holder of the Warrant as of immediately prior to the effective date of this Assignment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Assignment</w:t>
            </w:r>
            <w:r>
              <w:rPr>
                <w:rFonts w:ascii="Times New Roman" w:hAnsi="Times New Roman"/>
                <w:sz w:val="20"/>
              </w:rPr>
              <w:t xml:space="preserve">. The Assignor assigns and transfers to the Assignee all of the rights of Assignor under the Warrant, with respect to the number of Shares set forth above and does irrevocably constitute and appoint the Company’s Secretary as attorney to make such transfer on the Company’s books and records, maintained for the purpose, with full power of substitution in the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Obligations of Assignee</w:t>
            </w:r>
            <w:r>
              <w:rPr>
                <w:rFonts w:ascii="Times New Roman" w:hAnsi="Times New Roman"/>
                <w:sz w:val="20"/>
              </w:rPr>
              <w:t xml:space="preserve">. Assignee agrees to take and hold the Securities subject to, and to be bound by, the terms and conditions set forth in the Warrant to the same extent as if Assignee were the original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Assignee represents and warrants to the Company that all representations and warranties set forth in </w:t>
            </w:r>
            <w:r>
              <w:rPr>
                <w:rFonts w:ascii="Times New Roman" w:hAnsi="Times New Roman"/>
                <w:sz w:val="20"/>
                <w:u w:val="single"/>
              </w:rPr>
              <w:t>Section 6(b)</w:t>
            </w:r>
            <w:r>
              <w:rPr>
                <w:rFonts w:ascii="Times New Roman" w:hAnsi="Times New Roman"/>
                <w:sz w:val="20"/>
              </w:rPr>
              <w:t xml:space="preserve"> of the Warrant, substituting Assignee for each instance of “Holder” therein, are true and correct, in all respects, as of the effective date of this Assignment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Compliance</w:t>
            </w:r>
            <w:r>
              <w:rPr>
                <w:rFonts w:ascii="Times New Roman" w:hAnsi="Times New Roman"/>
                <w:sz w:val="20"/>
              </w:rPr>
              <w:t xml:space="preserve">. Assignor and Assignee each represent and warrant to the Company that the transfer and assignment to Assignee is in compliance with all applicable laws.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Assignor and Assignee have made this Assignment Agreement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55"/>
        <w:gridCol w:w="84"/>
        <w:gridCol w:w="2743"/>
      </w:tblGrid>
      <w:tr>
        <w:trPr/>
        <w:tc>
          <w:tcPr>
            <w:tcW w:w="12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ASSIGNOR: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[NAME]</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743"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Address:</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Email:</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ASSIGNEE: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[NAME]</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743"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Address:</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Email:</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i/>
              </w:rPr>
            </w:pPr>
            <w:r>
              <w:rPr>
                <w:b/>
                <w:i/>
              </w:rPr>
              <w:t>Agreed and Accepted on the date set forth below:</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NEWCO10, INC.</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743"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Date: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Assignment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p>
    <w:p>
      <w:pPr>
        <w:pStyle w:val="TextBody"/>
        <w:bidi w:val="0"/>
        <w:spacing w:before="0" w:after="0"/>
        <w:jc w:val="right"/>
        <w:rPr>
          <w:rFonts w:ascii="Times New Roman" w:hAnsi="Times New Roman"/>
          <w:b/>
          <w:sz w:val="20"/>
        </w:rPr>
      </w:pPr>
      <w:bookmarkStart w:id="263" w:name="filename5.htm"/>
      <w:bookmarkStart w:id="264" w:name="ksfilename5"/>
      <w:bookmarkEnd w:id="263"/>
      <w:bookmarkEnd w:id="264"/>
      <w:r>
        <w:rPr>
          <w:rFonts w:ascii="Times New Roman" w:hAnsi="Times New Roman"/>
          <w:b/>
          <w:sz w:val="20"/>
        </w:rPr>
        <w:t xml:space="preserve">Exhibit 4.4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3"/>
        <w:gridCol w:w="120"/>
        <w:gridCol w:w="5012"/>
      </w:tblGrid>
      <w:tr>
        <w:trPr/>
        <w:tc>
          <w:tcPr>
            <w:tcW w:w="50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2" w:type="dxa"/>
            <w:tcBorders/>
            <w:vAlign w:val="center"/>
          </w:tcPr>
          <w:p>
            <w:pPr>
              <w:pStyle w:val="TableContents"/>
              <w:bidi w:val="0"/>
              <w:spacing w:before="0" w:after="283"/>
              <w:jc w:val="left"/>
              <w:rPr>
                <w:sz w:val="4"/>
                <w:szCs w:val="4"/>
              </w:rPr>
            </w:pPr>
            <w:r>
              <w:rPr>
                <w:sz w:val="4"/>
                <w:szCs w:val="4"/>
              </w:rPr>
            </w:r>
          </w:p>
        </w:tc>
      </w:tr>
      <w:tr>
        <w:trPr/>
        <w:tc>
          <w:tcPr>
            <w:tcW w:w="507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Number of Shares: [●]</w:t>
            </w:r>
          </w:p>
          <w:p>
            <w:pPr>
              <w:pStyle w:val="TableContents"/>
              <w:bidi w:val="0"/>
              <w:spacing w:before="0" w:after="20"/>
              <w:jc w:val="right"/>
              <w:rPr>
                <w:rFonts w:ascii="Times New Roman" w:hAnsi="Times New Roman"/>
                <w:sz w:val="20"/>
              </w:rPr>
            </w:pPr>
            <w:r>
              <w:rPr>
                <w:rFonts w:ascii="Times New Roman" w:hAnsi="Times New Roman"/>
                <w:sz w:val="20"/>
              </w:rPr>
              <w:t>(subject to adjustment)</w:t>
            </w:r>
          </w:p>
        </w:tc>
      </w:tr>
      <w:tr>
        <w:trPr>
          <w:trHeight w:val="240" w:hRule="atLeast"/>
        </w:trPr>
        <w:tc>
          <w:tcPr>
            <w:tcW w:w="5073" w:type="dxa"/>
            <w:tcBorders/>
            <w:vAlign w:val="center"/>
          </w:tcPr>
          <w:p>
            <w:pPr>
              <w:pStyle w:val="TableContents"/>
              <w:bidi w:val="0"/>
              <w:spacing w:before="0" w:after="283"/>
              <w:jc w:val="left"/>
              <w:rPr>
                <w:sz w:val="4"/>
                <w:szCs w:val="4"/>
              </w:rPr>
            </w:pPr>
            <w:r>
              <w:rPr>
                <w:sz w:val="4"/>
                <w:szCs w:val="4"/>
              </w:rPr>
            </w:r>
          </w:p>
        </w:tc>
        <w:tc>
          <w:tcPr>
            <w:tcW w:w="5132" w:type="dxa"/>
            <w:gridSpan w:val="2"/>
            <w:tcBorders/>
            <w:vAlign w:val="center"/>
          </w:tcPr>
          <w:p>
            <w:pPr>
              <w:pStyle w:val="TableContents"/>
              <w:bidi w:val="0"/>
              <w:spacing w:before="0" w:after="283"/>
              <w:jc w:val="left"/>
              <w:rPr>
                <w:sz w:val="4"/>
                <w:szCs w:val="4"/>
              </w:rPr>
            </w:pPr>
            <w:r>
              <w:rPr>
                <w:sz w:val="4"/>
                <w:szCs w:val="4"/>
              </w:rPr>
            </w:r>
          </w:p>
        </w:tc>
      </w:tr>
      <w:tr>
        <w:trPr/>
        <w:tc>
          <w:tcPr>
            <w:tcW w:w="5073" w:type="dxa"/>
            <w:tcBorders/>
            <w:vAlign w:val="bottom"/>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283"/>
              <w:jc w:val="right"/>
              <w:rPr/>
            </w:pPr>
            <w:r>
              <w:rPr/>
              <w:t>Original Issue Date: [●], 20[]</w:t>
            </w:r>
          </w:p>
        </w:tc>
      </w:tr>
    </w:tbl>
    <w:p>
      <w:pPr>
        <w:pStyle w:val="TextBody"/>
        <w:bidi w:val="0"/>
        <w:spacing w:before="240" w:after="0"/>
        <w:jc w:val="left"/>
        <w:rPr>
          <w:rFonts w:ascii="Times New Roman" w:hAnsi="Times New Roman"/>
          <w:sz w:val="20"/>
        </w:rPr>
      </w:pPr>
      <w:r>
        <w:rPr>
          <w:rFonts w:ascii="Times New Roman" w:hAnsi="Times New Roman"/>
          <w:sz w:val="20"/>
        </w:rPr>
        <w:t>Serapha Bio,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as adjusted from time to time as provided in </w:t>
      </w:r>
      <w:r>
        <w:rPr>
          <w:rFonts w:ascii="Times New Roman" w:hAnsi="Times New Roman"/>
          <w:sz w:val="20"/>
          <w:u w:val="single"/>
        </w:rPr>
        <w:t>Section 9</w:t>
      </w:r>
      <w:r>
        <w:rPr>
          <w:rFonts w:ascii="Times New Roman" w:hAnsi="Times New Roman"/>
          <w:sz w:val="20"/>
        </w:rPr>
        <w:t>, at an exercise price per share equal to $0.00001 (the “</w:t>
      </w:r>
      <w:r>
        <w:rPr>
          <w:rFonts w:ascii="Times New Roman" w:hAnsi="Times New Roman"/>
          <w:b/>
          <w:sz w:val="20"/>
        </w:rPr>
        <w:t>Exercise Price</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(as defined below).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Stock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(as defined below),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of the Exercise Notice and the applicable Exercise Price as provided above shall constitute the Holder’s certification to the Company that its representations contained in Sections 4.1 and 4.3 through 4.14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(i) the Holder’s or its designee’s balance account with The Depository Trust Company (“</w:t>
      </w:r>
      <w:r>
        <w:rPr>
          <w:rFonts w:ascii="Times New Roman" w:hAnsi="Times New Roman"/>
          <w:b/>
          <w:sz w:val="20"/>
        </w:rPr>
        <w:t>DTC</w:t>
      </w:r>
      <w:r>
        <w:rPr>
          <w:rFonts w:ascii="Times New Roman" w:hAnsi="Times New Roman"/>
          <w:sz w:val="20"/>
        </w:rPr>
        <w:t xml:space="preserve">”) through its Deposit Withdrawal At Custodian system or (ii) in book-entry form via a direct registration system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is subject to adjustment from time to time as set forth in this </w:t>
      </w:r>
      <w:r>
        <w:rPr>
          <w:rFonts w:ascii="Times New Roman" w:hAnsi="Times New Roman"/>
          <w:sz w:val="20"/>
          <w:u w:val="single"/>
        </w:rPr>
        <w:t>Section 9</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to the nearest share.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xml:space="preserve">,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9(d)</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14"/>
        <w:gridCol w:w="168"/>
        <w:gridCol w:w="3000"/>
      </w:tblGrid>
      <w:tr>
        <w:trPr/>
        <w:tc>
          <w:tcPr>
            <w:tcW w:w="91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SERAPHA BIO, INC</w:t>
            </w:r>
            <w:r>
              <w:rPr/>
              <w:t>.</w:t>
            </w:r>
          </w:p>
        </w:tc>
      </w:tr>
      <w:tr>
        <w:trPr>
          <w:trHeight w:val="240" w:hRule="atLeast"/>
        </w:trPr>
        <w:tc>
          <w:tcPr>
            <w:tcW w:w="914" w:type="dxa"/>
            <w:tcBorders/>
            <w:vAlign w:val="center"/>
          </w:tcPr>
          <w:p>
            <w:pPr>
              <w:pStyle w:val="TableContents"/>
              <w:bidi w:val="0"/>
              <w:spacing w:before="0" w:after="283"/>
              <w:jc w:val="left"/>
              <w:rPr>
                <w:sz w:val="4"/>
                <w:szCs w:val="4"/>
              </w:rPr>
            </w:pPr>
            <w:r>
              <w:rPr>
                <w:sz w:val="4"/>
                <w:szCs w:val="4"/>
              </w:rPr>
            </w:r>
          </w:p>
        </w:tc>
        <w:tc>
          <w:tcPr>
            <w:tcW w:w="3168" w:type="dxa"/>
            <w:gridSpan w:val="2"/>
            <w:tcBorders/>
            <w:vAlign w:val="center"/>
          </w:tcPr>
          <w:p>
            <w:pPr>
              <w:pStyle w:val="TableContents"/>
              <w:bidi w:val="0"/>
              <w:spacing w:before="0" w:after="283"/>
              <w:jc w:val="left"/>
              <w:rPr>
                <w:sz w:val="4"/>
                <w:szCs w:val="4"/>
              </w:rPr>
            </w:pPr>
            <w:r>
              <w:rPr>
                <w:sz w:val="4"/>
                <w:szCs w:val="4"/>
              </w:rPr>
            </w:r>
          </w:p>
        </w:tc>
      </w:tr>
      <w:tr>
        <w:trPr/>
        <w:tc>
          <w:tcPr>
            <w:tcW w:w="914" w:type="dxa"/>
            <w:tcBorders/>
          </w:tcPr>
          <w:p>
            <w:pPr>
              <w:pStyle w:val="TableContents"/>
              <w:bidi w:val="0"/>
              <w:spacing w:before="0" w:after="283"/>
              <w:jc w:val="left"/>
              <w:rPr/>
            </w:pPr>
            <w:r>
              <w:rPr/>
              <w:t>By:</w:t>
            </w:r>
          </w:p>
        </w:tc>
        <w:tc>
          <w:tcPr>
            <w:tcW w:w="168" w:type="dxa"/>
            <w:tcBorders/>
            <w:vAlign w:val="bottom"/>
          </w:tcPr>
          <w:p>
            <w:pPr>
              <w:pStyle w:val="TableContents"/>
              <w:bidi w:val="0"/>
              <w:spacing w:before="0" w:after="283"/>
              <w:jc w:val="left"/>
              <w:rPr/>
            </w:pPr>
            <w:r>
              <w:rPr/>
              <w:t> </w:t>
            </w:r>
          </w:p>
        </w:tc>
        <w:tc>
          <w:tcPr>
            <w:tcW w:w="300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is the Holder of Warrant No. __ (the “Warrant”) issued by Serapha Bio, Inc.,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
        <w:gridCol w:w="128"/>
        <w:gridCol w:w="9626"/>
      </w:tblGrid>
      <w:tr>
        <w:trPr/>
        <w:tc>
          <w:tcPr>
            <w:tcW w:w="45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626" w:type="dxa"/>
            <w:tcBorders/>
            <w:vAlign w:val="center"/>
          </w:tcPr>
          <w:p>
            <w:pPr>
              <w:pStyle w:val="TableContents"/>
              <w:bidi w:val="0"/>
              <w:spacing w:before="0" w:after="283"/>
              <w:jc w:val="left"/>
              <w:rPr>
                <w:sz w:val="4"/>
                <w:szCs w:val="4"/>
              </w:rPr>
            </w:pPr>
            <w:r>
              <w:rPr>
                <w:sz w:val="4"/>
                <w:szCs w:val="4"/>
              </w:rPr>
            </w:r>
          </w:p>
        </w:tc>
      </w:tr>
      <w:tr>
        <w:trPr/>
        <w:tc>
          <w:tcPr>
            <w:tcW w:w="451"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9626" w:type="dxa"/>
            <w:tcBorders/>
            <w:vAlign w:val="bottom"/>
          </w:tcPr>
          <w:p>
            <w:pPr>
              <w:pStyle w:val="TableContents"/>
              <w:bidi w:val="0"/>
              <w:spacing w:before="0" w:after="283"/>
              <w:jc w:val="left"/>
              <w:rPr/>
            </w:pPr>
            <w:r>
              <w:rPr/>
              <w:t>Cash Exercise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
        <w:gridCol w:w="123"/>
        <w:gridCol w:w="9639"/>
      </w:tblGrid>
      <w:tr>
        <w:trPr/>
        <w:tc>
          <w:tcPr>
            <w:tcW w:w="4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sz w:val="4"/>
                <w:szCs w:val="4"/>
              </w:rPr>
            </w:pPr>
            <w:r>
              <w:rPr>
                <w:sz w:val="4"/>
                <w:szCs w:val="4"/>
              </w:rPr>
            </w:r>
          </w:p>
        </w:tc>
      </w:tr>
      <w:tr>
        <w:trPr/>
        <w:tc>
          <w:tcPr>
            <w:tcW w:w="443" w:type="dxa"/>
            <w:tcBorders/>
            <w:vAlign w:val="bottom"/>
          </w:tcPr>
          <w:p>
            <w:pPr>
              <w:pStyle w:val="TableContents"/>
              <w:bidi w:val="0"/>
              <w:spacing w:before="0" w:after="0"/>
              <w:jc w:val="right"/>
              <w:rPr/>
            </w:pPr>
            <w:r>
              <w:rPr/>
              <w:t>☐</w:t>
            </w:r>
          </w:p>
        </w:tc>
        <w:tc>
          <w:tcPr>
            <w:tcW w:w="123" w:type="dxa"/>
            <w:tcBorders/>
            <w:vAlign w:val="bottom"/>
          </w:tcPr>
          <w:p>
            <w:pPr>
              <w:pStyle w:val="TableContents"/>
              <w:bidi w:val="0"/>
              <w:spacing w:before="0" w:after="283"/>
              <w:jc w:val="left"/>
              <w:rPr/>
            </w:pPr>
            <w:r>
              <w:rPr/>
              <w:t>  </w:t>
            </w:r>
          </w:p>
        </w:tc>
        <w:tc>
          <w:tcPr>
            <w:tcW w:w="9639" w:type="dxa"/>
            <w:tcBorders/>
            <w:vAlign w:val="bottom"/>
          </w:tcPr>
          <w:p>
            <w:pPr>
              <w:pStyle w:val="TableContents"/>
              <w:bidi w:val="0"/>
              <w:spacing w:before="0" w:after="283"/>
              <w:jc w:val="left"/>
              <w:rPr/>
            </w:pPr>
            <w:r>
              <w:rPr/>
              <w:t>“</w:t>
            </w:r>
            <w:r>
              <w:rPr/>
              <w:t xml:space="preserve">Cashless Exercise” under </w:t>
            </w:r>
            <w:r>
              <w:rPr>
                <w:u w:val="single"/>
              </w:rPr>
              <w:t>Section 10</w:t>
            </w:r>
            <w:r>
              <w:rPr/>
              <w:t xml:space="preserve"> of the Warrant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to the following DWAC Account Number: ________________________</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in book-entry form via a direct registration system</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 xml:space="preserve">by physical delivery of a certificate to: </w:t>
            </w:r>
            <w:r>
              <w:rPr>
                <w:u w:val="single"/>
              </w:rPr>
              <w:t xml:space="preserve">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right"/>
              <w:rPr>
                <w:u w:val="single"/>
              </w:rPr>
            </w:pPr>
            <w:r>
              <w:rPr>
                <w:u w:val="single"/>
              </w:rPr>
              <w:t xml:space="preserve">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in restricted book-entry form in the Company’s share register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8778"/>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778"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265" w:name="filename6.htm"/>
      <w:bookmarkStart w:id="266" w:name="ksfilename6"/>
      <w:bookmarkEnd w:id="265"/>
      <w:bookmarkEnd w:id="266"/>
      <w:r>
        <w:rPr>
          <w:rFonts w:ascii="Times New Roman" w:hAnsi="Times New Roman"/>
          <w:b/>
          <w:sz w:val="20"/>
        </w:rPr>
        <w:t xml:space="preserve">Exhibit 4.6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120" w:after="0"/>
        <w:jc w:val="center"/>
        <w:rPr>
          <w:rFonts w:ascii="Times New Roman" w:hAnsi="Times New Roman"/>
          <w:b/>
          <w:sz w:val="20"/>
        </w:rPr>
      </w:pPr>
      <w:r>
        <w:rPr>
          <w:rFonts w:ascii="Times New Roman" w:hAnsi="Times New Roman"/>
          <w:b/>
          <w:sz w:val="20"/>
        </w:rPr>
        <w:t xml:space="preserve">INVESTORS’ RIGHTS AGREEMENT </w:t>
      </w:r>
    </w:p>
    <w:p>
      <w:pPr>
        <w:pStyle w:val="TextBody"/>
        <w:bidi w:val="0"/>
        <w:spacing w:before="240" w:after="0"/>
        <w:jc w:val="left"/>
        <w:rPr>
          <w:rFonts w:ascii="Times New Roman" w:hAnsi="Times New Roman"/>
          <w:sz w:val="20"/>
        </w:rPr>
      </w:pPr>
      <w:r>
        <w:rPr>
          <w:rFonts w:ascii="Times New Roman" w:hAnsi="Times New Roman"/>
          <w:sz w:val="20"/>
        </w:rPr>
        <w:t>THIS INVESTORS’ RIGHTS AGREEMENT (this “</w:t>
      </w:r>
      <w:r>
        <w:rPr>
          <w:rFonts w:ascii="Times New Roman" w:hAnsi="Times New Roman"/>
          <w:b/>
          <w:sz w:val="20"/>
        </w:rPr>
        <w:t>Agreement</w:t>
      </w:r>
      <w:r>
        <w:rPr>
          <w:rFonts w:ascii="Times New Roman" w:hAnsi="Times New Roman"/>
          <w:sz w:val="20"/>
        </w:rPr>
        <w:t>”), is made as of June 22, 2026, by and among Serapha Bio, Inc., a Delaware corporation (the “</w:t>
      </w:r>
      <w:r>
        <w:rPr>
          <w:rFonts w:ascii="Times New Roman" w:hAnsi="Times New Roman"/>
          <w:b/>
          <w:sz w:val="20"/>
        </w:rPr>
        <w:t>Company</w:t>
      </w:r>
      <w:r>
        <w:rPr>
          <w:rFonts w:ascii="Times New Roman" w:hAnsi="Times New Roman"/>
          <w:sz w:val="20"/>
        </w:rPr>
        <w:t xml:space="preserve">”), the Investors (as defined below) and the Key Holders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parties to either that certain (i) Series A Preferred Stock Purchase Agreement, dated as of June 22, 2026 (the “</w:t>
      </w:r>
      <w:r>
        <w:rPr>
          <w:rFonts w:ascii="Times New Roman" w:hAnsi="Times New Roman"/>
          <w:b/>
          <w:sz w:val="20"/>
        </w:rPr>
        <w:t>Series A Purchase Agreement</w:t>
      </w:r>
      <w:r>
        <w:rPr>
          <w:rFonts w:ascii="Times New Roman" w:hAnsi="Times New Roman"/>
          <w:sz w:val="20"/>
        </w:rPr>
        <w:t>”), or (ii) Warrant Subscription Agreement, dated as of June 12, 2026 (the “</w:t>
      </w:r>
      <w:r>
        <w:rPr>
          <w:rFonts w:ascii="Times New Roman" w:hAnsi="Times New Roman"/>
          <w:b/>
          <w:sz w:val="20"/>
        </w:rPr>
        <w:t>Warrant Subscription Agreement</w:t>
      </w:r>
      <w:r>
        <w:rPr>
          <w:rFonts w:ascii="Times New Roman" w:hAnsi="Times New Roman"/>
          <w:sz w:val="20"/>
        </w:rPr>
        <w:t>” and together with the Series A Purchase Agreement, the “</w:t>
      </w:r>
      <w:r>
        <w:rPr>
          <w:rFonts w:ascii="Times New Roman" w:hAnsi="Times New Roman"/>
          <w:b/>
          <w:sz w:val="20"/>
        </w:rPr>
        <w:t>Purchase Agreements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order to induce the Company and the Investors to enter into the Purchase Agreement and to induce the Investors to invest funds in the Company pursuant to the Purchase Agreements,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b/>
          <w:sz w:val="20"/>
        </w:rPr>
        <w:t>Affiliate</w:t>
      </w:r>
      <w:r>
        <w:rPr>
          <w:rFonts w:ascii="Times New Roman" w:hAnsi="Times New Roman"/>
          <w:sz w:val="20"/>
        </w:rPr>
        <w:t xml:space="preserve">” means, with respect to any specified Person, any other Person who, directly or indirectly, controls, is controlled by, or is under common control with such Person, including, without limitation, any general partner, limited partner, managing member, manager, member, employee, officer, director or trustee of such Person, or any trust for the benefit of any of the foregoing or any Affiliate of the foregoing, or any venture capital fund or other investment fund now or hereafter existing that is controlled by one or more general partners, managing members or investment advisers of, or shares the same management company or investment adviser with, such Person.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rPr>
        <w:t>Certificate of Incorporation</w:t>
      </w:r>
      <w:r>
        <w:rPr>
          <w:rFonts w:ascii="Times New Roman" w:hAnsi="Times New Roman"/>
          <w:sz w:val="20"/>
        </w:rPr>
        <w:t xml:space="preserve">” means the Company’s Amended and Restated Certificate of Incorporation, as amended and/or restated from time to time.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sz w:val="20"/>
        </w:rPr>
        <w:t>Common Stock</w:t>
      </w:r>
      <w:r>
        <w:rPr>
          <w:rFonts w:ascii="Times New Roman" w:hAnsi="Times New Roman"/>
          <w:sz w:val="20"/>
        </w:rPr>
        <w:t xml:space="preserve">” means the Company’s shares of Common Stock, par value $0.00001 per share.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b/>
          <w:sz w:val="20"/>
        </w:rPr>
        <w:t>Competitor</w:t>
      </w:r>
      <w:r>
        <w:rPr>
          <w:rFonts w:ascii="Times New Roman" w:hAnsi="Times New Roman"/>
          <w:sz w:val="20"/>
        </w:rPr>
        <w:t xml:space="preserve">” means a Person engaged, directly or indirectly (including through any partnership, limited liability company, corporation, joint venture or similar arrangement (whether now existing or formed hereafter)), in the business of researching, developing, or commercializing any gene therapy that directly modifies, replaces, or restores expression or function for the SERPINA1 gene in patients, but shall not include any financial investment firm or collective investment vehicle that, together with its Affiliates, holds less than 20% of the outstanding equity of any Competitor and does not, nor do any of its Affiliates, have a right to designate any members of the board of directors of any Competitor. Additionally, in no event shall RTW, RA Capital, Vivo, YolTech, Decheng, Qiming or any of their respective Affiliates be a Competitor 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1.6 “</w:t>
      </w:r>
      <w:r>
        <w:rPr>
          <w:rFonts w:ascii="Times New Roman" w:hAnsi="Times New Roman"/>
          <w:b/>
          <w:sz w:val="20"/>
        </w:rPr>
        <w:t>Damages</w:t>
      </w:r>
      <w:r>
        <w:rPr>
          <w:rFonts w:ascii="Times New Roman" w:hAnsi="Times New Roman"/>
          <w:sz w:val="20"/>
        </w:rPr>
        <w:t xml:space="preserve">”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b/>
          <w:sz w:val="20"/>
        </w:rPr>
        <w:t>Deemed Liquidation Event</w:t>
      </w:r>
      <w:r>
        <w:rPr>
          <w:rFonts w:ascii="Times New Roman" w:hAnsi="Times New Roman"/>
          <w:sz w:val="20"/>
        </w:rPr>
        <w:t xml:space="preserve">” shall have the meaning ascribed to it in the Company’s Amended and Restated Certificate of Incorporation, as in effect on the date of this Agreement and regardless of the date on which such event occurs.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b/>
          <w:sz w:val="20"/>
        </w:rPr>
        <w:t>Derivative Securities</w:t>
      </w:r>
      <w:r>
        <w:rPr>
          <w:rFonts w:ascii="Times New Roman" w:hAnsi="Times New Roman"/>
          <w:sz w:val="20"/>
        </w:rPr>
        <w:t xml:space="preserve">” means any securities or rights convertible into, or exercisable or exchangeable for (in each case, directly or indirectly), Common Stock, including options and warrants.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b/>
          <w:sz w:val="20"/>
        </w:rPr>
        <w:t>Direct Listing</w:t>
      </w:r>
      <w:r>
        <w:rPr>
          <w:rFonts w:ascii="Times New Roman" w:hAnsi="Times New Roman"/>
          <w:sz w:val="20"/>
        </w:rPr>
        <w:t xml:space="preserve">” means the initial listing of the Common Stock (or other equity securities of the Company) on the Nasdaq Stock Market, the New York Stock Exchange or another exchange or marketplace approved by the Board of Directors by means of an effective registration statement filed by the Company with the SEC, without a related underwritten offering of such Common Stock (or other equity securities).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b/>
          <w:sz w:val="20"/>
        </w:rPr>
        <w:t>Excluded Registration</w:t>
      </w:r>
      <w:r>
        <w:rPr>
          <w:rFonts w:ascii="Times New Roman" w:hAnsi="Times New Roman"/>
          <w:sz w:val="20"/>
        </w:rPr>
        <w:t xml:space="preserve">”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b/>
          <w:sz w:val="20"/>
        </w:rPr>
        <w:t>FOIA Party</w:t>
      </w:r>
      <w:r>
        <w:rPr>
          <w:rFonts w:ascii="Times New Roman" w:hAnsi="Times New Roman"/>
          <w:sz w:val="20"/>
        </w:rPr>
        <w:t>” means a Person that, in the determination of the Board of Directors, may be subject to, and thereby required to disclose non-public information furnished by or relating to the Company under, the Freedom of Information Act, 5 U.S.C. 552 (“</w:t>
      </w:r>
      <w:r>
        <w:rPr>
          <w:rFonts w:ascii="Times New Roman" w:hAnsi="Times New Roman"/>
          <w:b/>
          <w:sz w:val="20"/>
        </w:rPr>
        <w:t>FOIA</w:t>
      </w:r>
      <w:r>
        <w:rPr>
          <w:rFonts w:ascii="Times New Roman" w:hAnsi="Times New Roman"/>
          <w:sz w:val="20"/>
        </w:rPr>
        <w:t xml:space="preserve">”), any state public records access law, any state or other jurisdiction’s laws similar in intent or effect to FOIA, or any other similar statutory or regulatory requirement.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b/>
          <w:sz w:val="20"/>
        </w:rPr>
        <w:t>Form</w:t>
      </w:r>
      <w:r>
        <w:rPr>
          <w:rFonts w:ascii="Times New Roman" w:hAnsi="Times New Roman"/>
          <w:sz w:val="20"/>
        </w:rPr>
        <w:t> </w:t>
      </w:r>
      <w:r>
        <w:rPr>
          <w:rFonts w:ascii="Times New Roman" w:hAnsi="Times New Roman"/>
          <w:b/>
          <w:sz w:val="20"/>
        </w:rPr>
        <w:t>S-1</w:t>
      </w:r>
      <w:r>
        <w:rPr>
          <w:rFonts w:ascii="Times New Roman" w:hAnsi="Times New Roman"/>
          <w:sz w:val="20"/>
        </w:rPr>
        <w:t xml:space="preserve">” means such form under the Securities Act as in effect on the date hereof or any successor registration form under the Securities Act subsequently adopted by the SEC.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b/>
          <w:sz w:val="20"/>
        </w:rPr>
        <w:t>Form</w:t>
      </w:r>
      <w:r>
        <w:rPr>
          <w:rFonts w:ascii="Times New Roman" w:hAnsi="Times New Roman"/>
          <w:sz w:val="20"/>
        </w:rPr>
        <w:t> </w:t>
      </w:r>
      <w:r>
        <w:rPr>
          <w:rFonts w:ascii="Times New Roman" w:hAnsi="Times New Roman"/>
          <w:b/>
          <w:sz w:val="20"/>
        </w:rPr>
        <w:t>S-3</w:t>
      </w:r>
      <w:r>
        <w:rPr>
          <w:rFonts w:ascii="Times New Roman" w:hAnsi="Times New Roman"/>
          <w:sz w:val="20"/>
        </w:rPr>
        <w:t xml:space="preserve">”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1.15 “</w:t>
      </w:r>
      <w:r>
        <w:rPr>
          <w:rFonts w:ascii="Times New Roman" w:hAnsi="Times New Roman"/>
          <w:b/>
          <w:sz w:val="20"/>
        </w:rPr>
        <w:t>GAAP</w:t>
      </w:r>
      <w:r>
        <w:rPr>
          <w:rFonts w:ascii="Times New Roman" w:hAnsi="Times New Roman"/>
          <w:sz w:val="20"/>
        </w:rPr>
        <w:t xml:space="preserve">” means generally accepted accounting principles in the United States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b/>
          <w:sz w:val="20"/>
        </w:rPr>
        <w:t>Going Public Transaction</w:t>
      </w:r>
      <w:r>
        <w:rPr>
          <w:rFonts w:ascii="Times New Roman" w:hAnsi="Times New Roman"/>
          <w:sz w:val="20"/>
        </w:rPr>
        <w:t xml:space="preserve">” means an IPO, Direct Listing or Reverse Merger Transaction.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b/>
          <w:sz w:val="20"/>
        </w:rPr>
        <w:t>Holder</w:t>
      </w:r>
      <w:r>
        <w:rPr>
          <w:rFonts w:ascii="Times New Roman" w:hAnsi="Times New Roman"/>
          <w:sz w:val="20"/>
        </w:rPr>
        <w:t xml:space="preserve">” means any holder of Registrable Securities who is a party to this Agreement.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b/>
          <w:sz w:val="20"/>
        </w:rPr>
        <w:t>Immediate Family Member</w:t>
      </w:r>
      <w:r>
        <w:rPr>
          <w:rFonts w:ascii="Times New Roman" w:hAnsi="Times New Roman"/>
          <w:sz w:val="20"/>
        </w:rPr>
        <w:t xml:space="preserve">”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b/>
          <w:sz w:val="20"/>
        </w:rPr>
        <w:t>Initiating Holders</w:t>
      </w:r>
      <w:r>
        <w:rPr>
          <w:rFonts w:ascii="Times New Roman" w:hAnsi="Times New Roman"/>
          <w:sz w:val="20"/>
        </w:rPr>
        <w:t xml:space="preserve">” means, collectively, Holders who properly initiate a registration request under this Agreement.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b/>
          <w:sz w:val="20"/>
        </w:rPr>
        <w:t>Investors</w:t>
      </w:r>
      <w:r>
        <w:rPr>
          <w:rFonts w:ascii="Times New Roman" w:hAnsi="Times New Roman"/>
          <w:sz w:val="20"/>
        </w:rPr>
        <w:t xml:space="preserve">” means the persons named on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each person to whom the rights of an Investor are assigned pursuant to Section 6.1, and each person who hereafter becomes a party to this Agreement pursuant to Section 6.9.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b/>
          <w:sz w:val="20"/>
        </w:rPr>
        <w:t>IPO</w:t>
      </w:r>
      <w:r>
        <w:rPr>
          <w:rFonts w:ascii="Times New Roman" w:hAnsi="Times New Roman"/>
          <w:sz w:val="20"/>
        </w:rPr>
        <w:t xml:space="preserve">” means the Company’s first underwritten public offering of its Common Stock under the Securities Act.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b/>
          <w:sz w:val="20"/>
        </w:rPr>
        <w:t>Key Holders</w:t>
      </w:r>
      <w:r>
        <w:rPr>
          <w:rFonts w:ascii="Times New Roman" w:hAnsi="Times New Roman"/>
          <w:sz w:val="20"/>
        </w:rPr>
        <w:t xml:space="preserve">” means the persons named on Schedule B hereto and each person to whom the rights of a Key Holder are assigned pursuant to Section 6.1.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b/>
          <w:sz w:val="20"/>
        </w:rPr>
        <w:t>Key Holder Registrable Securities</w:t>
      </w:r>
      <w:r>
        <w:rPr>
          <w:rFonts w:ascii="Times New Roman" w:hAnsi="Times New Roman"/>
          <w:sz w:val="20"/>
        </w:rPr>
        <w:t xml:space="preserve">” means (i) the shares of Common Stock held by the Key Holders as of the date of this Agreement, and (ii) any Common Stock issued as (or issuable upon the conversion or exercise of any warrant, right, or other security that is issued as) a dividend or other distribution with respect to, or in exchange for or in replacement of such shares. </w:t>
      </w:r>
    </w:p>
    <w:p>
      <w:pPr>
        <w:pStyle w:val="TextBody"/>
        <w:bidi w:val="0"/>
        <w:spacing w:before="240" w:after="0"/>
        <w:jc w:val="left"/>
        <w:rPr>
          <w:rFonts w:ascii="Times New Roman" w:hAnsi="Times New Roman"/>
          <w:sz w:val="20"/>
        </w:rPr>
      </w:pPr>
      <w:r>
        <w:rPr>
          <w:rFonts w:ascii="Times New Roman" w:hAnsi="Times New Roman"/>
          <w:sz w:val="20"/>
        </w:rPr>
        <w:t>1.24 “</w:t>
      </w:r>
      <w:r>
        <w:rPr>
          <w:rFonts w:ascii="Times New Roman" w:hAnsi="Times New Roman"/>
          <w:b/>
          <w:sz w:val="20"/>
        </w:rPr>
        <w:t>Major Investor</w:t>
      </w:r>
      <w:r>
        <w:rPr>
          <w:rFonts w:ascii="Times New Roman" w:hAnsi="Times New Roman"/>
          <w:sz w:val="20"/>
        </w:rPr>
        <w:t xml:space="preserve">” means any Investor that, individually or together with such Investor’s Affiliates, holds at least 3,000,000 shares of Registrable Securities (as adjusted for any stock split, stock dividend, combination, or other recapitalization or reclassification effected after the date hereof). </w:t>
      </w:r>
    </w:p>
    <w:p>
      <w:pPr>
        <w:pStyle w:val="TextBody"/>
        <w:bidi w:val="0"/>
        <w:spacing w:before="240" w:after="0"/>
        <w:jc w:val="left"/>
        <w:rPr>
          <w:rFonts w:ascii="Times New Roman" w:hAnsi="Times New Roman"/>
          <w:sz w:val="20"/>
        </w:rPr>
      </w:pPr>
      <w:r>
        <w:rPr>
          <w:rFonts w:ascii="Times New Roman" w:hAnsi="Times New Roman"/>
          <w:sz w:val="20"/>
        </w:rPr>
        <w:t>1.25 “</w:t>
      </w:r>
      <w:r>
        <w:rPr>
          <w:rFonts w:ascii="Times New Roman" w:hAnsi="Times New Roman"/>
          <w:b/>
          <w:sz w:val="20"/>
        </w:rPr>
        <w:t>New Securities</w:t>
      </w:r>
      <w:r>
        <w:rPr>
          <w:rFonts w:ascii="Times New Roman" w:hAnsi="Times New Roman"/>
          <w:sz w:val="20"/>
        </w:rPr>
        <w:t xml:space="preserve">”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b/>
          <w:sz w:val="20"/>
        </w:rPr>
        <w:t>Person</w:t>
      </w:r>
      <w:r>
        <w:rPr>
          <w:rFonts w:ascii="Times New Roman" w:hAnsi="Times New Roman"/>
          <w:sz w:val="20"/>
        </w:rPr>
        <w:t xml:space="preserve">” means any individual, corporation, partnership, trust, limited liability company, association, or other entity. </w:t>
      </w:r>
    </w:p>
    <w:p>
      <w:pPr>
        <w:pStyle w:val="TextBody"/>
        <w:bidi w:val="0"/>
        <w:spacing w:before="240" w:after="0"/>
        <w:jc w:val="left"/>
        <w:rPr>
          <w:rFonts w:ascii="Times New Roman" w:hAnsi="Times New Roman"/>
          <w:sz w:val="20"/>
        </w:rPr>
      </w:pPr>
      <w:r>
        <w:rPr>
          <w:rFonts w:ascii="Times New Roman" w:hAnsi="Times New Roman"/>
          <w:sz w:val="20"/>
        </w:rPr>
        <w:t>1.27 “</w:t>
      </w:r>
      <w:r>
        <w:rPr>
          <w:rFonts w:ascii="Times New Roman" w:hAnsi="Times New Roman"/>
          <w:b/>
          <w:sz w:val="20"/>
        </w:rPr>
        <w:t>Preferred Stock</w:t>
      </w:r>
      <w:r>
        <w:rPr>
          <w:rFonts w:ascii="Times New Roman" w:hAnsi="Times New Roman"/>
          <w:sz w:val="20"/>
        </w:rPr>
        <w:t xml:space="preserve">” means collectively, the shares of the Company’s Series A Preferred Stock and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1.28 “</w:t>
      </w:r>
      <w:r>
        <w:rPr>
          <w:rFonts w:ascii="Times New Roman" w:hAnsi="Times New Roman"/>
          <w:b/>
          <w:sz w:val="20"/>
        </w:rPr>
        <w:t>RA Capital</w:t>
      </w:r>
      <w:r>
        <w:rPr>
          <w:rFonts w:ascii="Times New Roman" w:hAnsi="Times New Roman"/>
          <w:sz w:val="20"/>
        </w:rPr>
        <w:t xml:space="preserve">” means collectively, RA Capital Healthcare Fund, L.P., and RA Capital Nexus Fund IV, L.P. </w:t>
      </w:r>
    </w:p>
    <w:p>
      <w:pPr>
        <w:pStyle w:val="TextBody"/>
        <w:bidi w:val="0"/>
        <w:spacing w:before="240" w:after="0"/>
        <w:jc w:val="left"/>
        <w:rPr>
          <w:rFonts w:ascii="Times New Roman" w:hAnsi="Times New Roman"/>
          <w:sz w:val="20"/>
        </w:rPr>
      </w:pPr>
      <w:r>
        <w:rPr>
          <w:rFonts w:ascii="Times New Roman" w:hAnsi="Times New Roman"/>
          <w:sz w:val="20"/>
        </w:rPr>
        <w:t>1.29 “</w:t>
      </w:r>
      <w:r>
        <w:rPr>
          <w:rFonts w:ascii="Times New Roman" w:hAnsi="Times New Roman"/>
          <w:b/>
          <w:sz w:val="20"/>
        </w:rPr>
        <w:t>Registrable Securities</w:t>
      </w:r>
      <w:r>
        <w:rPr>
          <w:rFonts w:ascii="Times New Roman" w:hAnsi="Times New Roman"/>
          <w:sz w:val="20"/>
        </w:rPr>
        <w:t xml:space="preserve">” means (i) the Common Stock issuable or issued upon conversion of the Preferred Stock; (ii) any Common Stock, or any Common Stock issued or issuable (directly or indirectly) upon conversion and/or exercise of any other securities of the Company, held by the Investors from time to time; (iii) the Key Holder Registrable Securities provided, however, that such Key Holder Registrable Securities shall not be deemed Registrable Securities and the Key Holders shall not be deemed Holders for the purposes of Sections 2.1 (and any other applicable Section with respect to registrations under Section 2.1), 2.10, 3.1, 3.2, 4.1 and the first sentence of 6.6; and (iv)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(other than the restrictions on transfer and legend requirements in Section 2.12), however, any Registrable Securities sold by a Person in a transaction in which the applicable rights under this Agreement are not assigned pursuant to Section 6.1, and excluding for purposes of Section 2 (a) any shares for which registration rights have terminated pursuant to Section 2.13 and (b) any shares of Common Stock issued upon a Special Mandatory Conversion. </w:t>
      </w:r>
    </w:p>
    <w:p>
      <w:pPr>
        <w:pStyle w:val="TextBody"/>
        <w:bidi w:val="0"/>
        <w:spacing w:before="240" w:after="0"/>
        <w:jc w:val="left"/>
        <w:rPr>
          <w:rFonts w:ascii="Times New Roman" w:hAnsi="Times New Roman"/>
          <w:sz w:val="20"/>
        </w:rPr>
      </w:pPr>
      <w:r>
        <w:rPr>
          <w:rFonts w:ascii="Times New Roman" w:hAnsi="Times New Roman"/>
          <w:sz w:val="20"/>
        </w:rPr>
        <w:t>1.30 “</w:t>
      </w:r>
      <w:r>
        <w:rPr>
          <w:rFonts w:ascii="Times New Roman" w:hAnsi="Times New Roman"/>
          <w:b/>
          <w:sz w:val="20"/>
        </w:rPr>
        <w:t>Registrable Securities then outstanding</w:t>
      </w:r>
      <w:r>
        <w:rPr>
          <w:rFonts w:ascii="Times New Roman" w:hAnsi="Times New Roman"/>
          <w:sz w:val="20"/>
        </w:rPr>
        <w:t xml:space="preserve">”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b/>
          <w:sz w:val="20"/>
        </w:rPr>
        <w:t>Requisite Holders</w:t>
      </w:r>
      <w:r>
        <w:rPr>
          <w:rFonts w:ascii="Times New Roman" w:hAnsi="Times New Roman"/>
          <w:sz w:val="20"/>
        </w:rPr>
        <w:t xml:space="preserve">” means (a) prior to any Going Public Transaction, the Investors holding a majority of the then-outstanding shares of Series A Preferred Stock (calculated on an as-converted to Common Stock basis), and (b) following any Going Public Transaction, the Investors holding a majority of the then-outstanding shares of Registrable Securities (that are issued or issuable upon conversion of shares of Series A Preferred Stock); </w:t>
      </w:r>
      <w:r>
        <w:rPr>
          <w:rFonts w:ascii="Times New Roman" w:hAnsi="Times New Roman"/>
          <w:i/>
          <w:sz w:val="20"/>
        </w:rPr>
        <w:t>provided</w:t>
      </w:r>
      <w:r>
        <w:rPr>
          <w:rFonts w:ascii="Times New Roman" w:hAnsi="Times New Roman"/>
          <w:sz w:val="20"/>
        </w:rPr>
        <w:t xml:space="preserve">, that, in each case, the Requisite Holders must include each of RTW and RA Capital. For the avoidance of doubt, the shares held by RA Capital Healthcare Fund, L.P. and RA Capital Nexus Fund IV, L.P. shall be aggregated and treated as held by “RA Capital” for all purposes of this definition.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b/>
          <w:sz w:val="20"/>
        </w:rPr>
        <w:t>Requisite Preferred Director Vote</w:t>
      </w:r>
      <w:r>
        <w:rPr>
          <w:rFonts w:ascii="Times New Roman" w:hAnsi="Times New Roman"/>
          <w:sz w:val="20"/>
        </w:rPr>
        <w:t xml:space="preserve">” shall mean the vote of a majority of the Preferred Directors (as defined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b/>
          <w:sz w:val="20"/>
        </w:rPr>
        <w:t>Restricted Securities</w:t>
      </w:r>
      <w:r>
        <w:rPr>
          <w:rFonts w:ascii="Times New Roman" w:hAnsi="Times New Roman"/>
          <w:sz w:val="20"/>
        </w:rPr>
        <w:t xml:space="preserve">” means the securities of the Company required to be notated with the legend set forth in Section 2.12(b) hereof.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b/>
          <w:sz w:val="20"/>
        </w:rPr>
        <w:t>Reverse Merger Transaction</w:t>
      </w:r>
      <w:r>
        <w:rPr>
          <w:rFonts w:ascii="Times New Roman" w:hAnsi="Times New Roman"/>
          <w:sz w:val="20"/>
        </w:rPr>
        <w:t xml:space="preserve">” shall have the meaning given to it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b/>
          <w:sz w:val="20"/>
        </w:rPr>
        <w:t>RTW</w:t>
      </w:r>
      <w:r>
        <w:rPr>
          <w:rFonts w:ascii="Times New Roman" w:hAnsi="Times New Roman"/>
          <w:sz w:val="20"/>
        </w:rPr>
        <w:t xml:space="preserve">” means RTW Holdings X, LLC. </w:t>
      </w:r>
    </w:p>
    <w:p>
      <w:pPr>
        <w:pStyle w:val="TextBody"/>
        <w:bidi w:val="0"/>
        <w:spacing w:before="240" w:after="0"/>
        <w:jc w:val="left"/>
        <w:rPr>
          <w:rFonts w:ascii="Times New Roman" w:hAnsi="Times New Roman"/>
          <w:sz w:val="20"/>
        </w:rPr>
      </w:pPr>
      <w:r>
        <w:rPr>
          <w:rFonts w:ascii="Times New Roman" w:hAnsi="Times New Roman"/>
          <w:sz w:val="20"/>
        </w:rPr>
        <w:t>1.36 “</w:t>
      </w:r>
      <w:r>
        <w:rPr>
          <w:rFonts w:ascii="Times New Roman" w:hAnsi="Times New Roman"/>
          <w:b/>
          <w:sz w:val="20"/>
        </w:rPr>
        <w:t>Sanctioned Party</w:t>
      </w:r>
      <w:r>
        <w:rPr>
          <w:rFonts w:ascii="Times New Roman" w:hAnsi="Times New Roman"/>
          <w:sz w:val="20"/>
        </w:rPr>
        <w:t>” means any Person: (i) organized under the laws of, ordinarily resident in, or located in a country or territory that is the subject of comprehensive Sanctions (“</w:t>
      </w:r>
      <w:r>
        <w:rPr>
          <w:rFonts w:ascii="Times New Roman" w:hAnsi="Times New Roman"/>
          <w:b/>
          <w:sz w:val="20"/>
        </w:rPr>
        <w:t>Restricted Countries</w:t>
      </w:r>
      <w:r>
        <w:rPr>
          <w:rFonts w:ascii="Times New Roman" w:hAnsi="Times New Roman"/>
          <w:sz w:val="20"/>
        </w:rPr>
        <w:t>”); (ii) 50% or more owned or controlled by the government of a Restricted Country; or (iii) (A) designated on a sanctioned parties list administered by the United States, including, without limitation, the U.S. Department of the Treasury’s Office of Foreign Assets Control’s Specially Designated Nationals and Blocked Persons List, Foreign Sanctions Evaders List, and Sectoral Sanctions Identification List (collectively, “</w:t>
      </w:r>
      <w:r>
        <w:rPr>
          <w:rFonts w:ascii="Times New Roman" w:hAnsi="Times New Roman"/>
          <w:b/>
          <w:sz w:val="20"/>
        </w:rPr>
        <w:t>Designated Parties</w:t>
      </w:r>
      <w:r>
        <w:rPr>
          <w:rFonts w:ascii="Times New Roman" w:hAnsi="Times New Roman"/>
          <w:sz w:val="20"/>
        </w:rPr>
        <w:t xml:space="preserve">”); or (B) 50% or more owned or, where relevant under applicable Sanctions, controlled, individually or in the aggregate, by one or more Designated Party, in each case only to the extent that dealings with such Person are prohibited pursuant to applicable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1.37 “</w:t>
      </w:r>
      <w:r>
        <w:rPr>
          <w:rFonts w:ascii="Times New Roman" w:hAnsi="Times New Roman"/>
          <w:b/>
          <w:sz w:val="20"/>
        </w:rPr>
        <w:t>Sanctions</w:t>
      </w:r>
      <w:r>
        <w:rPr>
          <w:rFonts w:ascii="Times New Roman" w:hAnsi="Times New Roman"/>
          <w:sz w:val="20"/>
        </w:rPr>
        <w:t xml:space="preserve">” means applicable laws and regulations pertaining to trade and economic sanctions administered by the United States. </w:t>
      </w:r>
    </w:p>
    <w:p>
      <w:pPr>
        <w:pStyle w:val="TextBody"/>
        <w:bidi w:val="0"/>
        <w:spacing w:before="240" w:after="0"/>
        <w:jc w:val="left"/>
        <w:rPr>
          <w:rFonts w:ascii="Times New Roman" w:hAnsi="Times New Roman"/>
          <w:sz w:val="20"/>
        </w:rPr>
      </w:pPr>
      <w:r>
        <w:rPr>
          <w:rFonts w:ascii="Times New Roman" w:hAnsi="Times New Roman"/>
          <w:sz w:val="20"/>
        </w:rPr>
        <w:t>1.38 “</w:t>
      </w:r>
      <w:r>
        <w:rPr>
          <w:rFonts w:ascii="Times New Roman" w:hAnsi="Times New Roman"/>
          <w:b/>
          <w:sz w:val="20"/>
        </w:rPr>
        <w:t>SEC</w:t>
      </w:r>
      <w:r>
        <w:rPr>
          <w:rFonts w:ascii="Times New Roman" w:hAnsi="Times New Roman"/>
          <w:sz w:val="20"/>
        </w:rPr>
        <w:t xml:space="preserve">” means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b/>
          <w:sz w:val="20"/>
        </w:rPr>
        <w:t>SEC Rule</w:t>
      </w:r>
      <w:r>
        <w:rPr>
          <w:rFonts w:ascii="Times New Roman" w:hAnsi="Times New Roman"/>
          <w:sz w:val="20"/>
        </w:rPr>
        <w:t> </w:t>
      </w:r>
      <w:r>
        <w:rPr>
          <w:rFonts w:ascii="Times New Roman" w:hAnsi="Times New Roman"/>
          <w:b/>
          <w:sz w:val="20"/>
        </w:rPr>
        <w:t>144</w:t>
      </w:r>
      <w:r>
        <w:rPr>
          <w:rFonts w:ascii="Times New Roman" w:hAnsi="Times New Roman"/>
          <w:sz w:val="20"/>
        </w:rPr>
        <w:t xml:space="preserve">” means Rule 144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1.40 “</w:t>
      </w:r>
      <w:r>
        <w:rPr>
          <w:rFonts w:ascii="Times New Roman" w:hAnsi="Times New Roman"/>
          <w:b/>
          <w:sz w:val="20"/>
        </w:rPr>
        <w:t>SEC Rule</w:t>
      </w:r>
      <w:r>
        <w:rPr>
          <w:rFonts w:ascii="Times New Roman" w:hAnsi="Times New Roman"/>
          <w:sz w:val="20"/>
        </w:rPr>
        <w:t> </w:t>
      </w:r>
      <w:r>
        <w:rPr>
          <w:rFonts w:ascii="Times New Roman" w:hAnsi="Times New Roman"/>
          <w:b/>
          <w:sz w:val="20"/>
        </w:rPr>
        <w:t>145</w:t>
      </w:r>
      <w:r>
        <w:rPr>
          <w:rFonts w:ascii="Times New Roman" w:hAnsi="Times New Roman"/>
          <w:sz w:val="20"/>
        </w:rPr>
        <w:t xml:space="preserve">” means Rule 145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1.42 “</w:t>
      </w:r>
      <w:r>
        <w:rPr>
          <w:rFonts w:ascii="Times New Roman" w:hAnsi="Times New Roman"/>
          <w:b/>
          <w:sz w:val="20"/>
        </w:rPr>
        <w:t>Selling Expenses</w:t>
      </w:r>
      <w:r>
        <w:rPr>
          <w:rFonts w:ascii="Times New Roman" w:hAnsi="Times New Roman"/>
          <w:sz w:val="20"/>
        </w:rPr>
        <w:t xml:space="preserve">” means all underwriting discounts, selling commissions, and stock transfer taxes applicable to the sale of Registrable Securities, and fees and disbursements of counsel for any Holder, except for the fees and disbursements of the Selling Holder Counsel (as defined below) borne and paid by the Company as provided in Section 2.6. </w:t>
      </w:r>
    </w:p>
    <w:p>
      <w:pPr>
        <w:pStyle w:val="TextBody"/>
        <w:bidi w:val="0"/>
        <w:spacing w:before="240" w:after="0"/>
        <w:jc w:val="left"/>
        <w:rPr>
          <w:rFonts w:ascii="Times New Roman" w:hAnsi="Times New Roman"/>
          <w:sz w:val="20"/>
        </w:rPr>
      </w:pPr>
      <w:r>
        <w:rPr>
          <w:rFonts w:ascii="Times New Roman" w:hAnsi="Times New Roman"/>
          <w:sz w:val="20"/>
        </w:rPr>
        <w:t>1.43 “</w:t>
      </w:r>
      <w:r>
        <w:rPr>
          <w:rFonts w:ascii="Times New Roman" w:hAnsi="Times New Roman"/>
          <w:b/>
          <w:sz w:val="20"/>
        </w:rPr>
        <w:t>Series A Preferred Stock</w:t>
      </w:r>
      <w:r>
        <w:rPr>
          <w:rFonts w:ascii="Times New Roman" w:hAnsi="Times New Roman"/>
          <w:sz w:val="20"/>
        </w:rPr>
        <w:t xml:space="preserve">” means shares of the Company’s Series A Preferred Stock, par value $0.00001 per share. </w:t>
      </w:r>
    </w:p>
    <w:p>
      <w:pPr>
        <w:pStyle w:val="TextBody"/>
        <w:bidi w:val="0"/>
        <w:spacing w:before="240" w:after="0"/>
        <w:jc w:val="left"/>
        <w:rPr>
          <w:rFonts w:ascii="Times New Roman" w:hAnsi="Times New Roman"/>
          <w:sz w:val="20"/>
        </w:rPr>
      </w:pPr>
      <w:r>
        <w:rPr>
          <w:rFonts w:ascii="Times New Roman" w:hAnsi="Times New Roman"/>
          <w:sz w:val="20"/>
        </w:rPr>
        <w:t>1.44 “</w:t>
      </w:r>
      <w:r>
        <w:rPr>
          <w:rFonts w:ascii="Times New Roman" w:hAnsi="Times New Roman"/>
          <w:b/>
          <w:sz w:val="20"/>
        </w:rPr>
        <w:t>Series A-1 Preferred Stock</w:t>
      </w:r>
      <w:r>
        <w:rPr>
          <w:rFonts w:ascii="Times New Roman" w:hAnsi="Times New Roman"/>
          <w:sz w:val="20"/>
        </w:rPr>
        <w:t xml:space="preserve">” means shares of the Company’s Series A-1 Preferred Stock, par value $0.00001 per share, and the shares of Series A-1 Preferred Stock then issuable upon exercise of warrants issued to YolTech pursuant to the Warrant Subscription Agreement. </w:t>
      </w:r>
    </w:p>
    <w:p>
      <w:pPr>
        <w:pStyle w:val="TextBody"/>
        <w:bidi w:val="0"/>
        <w:spacing w:before="240" w:after="0"/>
        <w:jc w:val="left"/>
        <w:rPr>
          <w:rFonts w:ascii="Times New Roman" w:hAnsi="Times New Roman"/>
          <w:sz w:val="20"/>
        </w:rPr>
      </w:pPr>
      <w:r>
        <w:rPr>
          <w:rFonts w:ascii="Times New Roman" w:hAnsi="Times New Roman"/>
          <w:sz w:val="20"/>
        </w:rPr>
        <w:t>1.45 “</w:t>
      </w:r>
      <w:r>
        <w:rPr>
          <w:rFonts w:ascii="Times New Roman" w:hAnsi="Times New Roman"/>
          <w:b/>
          <w:sz w:val="20"/>
        </w:rPr>
        <w:t>Special Mandatory Conversion</w:t>
      </w:r>
      <w:r>
        <w:rPr>
          <w:rFonts w:ascii="Times New Roman" w:hAnsi="Times New Roman"/>
          <w:sz w:val="20"/>
        </w:rPr>
        <w:t xml:space="preserve">” has the meaning set forth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1.46 “</w:t>
      </w:r>
      <w:r>
        <w:rPr>
          <w:rFonts w:ascii="Times New Roman" w:hAnsi="Times New Roman"/>
          <w:b/>
          <w:sz w:val="20"/>
        </w:rPr>
        <w:t>Vivo</w:t>
      </w:r>
      <w:r>
        <w:rPr>
          <w:rFonts w:ascii="Times New Roman" w:hAnsi="Times New Roman"/>
          <w:sz w:val="20"/>
        </w:rPr>
        <w:t xml:space="preserve">” means, collectively, Vivo Opportunity Fund Holdings, L.P., Vivo Opportunity Cayman Fund, L.P., and Vivo Innovation Fund II, L.P. </w:t>
      </w:r>
    </w:p>
    <w:p>
      <w:pPr>
        <w:pStyle w:val="TextBody"/>
        <w:bidi w:val="0"/>
        <w:spacing w:before="240" w:after="0"/>
        <w:jc w:val="left"/>
        <w:rPr>
          <w:rFonts w:ascii="Times New Roman" w:hAnsi="Times New Roman"/>
          <w:sz w:val="20"/>
        </w:rPr>
      </w:pPr>
      <w:r>
        <w:rPr>
          <w:rFonts w:ascii="Times New Roman" w:hAnsi="Times New Roman"/>
          <w:sz w:val="20"/>
        </w:rPr>
        <w:t>1.47 “</w:t>
      </w:r>
      <w:r>
        <w:rPr>
          <w:rFonts w:ascii="Times New Roman" w:hAnsi="Times New Roman"/>
          <w:b/>
          <w:sz w:val="20"/>
        </w:rPr>
        <w:t>YolTech</w:t>
      </w:r>
      <w:r>
        <w:rPr>
          <w:rFonts w:ascii="Times New Roman" w:hAnsi="Times New Roman"/>
          <w:sz w:val="20"/>
        </w:rPr>
        <w:t xml:space="preserve">” means YolTech Therapeutics Co., Ltd.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Registration Rights</w:t>
      </w:r>
      <w:r>
        <w:rPr>
          <w:rFonts w:ascii="Times New Roman" w:hAnsi="Times New Roman"/>
          <w:sz w:val="20"/>
        </w:rPr>
        <w:t xml:space="preserve">. The Company covenants and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Demand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Form</w:t>
      </w:r>
      <w:r>
        <w:rPr>
          <w:rFonts w:ascii="Times New Roman" w:hAnsi="Times New Roman"/>
          <w:sz w:val="20"/>
        </w:rPr>
        <w:t> </w:t>
      </w:r>
      <w:r>
        <w:rPr>
          <w:rFonts w:ascii="Times New Roman" w:hAnsi="Times New Roman"/>
          <w:i/>
          <w:sz w:val="20"/>
        </w:rPr>
        <w:t>S-1 Demand</w:t>
      </w:r>
      <w:r>
        <w:rPr>
          <w:rFonts w:ascii="Times New Roman" w:hAnsi="Times New Roman"/>
          <w:sz w:val="20"/>
        </w:rPr>
        <w:t>. If at any time after the earlier of (i) three years after the date of this Agreement or (ii) 180 days after the effective date of the registration statement for the IPO or Direct Listing, as applicable, the Company receives a request from Holders of a majority of the Registrable Securities then outstanding that the Company file a Form S-1 registration statement with respect to Registrable Securities then outstanding having an anticipated aggregate offering price, net of Selling Expenses, would exceed $25,000,000, then the Company shall: (x) within ten days after the date such request is given, give notice thereof (the “</w:t>
      </w:r>
      <w:r>
        <w:rPr>
          <w:rFonts w:ascii="Times New Roman" w:hAnsi="Times New Roman"/>
          <w:b/>
          <w:sz w:val="20"/>
        </w:rPr>
        <w:t>Demand Notice</w:t>
      </w:r>
      <w:r>
        <w:rPr>
          <w:rFonts w:ascii="Times New Roman" w:hAnsi="Times New Roman"/>
          <w:sz w:val="20"/>
        </w:rPr>
        <w:t xml:space="preserve">”) to all Holders other than the Initiating Holders; and (y) as soon as practicable, and in any event within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of the date the Demand Notice is given, and in each case, subject to the limitations of Sections 2.1(c) and 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Form</w:t>
      </w:r>
      <w:r>
        <w:rPr>
          <w:rFonts w:ascii="Times New Roman" w:hAnsi="Times New Roman"/>
          <w:sz w:val="20"/>
        </w:rPr>
        <w:t> </w:t>
      </w:r>
      <w:r>
        <w:rPr>
          <w:rFonts w:ascii="Times New Roman" w:hAnsi="Times New Roman"/>
          <w:i/>
          <w:sz w:val="20"/>
        </w:rPr>
        <w:t>S-3 Demand</w:t>
      </w:r>
      <w:r>
        <w:rPr>
          <w:rFonts w:ascii="Times New Roman" w:hAnsi="Times New Roman"/>
          <w:sz w:val="20"/>
        </w:rPr>
        <w:t xml:space="preserve">. If at any time when it is eligible to use a Form S-3 registration statement, the Company receives a request from Holders of the Registrable Securities then outstanding that the Company file a Form S-3 registration statement with respect to outstanding Registrable Securities of such Holders having an anticipated aggregate offering price, net of Selling Expenses, of at least $10,000,000, then the Company shall (i) within ten days after the date such request is given, give a Demand Notice to all Holders other than the Initiating Holders; and (ii) as soon as practicable, and in any event within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Sections 2.1(c) and 2.3.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obligations, if the Company furnishes to Holders requesting a registration pursuant to this Section 2.1 a certificate signed by the Company’s Chief Executive Officer stating that in the good faith judgment of the Board of Directors it would be materially detrimental to the Company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120 days after the request of the Initiating Holders is given; </w:t>
      </w:r>
      <w:r>
        <w:rPr>
          <w:rFonts w:ascii="Times New Roman" w:hAnsi="Times New Roman"/>
          <w:i/>
          <w:sz w:val="20"/>
        </w:rPr>
        <w:t>provided, however,</w:t>
      </w:r>
      <w:r>
        <w:rPr>
          <w:rFonts w:ascii="Times New Roman" w:hAnsi="Times New Roman"/>
          <w:sz w:val="20"/>
        </w:rPr>
        <w:t xml:space="preserve"> that the Company may not invoke this right more than once in any 12-month period; and </w:t>
      </w:r>
      <w:r>
        <w:rPr>
          <w:rFonts w:ascii="Times New Roman" w:hAnsi="Times New Roman"/>
          <w:i/>
          <w:sz w:val="20"/>
        </w:rPr>
        <w:t>provided further</w:t>
      </w:r>
      <w:r>
        <w:rPr>
          <w:rFonts w:ascii="Times New Roman" w:hAnsi="Times New Roman"/>
          <w:sz w:val="20"/>
        </w:rPr>
        <w:t xml:space="preserve"> that the Company shall not register any securities for its own account or that of any other stockholder during such 120-day period other than an Excluded Registration.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obligated to effect, or to take any action to effect, any registration pursuant to Section 2.1(a), (i) during the period that is 60 days before the Company’s good faith estimate of the date of filing of, and ending on a date that is 180 days after the effective date of, a Company-initiated registration, </w:t>
      </w:r>
      <w:r>
        <w:rPr>
          <w:rFonts w:ascii="Times New Roman" w:hAnsi="Times New Roman"/>
          <w:i/>
          <w:sz w:val="20"/>
        </w:rPr>
        <w:t>provided</w:t>
      </w:r>
      <w:r>
        <w:rPr>
          <w:rFonts w:ascii="Times New Roman" w:hAnsi="Times New Roman"/>
          <w:sz w:val="20"/>
        </w:rPr>
        <w:t xml:space="preserve"> that the Company is actively employing in good faith commercially reasonable efforts to cause such registration statement to become effective; (ii) after the Company has effected two registrations pursuant to Section 2.1(a); or (iii) if the Initiating Holders propose to dispose of shares of Registrable Securities that may be immediately registered on Form S-3 pursuant to a request made pursuant to Section 2.1(b). The Company shall not be obligated to effect, or to take any action to effect, any registration pursuant to Section 2.1(b), (i) during the period that is 30 days before the Company’s good faith estimate of the date of filing of, and ending on a date that is 90 days after the effective date of, a Company-initiated registration, </w:t>
      </w:r>
      <w:r>
        <w:rPr>
          <w:rFonts w:ascii="Times New Roman" w:hAnsi="Times New Roman"/>
          <w:i/>
          <w:sz w:val="20"/>
        </w:rPr>
        <w:t>provided</w:t>
      </w:r>
      <w:r>
        <w:rPr>
          <w:rFonts w:ascii="Times New Roman" w:hAnsi="Times New Roman"/>
          <w:sz w:val="20"/>
        </w:rPr>
        <w:t xml:space="preserve"> that the Company is actively employing in good faith commercially reasonable efforts to cause such registration statement to become effective; or (ii) if the Company has effected two registrations pursuant to Section 2.1(b) within the 12-month period immediately preceding the date of such request. A registration shall not be counted as “effected” for purposes of this Section 2.1(d)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2.6, in which case such withdrawn registration statement shall be counted as “effected” for purposes of this Section 2.1(d); </w:t>
      </w:r>
      <w:r>
        <w:rPr>
          <w:rFonts w:ascii="Times New Roman" w:hAnsi="Times New Roman"/>
          <w:i/>
          <w:sz w:val="20"/>
        </w:rPr>
        <w:t>provided</w:t>
      </w:r>
      <w:r>
        <w:rPr>
          <w:rFonts w:ascii="Times New Roman" w:hAnsi="Times New Roman"/>
          <w:sz w:val="20"/>
        </w:rPr>
        <w:t xml:space="preserve">, that if such withdrawal is during a period the Company has deferred taking action pursuant to Section 2.1(c), then the Initiating Holders may withdraw their request for registration and such registration will not be counted as “effected” for purposes of this Section 2.1(d).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Company Registration</w:t>
      </w:r>
      <w:r>
        <w:rPr>
          <w:rFonts w:ascii="Times New Roman" w:hAnsi="Times New Roman"/>
          <w:sz w:val="20"/>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or a registration pursuant to Section 2.1), the Company shall, at such time, promptly give each Holder notice of such registration. Upon the request of each Holder given within 20 days after such notice is given by the Company, the Company shall, subject to the provisions of Section 2.3, cause to be registered all of the Registrable Securities that each such Holder has requested to be included in such registration. The Company shall have the right to terminate or withdraw any registration initiated by it under this Section 2.2 before the effective date of such registration, whether or not any Holder has elected to include Registrable Securities in such registration. The expenses (other than Selling Expenses) of such withdrawn registration shall be borne by the Company in accordance with Section 2.6.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Underwriting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pursuant to Section 2.1, the Initiating Holders intend to distribute the Registrable Securities covered by their request by means of an underwriting, they shall so advise the Company as a part of their request made pursuant to Section 2.1,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Section 2.4(e)) enter into an underwriting agreement in customary form with the underwriter(s) selected for such underwriting;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Section 2.3,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hAnsi="Times New Roman"/>
          <w:i/>
          <w:sz w:val="20"/>
        </w:rPr>
        <w:t>provided, however,</w:t>
      </w:r>
      <w:r>
        <w:rPr>
          <w:rFonts w:ascii="Times New Roman" w:hAnsi="Times New Roman"/>
          <w:sz w:val="20"/>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offering involving an underwriting of shares of the Company’s capital stock pursuant to 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Section 2.3(b)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w:t>
      </w:r>
      <w:r>
        <w:rPr>
          <w:rFonts w:ascii="Times New Roman" w:hAnsi="Times New Roman"/>
          <w:sz w:val="20"/>
          <w:u w:val="single"/>
        </w:rPr>
        <w:t>Section 2.1</w:t>
      </w:r>
      <w:r>
        <w:rPr>
          <w:rFonts w:ascii="Times New Roman" w:hAnsi="Times New Roman"/>
          <w:sz w:val="20"/>
        </w:rPr>
        <w:t xml:space="preserve">, a registration shall not be counted as “effected” if, as a result of an exercise of the underwriter’s cutback provisions in </w:t>
      </w:r>
      <w:r>
        <w:rPr>
          <w:rFonts w:ascii="Times New Roman" w:hAnsi="Times New Roman"/>
          <w:sz w:val="20"/>
          <w:u w:val="single"/>
        </w:rPr>
        <w:t>Section 2.3(a)</w:t>
      </w:r>
      <w:r>
        <w:rPr>
          <w:rFonts w:ascii="Times New Roman" w:hAnsi="Times New Roman"/>
          <w:sz w:val="20"/>
        </w:rPr>
        <w:t xml:space="preserve">, fewer than 50% of the total number of Registrable Securities that Holders have requested to be included in such registration statement are actually included.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Obligations of the Company</w:t>
      </w:r>
      <w:r>
        <w:rPr>
          <w:rFonts w:ascii="Times New Roman" w:hAnsi="Times New Roman"/>
          <w:sz w:val="20"/>
        </w:rPr>
        <w:t xml:space="preserve">. Whenever required under this Section 2 to effect the registration of any Registrable Securities, the Company shall, as expeditiously as reasonably possible: </w:t>
      </w:r>
    </w:p>
    <w:p>
      <w:pPr>
        <w:pStyle w:val="TextBody"/>
        <w:bidi w:val="0"/>
        <w:spacing w:before="120" w:after="0"/>
        <w:jc w:val="left"/>
        <w:rPr>
          <w:rFonts w:ascii="Times New Roman" w:hAnsi="Times New Roman"/>
          <w:sz w:val="20"/>
        </w:rPr>
      </w:pPr>
      <w:r>
        <w:rPr>
          <w:rFonts w:ascii="Times New Roman" w:hAnsi="Times New Roman"/>
          <w:sz w:val="20"/>
        </w:rPr>
        <w:t xml:space="preserve">(a)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Times New Roman" w:hAnsi="Times New Roman"/>
          <w:i/>
          <w:sz w:val="20"/>
        </w:rPr>
        <w:t>provided, however,</w:t>
      </w:r>
      <w:r>
        <w:rPr>
          <w:rFonts w:ascii="Times New Roman" w:hAnsi="Times New Roman"/>
          <w:sz w:val="20"/>
        </w:rPr>
        <w:t xml:space="preserve"> that (i) such 120-day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an additional 90 days, if necessary, to keep the registration statement effective until all such Registrable Securities are sold;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furnish to the selling Holders such numbers of copies of a prospectus, including a preliminary prospectus, as required by the Securities Act, and such other documents as the Holders may reasonably request in order to facilitate their disposition of their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(d) 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hAnsi="Times New Roman"/>
          <w:i/>
          <w:sz w:val="20"/>
        </w:rPr>
        <w:t>provided</w:t>
      </w:r>
      <w:r>
        <w:rPr>
          <w:rFonts w:ascii="Times New Roman" w:hAnsi="Times New Roman"/>
          <w:sz w:val="20"/>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any underwritten public offering, enter into and perform its obligations under an underwriting agreement, in usual and customary form, with the underwriter(s)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(f) 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(g) provide a transfer agent and registrar for all Registrable Securities registered pursuant to this Agreement and provide a CUSIP number for all such Registrable Securities, in each case not later than the effective date of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(h)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 notify each selling Holder, promptly after the Company receives notice thereof, of the time when such registration statement has been declared effective or a supplement to any prospectus forming a part of such registration statement has been filed; and </w:t>
      </w:r>
    </w:p>
    <w:p>
      <w:pPr>
        <w:pStyle w:val="TextBody"/>
        <w:bidi w:val="0"/>
        <w:spacing w:before="240" w:after="0"/>
        <w:jc w:val="left"/>
        <w:rPr>
          <w:rFonts w:ascii="Times New Roman" w:hAnsi="Times New Roman"/>
          <w:sz w:val="20"/>
        </w:rPr>
      </w:pPr>
      <w:r>
        <w:rPr>
          <w:rFonts w:ascii="Times New Roman" w:hAnsi="Times New Roman"/>
          <w:sz w:val="20"/>
        </w:rPr>
        <w:t xml:space="preserve">(j) after such registration statement becomes effective, notify each selling Holder of any request by the SEC that the Company amend or supplement such registration statement or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Furnish Information</w:t>
      </w:r>
      <w:r>
        <w:rPr>
          <w:rFonts w:ascii="Times New Roman" w:hAnsi="Times New Roman"/>
          <w:sz w:val="20"/>
        </w:rPr>
        <w:t xml:space="preserve">.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Expenses of Registration</w:t>
      </w:r>
      <w:r>
        <w:rPr>
          <w:rFonts w:ascii="Times New Roman" w:hAnsi="Times New Roman"/>
          <w:sz w:val="20"/>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not to exceed $50,000 per registration, of one counsel for the selling Holders selected by Holders of a majority of the Registrable Securities to be registered (“</w:t>
      </w:r>
      <w:r>
        <w:rPr>
          <w:rFonts w:ascii="Times New Roman" w:hAnsi="Times New Roman"/>
          <w:b/>
          <w:sz w:val="20"/>
        </w:rPr>
        <w:t>Selling Holder Counsel</w:t>
      </w:r>
      <w:r>
        <w:rPr>
          <w:rFonts w:ascii="Times New Roman" w:hAnsi="Times New Roman"/>
          <w:sz w:val="20"/>
        </w:rPr>
        <w:t xml:space="preserve">”), shall be borne and paid by the Company; </w:t>
      </w:r>
      <w:r>
        <w:rPr>
          <w:rFonts w:ascii="Times New Roman" w:hAnsi="Times New Roman"/>
          <w:i/>
          <w:sz w:val="20"/>
        </w:rPr>
        <w:t>provided, however,</w:t>
      </w:r>
      <w:r>
        <w:rPr>
          <w:rFonts w:ascii="Times New Roman" w:hAnsi="Times New Roman"/>
          <w:sz w:val="20"/>
        </w:rPr>
        <w:t xml:space="preserve"> that the Company shall not be required to pay for any expenses of any registration proceeding begun pursuant to 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Sections 2.1(a) or 2.1(b), as the case may be; </w:t>
      </w:r>
      <w:r>
        <w:rPr>
          <w:rFonts w:ascii="Times New Roman" w:hAnsi="Times New Roman"/>
          <w:i/>
          <w:sz w:val="20"/>
        </w:rPr>
        <w:t>provided further</w:t>
      </w:r>
      <w:r>
        <w:rPr>
          <w:rFonts w:ascii="Times New Roman" w:hAnsi="Times New Roman"/>
          <w:sz w:val="20"/>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Sections 2.1(a) or 2.1(b). All Selling Expenses relating to Registrable Securities registered pursuant to this Section 2 (other than fees and disbursements of counsel to any Holder, other than the Selling Holder Counsel, which shall be borne solely by the Holder engaging such counsel) shall be borne and paid by the Holders pro rata on the basis of the number of Registrable Securities registered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Delay of Registration</w:t>
      </w:r>
      <w:r>
        <w:rPr>
          <w:rFonts w:ascii="Times New Roman" w:hAnsi="Times New Roman"/>
          <w:sz w:val="20"/>
        </w:rPr>
        <w:t xml:space="preserve">. No Holder shall have any right to obtain or seek an injunction restraining or otherwise delaying any registration pursuant to this Agreement as the result of any controversy that might arise with respect to the interpretation or implementation of this Section 2.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Indemnification</w:t>
      </w:r>
      <w:r>
        <w:rPr>
          <w:rFonts w:ascii="Times New Roman" w:hAnsi="Times New Roman"/>
          <w:sz w:val="20"/>
        </w:rPr>
        <w:t xml:space="preserve">. If any Registrable Securities are included in a registration statement under this Section 2 or in connection with a Direct Listing,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i/>
          <w:sz w:val="20"/>
        </w:rPr>
        <w:t>provided, however,</w:t>
      </w:r>
      <w:r>
        <w:rPr>
          <w:rFonts w:ascii="Times New Roman" w:hAnsi="Times New Roman"/>
          <w:sz w:val="20"/>
        </w:rPr>
        <w:t xml:space="preserve"> that the indemnity agreement contained in this Section 2.8(a)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i/>
          <w:sz w:val="20"/>
        </w:rPr>
        <w:t>provided, however,</w:t>
      </w:r>
      <w:r>
        <w:rPr>
          <w:rFonts w:ascii="Times New Roman" w:hAnsi="Times New Roman"/>
          <w:sz w:val="20"/>
        </w:rPr>
        <w:t xml:space="preserve"> that the indemnity agreement contained in this Section 2.8(b) shall not apply to amounts paid in settlement of any such claim or proceeding if such settlement is effected without the consent of the Holder, which consent shall not be unreasonably withheld; and </w:t>
      </w:r>
      <w:r>
        <w:rPr>
          <w:rFonts w:ascii="Times New Roman" w:hAnsi="Times New Roman"/>
          <w:i/>
          <w:sz w:val="20"/>
        </w:rPr>
        <w:t>provided further</w:t>
      </w:r>
      <w:r>
        <w:rPr>
          <w:rFonts w:ascii="Times New Roman" w:hAnsi="Times New Roman"/>
          <w:sz w:val="20"/>
        </w:rPr>
        <w:t xml:space="preserve"> that in no event shall the aggregate amounts payable by any Holder by way of indemnity or contribution under Sections 2.8(b) and 2.8(d) exceed the proceeds from the offering received by such Holder (net of any Selling Expenses paid by such Holder), except in the case of fraud or willful misconduct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Section 2.8 of notice of the commencement of any action (including any governmental action) for which a party may be entitled to indemnification hereunder, such indemnified party will, if a claim in respect thereof is to be made against any indemnifying party under this 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hAnsi="Times New Roman"/>
          <w:i/>
          <w:sz w:val="20"/>
        </w:rPr>
        <w:t>provided, however,</w:t>
      </w:r>
      <w:r>
        <w:rPr>
          <w:rFonts w:ascii="Times New Roman" w:hAnsi="Times New Roman"/>
          <w:sz w:val="20"/>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2.8, to the extent that such failure materially prejudices the indemnifying party’s ability to defend such action. The failure to give notice to the indemnifying party will not relieve it of any liability that it may have to any indemnified party otherwise than under this Section 2.8. </w:t>
      </w:r>
    </w:p>
    <w:p>
      <w:pPr>
        <w:pStyle w:val="TextBody"/>
        <w:bidi w:val="0"/>
        <w:spacing w:before="240" w:after="0"/>
        <w:jc w:val="left"/>
        <w:rPr>
          <w:rFonts w:ascii="Times New Roman" w:hAnsi="Times New Roman"/>
          <w:sz w:val="20"/>
        </w:rPr>
      </w:pPr>
      <w:r>
        <w:rPr>
          <w:rFonts w:ascii="Times New Roman" w:hAnsi="Times New Roman"/>
          <w:sz w:val="20"/>
        </w:rPr>
        <w:t xml:space="preserve">(d) To provide for just and equitable contribution to joint liability under the Securities Act in any case in which either: (i) any party otherwise entitled to indemnification hereunder makes a claim for indemnification pursuant to this 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2.8 provides for indemnification in such case, or (ii) contribution under the Securities Act may be required on the part of any party hereto for which indemnification is provided under this Section 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hAnsi="Times New Roman"/>
          <w:i/>
          <w:sz w:val="20"/>
        </w:rPr>
        <w:t>provided, however,</w:t>
      </w:r>
      <w:r>
        <w:rPr>
          <w:rFonts w:ascii="Times New Roman" w:hAnsi="Times New Roman"/>
          <w:sz w:val="20"/>
        </w:rPr>
        <w:t xml:space="preserve"> that, in any such case (x) no Holder will be required to contribute any amount in excess of the public offering price of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hAnsi="Times New Roman"/>
          <w:i/>
          <w:sz w:val="20"/>
        </w:rPr>
        <w:t>provided further</w:t>
      </w:r>
      <w:r>
        <w:rPr>
          <w:rFonts w:ascii="Times New Roman" w:hAnsi="Times New Roman"/>
          <w:sz w:val="20"/>
        </w:rPr>
        <w:t xml:space="preserve"> that in no event shall a Holder’s liability pursuant to this Section 2.8(d), when combined with the amounts paid or payable by such Holder pursuant to Section 2.8(b), exceed the proceeds from the offering received by such Holder (net of any Selling Expenses paid by such Holder), except in the case of willful misconduct or fraud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 w:hAnsi="Times New Roman"/>
          <w:i/>
          <w:sz w:val="20"/>
        </w:rPr>
        <w:t>provided, however,</w:t>
      </w:r>
      <w:r>
        <w:rPr>
          <w:rFonts w:ascii="Times New Roman" w:hAnsi="Times New Roman"/>
          <w:sz w:val="20"/>
        </w:rPr>
        <w:t xml:space="preserve"> that any matter expressly provided for or addressed by the provisions of this Section 2.8 that is not expressly provided for or addressed by the underwriting agreement shall be controlled by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(f) Unless otherwise superseded by an underwriting agreement entered into in connection with the underwritten public offering, the obligations of the Company and Holders under this Section 2.8 shall survive the completion of any offering of Registrable Securities in a registration under this Section 2, and otherwise shall survive the termination of this Agreement or any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b/>
          <w:sz w:val="20"/>
        </w:rPr>
        <w:t>Reports Under Exchange Act</w:t>
      </w:r>
      <w:r>
        <w:rPr>
          <w:rFonts w:ascii="Times New Roman" w:hAnsi="Times New Roman"/>
          <w:sz w:val="20"/>
        </w:rPr>
        <w:t xml:space="preserve">.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available adequate current public information, as those terms are understood and defined in SEC Rule 144, at all times after the effective date of the registration statement filed by the Company for the IPO or Direct Listing,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use commercially reasonable efforts to file with the SEC in a timely manner all reports and other documents required of the Company under the Securities Act and the Exchange Act (at any time after the Company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(c) 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or Direct Listing, as applicable),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b/>
          <w:sz w:val="20"/>
        </w:rPr>
        <w:t>Limitations on Subsequent Registration Rights</w:t>
      </w:r>
      <w:r>
        <w:rPr>
          <w:rFonts w:ascii="Times New Roman" w:hAnsi="Times New Roman"/>
          <w:sz w:val="20"/>
        </w:rPr>
        <w:t xml:space="preserve">. From and after the date of this Agreement, the Company shall not, without the prior written consent of the Requisite Holders, enter into any agreement with any holder or prospective holder of any securities of the Company that would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Times New Roman" w:hAnsi="Times New Roman"/>
          <w:i/>
          <w:sz w:val="20"/>
        </w:rPr>
        <w:t>provided</w:t>
      </w:r>
      <w:r>
        <w:rPr>
          <w:rFonts w:ascii="Times New Roman" w:hAnsi="Times New Roman"/>
          <w:sz w:val="20"/>
        </w:rPr>
        <w:t xml:space="preserve"> that this limitation shall not apply to Registrable Securities acquired by any additional Investor that becomes a party to this Agreement in accordance with Section 6.9.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2.11 “</w:t>
      </w:r>
      <w:r>
        <w:rPr>
          <w:rFonts w:ascii="Times New Roman" w:hAnsi="Times New Roman"/>
          <w:b/>
          <w:sz w:val="20"/>
        </w:rPr>
        <w:t>Market Stand-off</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in connection with the IPO or a registration statement (other than an Excluded Registration) on Form S-1 in connection with an IPO, and ending on the date specified by the Company and the managing underwriter (such period not to exceed 180 days or, if the Company is not then an emerging growth company as defined in the applicable SEC regulations,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hedging or other transaction or arrangement that transfers, or is designed to transfer, to another, in whole or in part, any of the economic consequences of ownership, directly or indirectly, of such securities, whether or not any such transaction or arrangement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is to be settled by delivery of Common Stock or other securities, in cash, or otherwise. The foregoing provisions of this Section 2.11 shall not apply to the sale of any shares to an underwriter pursuant to an underwriting agreement or to the establishment of a trading plan pursuant to Rule 10b5-1, </w:t>
      </w:r>
      <w:r>
        <w:rPr>
          <w:rFonts w:ascii="Times New Roman" w:hAnsi="Times New Roman"/>
          <w:i/>
          <w:sz w:val="20"/>
        </w:rPr>
        <w:t>provided</w:t>
      </w:r>
      <w:r>
        <w:rPr>
          <w:rFonts w:ascii="Times New Roman" w:hAnsi="Times New Roman"/>
          <w:sz w:val="20"/>
        </w:rPr>
        <w:t xml:space="preserve"> that such plan does not permit transfers during the restricted period, or the transfer of any shares to any trust for the direct or indirect benefit of the Holder or one or more of the Holder’s Immediate Family Members, </w:t>
      </w:r>
      <w:r>
        <w:rPr>
          <w:rFonts w:ascii="Times New Roman" w:hAnsi="Times New Roman"/>
          <w:i/>
          <w:sz w:val="20"/>
        </w:rPr>
        <w:t>provided</w:t>
      </w:r>
      <w:r>
        <w:rPr>
          <w:rFonts w:ascii="Times New Roman" w:hAnsi="Times New Roman"/>
          <w:sz w:val="20"/>
        </w:rPr>
        <w:t xml:space="preserve"> that the trustee of the trust agrees to be bound in writing by the restrictions set forth herein, and </w:t>
      </w:r>
      <w:r>
        <w:rPr>
          <w:rFonts w:ascii="Times New Roman" w:hAnsi="Times New Roman"/>
          <w:i/>
          <w:sz w:val="20"/>
        </w:rPr>
        <w:t>provided further</w:t>
      </w:r>
      <w:r>
        <w:rPr>
          <w:rFonts w:ascii="Times New Roman" w:hAnsi="Times New Roman"/>
          <w:sz w:val="20"/>
        </w:rPr>
        <w:t xml:space="preserve"> that any such transfer shall not involve a disposition for value; and shall be applicable to the Holders only if all officers and directors of the Company are subject to the same restrictions and the Company uses commercially reasonable efforts to obtain a similar agreement from all stockholders individually owning more than 1% of the Company’s outstanding Common Stock (after giving effect to the conversion into Common Stock of all outstanding Preferred Stock). The underwriters in connection with such registration are intended third-party beneficiaries of this Section 2.11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2.11. Notwithstanding the foregoing, the foregoing restrictions shall not apply to, and Investors may freely dispose of, any shares of Common Stock that the Investor acquires in bona fide open-market purchases effected after the first date on which the Common Stock is publicly traded, provided that such transactions are effected through customary brokerage channels and not in coordination with the Company, its directors, officers or Affiliates. Any discretionary waiver or termination of the restrictions of any or all of such agreements by the Company or the underwriters shall apply pro rata to all Holders subject to such agreements, based on the number of shares subject to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b/>
          <w:sz w:val="20"/>
        </w:rPr>
        <w:t>Restrictions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Securities Act and all other applicable U.S. laws and regulations.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or Direct Listing, as applicable, SEC Rule 144, in each case, to be bound by the terms of this Section 2.12.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Section 2.12(c)) be notated with a legend substantially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MAY BE TRANSFERRED ONLY IN ACCORDANCE WITH THE TERMS OF AN AGREEMENT BETWEEN THE COMPANY AND THE STOCKHOLDER, A COPY OF WHICH IS ON FILE WITH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Holders consent to the Company making a notation in its records and giving instructions to any transfer agent of the Restricted Securities in order to implement the restrictions on transfer set forth in this Section 2.12. </w:t>
      </w:r>
    </w:p>
    <w:p>
      <w:pPr>
        <w:pStyle w:val="TextBody"/>
        <w:bidi w:val="0"/>
        <w:spacing w:before="240" w:after="0"/>
        <w:jc w:val="left"/>
        <w:rPr>
          <w:rFonts w:ascii="Times New Roman" w:hAnsi="Times New Roman"/>
          <w:sz w:val="20"/>
        </w:rPr>
      </w:pPr>
      <w:r>
        <w:rPr>
          <w:rFonts w:ascii="Times New Roman" w:hAnsi="Times New Roman"/>
          <w:sz w:val="20"/>
        </w:rPr>
        <w:t xml:space="preserve">(c) The holder of such Restricted Securities, by acceptance of ownership thereof, agrees to comply in all respects with the provisions of this Section 2.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w:t>
      </w:r>
      <w:r>
        <w:rPr>
          <w:rFonts w:ascii="Times New Roman" w:hAnsi="Times New Roman"/>
          <w:i/>
          <w:sz w:val="20"/>
        </w:rPr>
        <w:t>provided</w:t>
      </w:r>
      <w:r>
        <w:rPr>
          <w:rFonts w:ascii="Times New Roman" w:hAnsi="Times New Roman"/>
          <w:sz w:val="20"/>
        </w:rPr>
        <w:t xml:space="preserve">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Times New Roman" w:hAnsi="Times New Roman"/>
          <w:i/>
          <w:sz w:val="20"/>
        </w:rPr>
        <w:t>provided</w:t>
      </w:r>
      <w:r>
        <w:rPr>
          <w:rFonts w:ascii="Times New Roman" w:hAnsi="Times New Roman"/>
          <w:sz w:val="20"/>
        </w:rPr>
        <w:t xml:space="preserve"> that, with respect to transfers under the foregoing clause (y), each transferee agrees in writing to be subject to the terms of this Section 2.12. Each certificate,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or book entry representing the Restricted Securities transferred as above provided shall be notated with, except if such transfer is made pursuant to SEC Rule 144, the appropriate restrictive legend set forth in Section 2.12(b), except that such certificate, instrument, or book entry shall not be notated with such restrictive legend if, in the opinion of counsel for such Holder and the Company, such legend is not required in order to establish compliance with any provisions of the Securities Act and the Company will use commercially reasonable efforts to cause any such legend to be removed. </w:t>
      </w:r>
    </w:p>
    <w:p>
      <w:pPr>
        <w:pStyle w:val="TextBody"/>
        <w:bidi w:val="0"/>
        <w:spacing w:before="240" w:after="0"/>
        <w:jc w:val="left"/>
        <w:rPr>
          <w:rFonts w:ascii="Times New Roman" w:hAnsi="Times New Roman"/>
          <w:sz w:val="20"/>
        </w:rPr>
      </w:pPr>
      <w:r>
        <w:rPr>
          <w:rFonts w:ascii="Times New Roman" w:hAnsi="Times New Roman"/>
          <w:sz w:val="20"/>
        </w:rPr>
        <w:t xml:space="preserve">(d) If (i) the Registrable Securities may be sold by the Holder without restriction under SEC Rule 144(b)(1) (as evidenced by customary non-affiliate certifications), including without limitation, any volume and manner of sale restrictions, and without any requirement that “current public information” (within the meaning of SEC Rule 144 under the Securities Act) be available at the time of sale of such securities, including as a result of SEC Rule 144(i) under the Securities Act, (ii) the Holder has sold or transferred Registrable Securities in compliance with SEC Rule 144 (in which case the Holder shall submit a letter agreement reasonably satisfactory to the Company and its transfer agent with respect to ongoing compliance with SEC Rule 144 under the Securities Act of 1933) or (iii) the Registrable Securities are registered for resale under the Securities Act pursuant to an effective registration statement and the Holder has sold or transferred such Registrable Securities pursuant to such then-effective registration statement (in which case the Holder shall submit a letter agreement reasonably satisfactory to the Company and its transfer agent with respect to such sale pursuant to such then-effective registration statement), then the Company shall, if requested by the Holder, use its commercially reasonable efforts to (A) cause the removal of any restrictive legend related to compliance with the federal securities laws set forth on such Registrable Securities (including by using commercially reasonable efforts to cause its legal counsel to deliver an opinion, if necessary, to the Company’s transfer agent in connection with the removal of such legends, if required by such transfer agent), and (B) reasonably promptly after such request issue such Registrable Securities without any such legend in certificated or book-entry form or by electronic delivery (if then eligible for such delivery through the facilities of The Depository Trust Company).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b/>
          <w:sz w:val="20"/>
        </w:rPr>
        <w:t>Termination and Suspension of 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 of any Holder to request registration or inclusion of Registrable Securities in any registration pursuant to Section 2.1 or 2.2 shall terminate, as to such Holder, upon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(i) the closing of a Deemed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(ii) such time after consummation of an IPO or Direct Listing, whichever is earlier, when the Holder (A) together with its “affiliates” (as determined under SEC Rule 144) holds less than 1% of the outstanding capital stock of the Company and (B) may immediately sell all of the Holder’s Registrable Securities under SEC Rule 144 without volume limitation, or another similar exemption under the Securities Act is available for the sale of all of such Holder’s shares without limitation, during a three-month period without registration; </w:t>
      </w:r>
    </w:p>
    <w:p>
      <w:pPr>
        <w:pStyle w:val="TextBody"/>
        <w:bidi w:val="0"/>
        <w:spacing w:before="240" w:after="0"/>
        <w:jc w:val="left"/>
        <w:rPr>
          <w:rFonts w:ascii="Times New Roman" w:hAnsi="Times New Roman"/>
          <w:sz w:val="20"/>
        </w:rPr>
      </w:pPr>
      <w:r>
        <w:rPr>
          <w:rFonts w:ascii="Times New Roman" w:hAnsi="Times New Roman"/>
          <w:sz w:val="20"/>
        </w:rPr>
        <w:t xml:space="preserve">(iii) the fifth anniversary of the IPO or Direct Listing,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(iv) the closing of a Reverse Merger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right of any Holder to request registration or inclusion of Registrable Securities in any registration pursuant to Section 2.1 or 2.2 shall be suspended during any time as such Holder is a Sanctioned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Information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Delivery of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deliver to each Major Investor, </w:t>
      </w:r>
      <w:r>
        <w:rPr>
          <w:rFonts w:ascii="Times New Roman" w:hAnsi="Times New Roman"/>
          <w:i/>
          <w:sz w:val="20"/>
        </w:rPr>
        <w:t>provided</w:t>
      </w:r>
      <w:r>
        <w:rPr>
          <w:rFonts w:ascii="Times New Roman" w:hAnsi="Times New Roman"/>
          <w:sz w:val="20"/>
        </w:rPr>
        <w:t xml:space="preserve"> that such Major Investor is not a Competitor: </w:t>
      </w:r>
    </w:p>
    <w:p>
      <w:pPr>
        <w:pStyle w:val="TextBody"/>
        <w:bidi w:val="0"/>
        <w:spacing w:before="240" w:after="0"/>
        <w:jc w:val="left"/>
        <w:rPr>
          <w:rFonts w:ascii="Times New Roman" w:hAnsi="Times New Roman"/>
          <w:sz w:val="20"/>
        </w:rPr>
      </w:pPr>
      <w:r>
        <w:rPr>
          <w:rFonts w:ascii="Times New Roman" w:hAnsi="Times New Roman"/>
          <w:sz w:val="20"/>
        </w:rPr>
        <w:t xml:space="preserve">(i) as soon as practicable, but in any event within 120 days after the end of each fiscal year of the Company (A) an unaudited balance sheet as of the end of such year; (B) unaudited statements of income and of cash flows for such year; and (C) an unaudited statement of stockholders’ equity as of the end of such year, all such financial statements prepared in accordance with GAAP (except that such financial statements may not contain all notes thereto that may be required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(ii) as soon as practicable, but in any event within 45 days after the end of each quarter of each fiscal year of the Company, unaudited statements of income and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(iii) as soon as practicable, but in any event within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(iv) as soon as practicable, the Company’s Approved Annual Budget (as defined below). </w:t>
      </w:r>
    </w:p>
    <w:p>
      <w:pPr>
        <w:pStyle w:val="TextBody"/>
        <w:bidi w:val="0"/>
        <w:spacing w:before="240" w:after="0"/>
        <w:jc w:val="left"/>
        <w:rPr>
          <w:rFonts w:ascii="Times New Roman" w:hAnsi="Times New Roman"/>
          <w:sz w:val="20"/>
        </w:rPr>
      </w:pPr>
      <w:r>
        <w:rPr>
          <w:rFonts w:ascii="Times New Roman" w:hAnsi="Times New Roman"/>
          <w:sz w:val="20"/>
        </w:rPr>
        <w:t>(b) The Company shall, before the end of each fiscal year, prepare an annual budget and business plan for the next fiscal year, prepared on a monthly basis, including balance sheets, income statements, and statements of cash flow for such months (the “</w:t>
      </w:r>
      <w:r>
        <w:rPr>
          <w:rFonts w:ascii="Times New Roman" w:hAnsi="Times New Roman"/>
          <w:b/>
          <w:sz w:val="20"/>
        </w:rPr>
        <w:t>Budget</w:t>
      </w:r>
      <w:r>
        <w:rPr>
          <w:rFonts w:ascii="Times New Roman" w:hAnsi="Times New Roman"/>
          <w:sz w:val="20"/>
        </w:rPr>
        <w:t>”). The Company shall submit the Budget to the Board of Directors for approval and the Budget, as may be revised by the Board of Directors (including the Requisite Preferred Director Vote), shall be approved by the Board of Directors (including the Requisite Preferred Director Vote) (“</w:t>
      </w:r>
      <w:r>
        <w:rPr>
          <w:rFonts w:ascii="Times New Roman" w:hAnsi="Times New Roman"/>
          <w:b/>
          <w:sz w:val="20"/>
        </w:rPr>
        <w:t>Approved</w:t>
      </w:r>
      <w:r>
        <w:rPr>
          <w:rFonts w:ascii="Times New Roman" w:hAnsi="Times New Roman"/>
          <w:sz w:val="20"/>
        </w:rPr>
        <w:t xml:space="preserve"> </w:t>
      </w:r>
      <w:r>
        <w:rPr>
          <w:rFonts w:ascii="Times New Roman" w:hAnsi="Times New Roman"/>
          <w:b/>
          <w:sz w:val="20"/>
        </w:rPr>
        <w:t>Annual Budget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Such other information relating to the financial condition, business, prospects, or corporate affairs of the Company as any Major Investor may from time to time reasonably request, </w:t>
      </w:r>
      <w:r>
        <w:rPr>
          <w:rFonts w:ascii="Times New Roman" w:hAnsi="Times New Roman"/>
          <w:i/>
          <w:sz w:val="20"/>
        </w:rPr>
        <w:t>provided</w:t>
      </w:r>
      <w:r>
        <w:rPr>
          <w:rFonts w:ascii="Times New Roman" w:hAnsi="Times New Roman"/>
          <w:sz w:val="20"/>
        </w:rPr>
        <w:t xml:space="preserve"> that the Company shall not be obligated to provide information that it reasonably determines to be competitively sensitive or subject to confidentiality obligations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 All financial statements and other information to be delivered to a Major Investor pursuant to this Section 3.1 shall be furnished in a form and manner reasonably acceptable to such Major Investor (including to any particular email address or site specified by a Major Investor). If reasonably requested by a Major Investor, the Company shall provide the information required by, or reasonably requested pursuant to, this Section 3.1 to such Major Investor by uploading the information to a portfolio management platform.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else in this Section 3.1 to the contrary, the Company may cease providing the information set forth in this Section 3.1 during the period starting with the date 60 days before the Company’s good-faith estimate of the date of filing of a registration statement if it reasonably concludes it must do so to comply with the SEC rules applicable to such registration statement and related offering; </w:t>
      </w:r>
      <w:r>
        <w:rPr>
          <w:rFonts w:ascii="Times New Roman" w:hAnsi="Times New Roman"/>
          <w:i/>
          <w:sz w:val="20"/>
        </w:rPr>
        <w:t>provided</w:t>
      </w:r>
      <w:r>
        <w:rPr>
          <w:rFonts w:ascii="Times New Roman" w:hAnsi="Times New Roman"/>
          <w:sz w:val="20"/>
        </w:rPr>
        <w:t xml:space="preserve"> that the Company’s covenants under this Section 3.1 shall be reinstated at such time as the Company is no longer actively employing its commercially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Inspection</w:t>
      </w:r>
      <w:r>
        <w:rPr>
          <w:rFonts w:ascii="Times New Roman" w:hAnsi="Times New Roman"/>
          <w:sz w:val="20"/>
        </w:rPr>
        <w:t>(a). The Company shall permit each Major Investor (</w:t>
      </w:r>
      <w:r>
        <w:rPr>
          <w:rFonts w:ascii="Times New Roman" w:hAnsi="Times New Roman"/>
          <w:i/>
          <w:sz w:val="20"/>
        </w:rPr>
        <w:t>provided</w:t>
      </w:r>
      <w:r>
        <w:rPr>
          <w:rFonts w:ascii="Times New Roman" w:hAnsi="Times New Roman"/>
          <w:sz w:val="20"/>
        </w:rPr>
        <w:t xml:space="preserve"> that the Board of Directors has not reasonably determined that such Major Investor is a Competitor),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in connection with monitoring or making decisions with respect to its investment in the Company; </w:t>
      </w:r>
      <w:r>
        <w:rPr>
          <w:rFonts w:ascii="Times New Roman" w:hAnsi="Times New Roman"/>
          <w:i/>
          <w:sz w:val="20"/>
        </w:rPr>
        <w:t>provided, however,</w:t>
      </w:r>
      <w:r>
        <w:rPr>
          <w:rFonts w:ascii="Times New Roman" w:hAnsi="Times New Roman"/>
          <w:sz w:val="20"/>
        </w:rPr>
        <w:t xml:space="preserve"> that the Company shall not be obligated pursuant to this Section 3.2 to (a) create any new information or materials or (b) provide access to any information that it reasonably and in good faith considers to be a trade secret or confidential information or the disclosure of which would adversely affect the attorney-client privilege between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Termination of Information Rights</w:t>
      </w:r>
      <w:r>
        <w:rPr>
          <w:rFonts w:ascii="Times New Roman" w:hAnsi="Times New Roman"/>
          <w:sz w:val="20"/>
        </w:rPr>
        <w:t xml:space="preserve">. The covenants set forth in Section 3.1 and Section 3.2 shall terminate and be of no further force or effect (i) immediately before the consummation of the IPO, Reverse Merger Transaction or Direct Listing, as applicable; (ii) with respect to any Investor that is or becomes a Sanctioned Party, for so long as such Investor is a Sanctioned Party; (iii) when the Company first becomes subject to the periodic reporting requirements of Section 12(g) or 15(d) of the Exchange Act; or (iv) upon the closing of a Deemed Liquidation Event, whichever event occurs first.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Confidentiality</w:t>
      </w:r>
      <w:r>
        <w:rPr>
          <w:rFonts w:ascii="Times New Roman" w:hAnsi="Times New Roman"/>
          <w:sz w:val="20"/>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(including notice of the Company’s intention to file a registration statement), unless such confidential information (a) is known or becomes known to the public in general (other than as a result of a breach of this Section 3.4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Times New Roman" w:hAnsi="Times New Roman"/>
          <w:i/>
          <w:sz w:val="20"/>
        </w:rPr>
        <w:t>provided, however,</w:t>
      </w:r>
      <w:r>
        <w:rPr>
          <w:rFonts w:ascii="Times New Roman" w:hAnsi="Times New Roman"/>
          <w:sz w:val="20"/>
        </w:rPr>
        <w:t xml:space="preserve"> that an Investor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Investor, if such prospective purchaser agrees to be bound by the provisions of this Section 3.4; (iii) to any Affiliate, partner, member, stockholder, or wholly owned subsidiary of such Investor in the ordinary course of business, </w:t>
      </w:r>
      <w:r>
        <w:rPr>
          <w:rFonts w:ascii="Times New Roman" w:hAnsi="Times New Roman"/>
          <w:i/>
          <w:sz w:val="20"/>
        </w:rPr>
        <w:t>provided</w:t>
      </w:r>
      <w:r>
        <w:rPr>
          <w:rFonts w:ascii="Times New Roman" w:hAnsi="Times New Roman"/>
          <w:sz w:val="20"/>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Times New Roman" w:hAnsi="Times New Roman"/>
          <w:i/>
          <w:sz w:val="20"/>
        </w:rPr>
        <w:t>provided</w:t>
      </w:r>
      <w:r>
        <w:rPr>
          <w:rFonts w:ascii="Times New Roman" w:hAnsi="Times New Roman"/>
          <w:sz w:val="20"/>
        </w:rPr>
        <w:t xml:space="preserve"> that such Investor promptly notifies the Company of such disclosure and takes reasonable steps to minimize the extent of any such required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Rights to Future Stock Issuances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Right of First Offer</w:t>
      </w:r>
      <w:r>
        <w:rPr>
          <w:rFonts w:ascii="Times New Roman" w:hAnsi="Times New Roman"/>
          <w:sz w:val="20"/>
        </w:rPr>
        <w:t>. Subject to the terms and conditions of this Section 4.1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Times New Roman" w:hAnsi="Times New Roman"/>
          <w:b/>
          <w:sz w:val="20"/>
        </w:rPr>
        <w:t>Investor Beneficial Owners</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that each such Affiliate or Investor Beneficial Owner (x) is not a Competitor or a FOIA Party, unless such party’s purchase of New Securities is otherwise consented to by the Board of Directors, and (y) enters into this Agreement, the Voting Agreement (as defined in the Purchase Agreements) and the Right of First Refusal and Co-Sale Agreement (as defined in the Purchase Agreements), as an “</w:t>
      </w:r>
      <w:r>
        <w:rPr>
          <w:rFonts w:ascii="Times New Roman" w:hAnsi="Times New Roman"/>
          <w:b/>
          <w:sz w:val="20"/>
        </w:rPr>
        <w:t>Investor</w:t>
      </w:r>
      <w:r>
        <w:rPr>
          <w:rFonts w:ascii="Times New Roman" w:hAnsi="Times New Roman"/>
          <w:sz w:val="20"/>
        </w:rPr>
        <w:t>” under each such agreement (</w:t>
      </w:r>
      <w:r>
        <w:rPr>
          <w:rFonts w:ascii="Times New Roman" w:hAnsi="Times New Roman"/>
          <w:i/>
          <w:sz w:val="20"/>
        </w:rPr>
        <w:t>provided</w:t>
      </w:r>
      <w:r>
        <w:rPr>
          <w:rFonts w:ascii="Times New Roman" w:hAnsi="Times New Roman"/>
          <w:sz w:val="20"/>
        </w:rPr>
        <w:t xml:space="preserve"> that any Competitor or FOIA Party shall not be entitled to any rights as a Major Investor under Sections 3.1, 3.2 and 4.1 hereof), and </w:t>
      </w:r>
      <w:r>
        <w:rPr>
          <w:rFonts w:ascii="Times New Roman" w:hAnsi="Times New Roman"/>
          <w:i/>
          <w:sz w:val="20"/>
        </w:rPr>
        <w:t>provided</w:t>
      </w:r>
      <w:r>
        <w:rPr>
          <w:rFonts w:ascii="Times New Roman" w:hAnsi="Times New Roman"/>
          <w:sz w:val="20"/>
        </w:rPr>
        <w:t xml:space="preserve"> that the Company shall not be obligated to offer or sell any New Securities to any person or entity that is a Sanctioned Party. </w:t>
      </w:r>
    </w:p>
    <w:p>
      <w:pPr>
        <w:pStyle w:val="TextBody"/>
        <w:bidi w:val="0"/>
        <w:spacing w:before="240" w:after="0"/>
        <w:jc w:val="left"/>
        <w:rPr>
          <w:rFonts w:ascii="Times New Roman" w:hAnsi="Times New Roman"/>
          <w:sz w:val="20"/>
        </w:rPr>
      </w:pPr>
      <w:r>
        <w:rPr>
          <w:rFonts w:ascii="Times New Roman" w:hAnsi="Times New Roman"/>
          <w:sz w:val="20"/>
        </w:rPr>
        <w:t>(a) The Company shall give notice (the “</w:t>
      </w:r>
      <w:r>
        <w:rPr>
          <w:rFonts w:ascii="Times New Roman" w:hAnsi="Times New Roman"/>
          <w:b/>
          <w:sz w:val="20"/>
        </w:rPr>
        <w:t>Offer Notice</w:t>
      </w:r>
      <w:r>
        <w:rPr>
          <w:rFonts w:ascii="Times New Roman" w:hAnsi="Times New Roman"/>
          <w:sz w:val="20"/>
        </w:rPr>
        <w:t xml:space="preserve">”) to each Major Investor, stating (i) its bona fide intention to offer such New Securities, (ii) the number of such New Securities to be offered, and (iii) the price and terms, if any, upon which it proposes to offer such New Securities. </w:t>
      </w:r>
    </w:p>
    <w:p>
      <w:pPr>
        <w:pStyle w:val="TextBody"/>
        <w:bidi w:val="0"/>
        <w:spacing w:before="240" w:after="0"/>
        <w:jc w:val="left"/>
        <w:rPr>
          <w:rFonts w:ascii="Times New Roman" w:hAnsi="Times New Roman"/>
          <w:sz w:val="20"/>
        </w:rPr>
      </w:pPr>
      <w:r>
        <w:rPr>
          <w:rFonts w:ascii="Times New Roman" w:hAnsi="Times New Roman"/>
          <w:sz w:val="20"/>
        </w:rPr>
        <w:t>(b) By notification to the Company within 20 days after the Offer Notice is given, each Major Investor may elect to purchase or otherwise acquire, at the price and on the terms specified in the Offer Notice, up to that portion of such New Securities which equals the proportion that (x) the Common Stock then held by such Major Investor (including all shares of Common Stock then issuable (directly or indirectly) upon conversion and/or exercise, as applicable, of the Preferred Stock and any other Derivative Securities then held by such Major Investor) bears to (y) the total Common Stock of the Company then outstanding (assuming full conversion and/or exercise, as applicable, of all Preferred Stock and any other Derivative Securities then outstanding). At the expiration of such 20-day period, the Company shall promptly notify each Major Investor that elects to purchase or acquire all the shares available to it (each, a “</w:t>
      </w:r>
      <w:r>
        <w:rPr>
          <w:rFonts w:ascii="Times New Roman" w:hAnsi="Times New Roman"/>
          <w:b/>
          <w:sz w:val="20"/>
        </w:rPr>
        <w:t>Fully Exercising Investor</w:t>
      </w:r>
      <w:r>
        <w:rPr>
          <w:rFonts w:ascii="Times New Roman" w:hAnsi="Times New Roman"/>
          <w:sz w:val="20"/>
        </w:rPr>
        <w:t xml:space="preserve">”) of any other Major Investor’s failure to do likewise. During the ten-day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Section 4.1(b) shall occur within the later of 90 days of the date that the Offer Notice is given and the date of initial sale of New Securities pursuant to Section 4.1(c).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If all New Securities referred to in the Offer Notice are not elected to be purchased or acquired as provided in Section 4.1(b), the Company may, during the 90 day period following the expiration of the periods provided in Section 4.1(b),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30 days of the execution thereof, the right provided hereunder shall be deemed to be revived and such New Securities shall not be offered unless first reoffered to the Major Investors in accordance with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(d) The right of first offer in this Section 4.1 shall not be applicable to (i) Exempted Securities (as defined in the Certificate of Incorporation); (ii) shares of Common Stock issued in the IPO; and (iii) the issuance of shares of Preferred Stock pursuant to the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provision hereof to the contrary, in lieu of complying with the provisions of this Section 4.1, the Company may elect to give notice to the Major Investors within 30 days after the issuance of New Securities. Such notice shall describe the type, price, and terms of the New Securities. Each Major Investor shall have 20 days from the date notice is given to elect to purchase up to the number of New Securities that would, if purchased by such Major Investor, maintain such Major Investor’s percentage ownership position, calculated as set forth in Section 4.1(b) before giving effect to the issuance of such New Securities.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Termination</w:t>
      </w:r>
      <w:r>
        <w:rPr>
          <w:rFonts w:ascii="Times New Roman" w:hAnsi="Times New Roman"/>
          <w:sz w:val="20"/>
        </w:rPr>
        <w:t xml:space="preserve">. The covenants set forth in Section 4.1 shall terminate and be of no further force or effect (i) immediately before the consummation of the IPO, Reverse Merger Transaction or Direct Listing, as applicable; or (ii) upon the closing of a Deemed Liquidation Event, whichever event occurs first.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Employee Agreements</w:t>
      </w:r>
      <w:r>
        <w:rPr>
          <w:rFonts w:ascii="Times New Roman" w:hAnsi="Times New Roman"/>
          <w:sz w:val="20"/>
        </w:rPr>
        <w:t xml:space="preserve">. Unless otherwise approved by the Board of Directors, including the Requisite Preferred Director Vote, the Company (a)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(b) shall not amend, modify, terminate, waive, or otherwise alter, in whole or in part, any of the above-referenced agreements or any restricted stock agreement between the Company and any employee.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Board Attendance Expenses</w:t>
      </w:r>
      <w:r>
        <w:rPr>
          <w:rFonts w:ascii="Times New Roman" w:hAnsi="Times New Roman"/>
          <w:sz w:val="20"/>
        </w:rPr>
        <w:t xml:space="preserve">. The Company shall reimburse the directors, and each observer to the Board of Directors designated pursuant to the Voting Agreement (as defined in the Purchase Agreements), for all reasonable out-of-pocket travel expenses incurred (consistent with the Company’s travel policy, if applicable) in connection with attending meetings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Successor Indemnification</w:t>
      </w:r>
      <w:r>
        <w:rPr>
          <w:rFonts w:ascii="Times New Roman" w:hAnsi="Times New Roman"/>
          <w:sz w:val="20"/>
        </w:rPr>
        <w:t xml:space="preserve">.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Expenses of Counsel in an IPO, Reverse Merger Transaction or Direct Listing</w:t>
      </w:r>
      <w:r>
        <w:rPr>
          <w:rFonts w:ascii="Times New Roman" w:hAnsi="Times New Roman"/>
          <w:sz w:val="20"/>
        </w:rPr>
        <w:t>. In the event of an IPO, Reverse Merger Transaction or Direct Listing, as applicable (each, a “</w:t>
      </w:r>
      <w:r>
        <w:rPr>
          <w:rFonts w:ascii="Times New Roman" w:hAnsi="Times New Roman"/>
          <w:b/>
          <w:sz w:val="20"/>
        </w:rPr>
        <w:t>Reimbursed Transaction</w:t>
      </w:r>
      <w:r>
        <w:rPr>
          <w:rFonts w:ascii="Times New Roman" w:hAnsi="Times New Roman"/>
          <w:sz w:val="20"/>
        </w:rPr>
        <w:t xml:space="preserve">”), the reasonable fees and disbursements of (a) one counsel for RTW and RA and one counsel for Decheng up to an aggregate of $15,000, in each case, incurred in connection with such Reimbursed Transaction and solely in their capacities as stockholders, shall be borne and paid by the Company for each Reimbursed Transaction.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rPr>
        <w:t>Indemnification Matters</w:t>
      </w:r>
      <w:r>
        <w:rPr>
          <w:rFonts w:ascii="Times New Roman" w:hAnsi="Times New Roman"/>
          <w:sz w:val="20"/>
        </w:rPr>
        <w:t>. The Company hereby acknowledges that one or more of the directors affiliated with one or more Investors (“</w:t>
      </w:r>
      <w:r>
        <w:rPr>
          <w:rFonts w:ascii="Times New Roman" w:hAnsi="Times New Roman"/>
          <w:b/>
          <w:sz w:val="20"/>
        </w:rPr>
        <w:t>Investor Directors</w:t>
      </w:r>
      <w:r>
        <w:rPr>
          <w:rFonts w:ascii="Times New Roman" w:hAnsi="Times New Roman"/>
          <w:sz w:val="20"/>
        </w:rPr>
        <w:t>”) may have certain rights to indemnification, advancement of expenses and/or insurance provided by one or more of the Investors and certain of their Affiliates (collectively, the “</w:t>
      </w:r>
      <w:r>
        <w:rPr>
          <w:rFonts w:ascii="Times New Roman" w:hAnsi="Times New Roman"/>
          <w:b/>
          <w:sz w:val="20"/>
        </w:rPr>
        <w:t>Investor Indemnitors</w:t>
      </w:r>
      <w:r>
        <w:rPr>
          <w:rFonts w:ascii="Times New Roman" w:hAnsi="Times New Roman"/>
          <w:sz w:val="20"/>
        </w:rPr>
        <w:t>”). The Company hereby agrees (a) that it is the indemnitor of first resort (</w:t>
      </w:r>
      <w:r>
        <w:rPr>
          <w:rFonts w:ascii="Times New Roman" w:hAnsi="Times New Roman"/>
          <w:i/>
          <w:sz w:val="20"/>
        </w:rPr>
        <w:t>i.e.</w:t>
      </w:r>
      <w:r>
        <w:rPr>
          <w:rFonts w:ascii="Times New Roman" w:hAnsi="Times New Roman"/>
          <w:sz w:val="20"/>
        </w:rPr>
        <w:t xml:space="preserve">,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Section 5.6 and shall have the right, power and authority to enforce the provisions of this Section 5.6 as though they were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b/>
          <w:sz w:val="20"/>
        </w:rPr>
        <w:t>Right to Conduct Activities</w:t>
      </w:r>
      <w:r>
        <w:rPr>
          <w:rFonts w:ascii="Times New Roman" w:hAnsi="Times New Roman"/>
          <w:sz w:val="20"/>
        </w:rPr>
        <w:t>. The Company hereby agrees and acknowledges that each Investor that is a venture capital fund or other investment fund (together with its Affiliates) (each, a “</w:t>
      </w:r>
      <w:r>
        <w:rPr>
          <w:rFonts w:ascii="Times New Roman" w:hAnsi="Times New Roman"/>
          <w:b/>
          <w:sz w:val="20"/>
        </w:rPr>
        <w:t>Professional Investment Organization</w:t>
      </w:r>
      <w:r>
        <w:rPr>
          <w:rFonts w:ascii="Times New Roman" w:hAnsi="Times New Roman"/>
          <w:sz w:val="20"/>
        </w:rPr>
        <w:t xml:space="preserve">”, which, for the avoidance of doubt, includes all Investors party to this Agreement as of the date of this Agreement, including, for the avoidance of doubt, RTW, RA Capital, Vivo, Decheng, Qiming, and each of their respective Affiliates) is a professional investment organization, and as such reviews the business plans and related proprietary information of many enterprises, some of which may compete directly or indirectly with the Company’s business (as currently conducted or as currently proposed to be conducted). Nothing in this Agreement shall preclude or in any way restrict the Professional Investment Organization from evaluating or purchasing securities, including publicly traded securities, of a particular enterprise, or investing or participating in any particular enterprise whether or not such enterprise has products or services that compete with those of the Company; and the Company hereby agrees that, to the extent permitted under applicable law, no Professional Investment Organization shall be liable to the Company for any claim arising out of, or based upon, (i) the investment by such Professional Investment Organization in any entity competitive with the Company, or (ii) actions taken by any partner, officer, employee or other representative of such Professional Investment Organization to assist any such competitive company, whether or not such action was taken as a member of the board of directors of such competitive company or otherwise, and whether or not such action has a detrimental effect on the Company;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foregoing shall not contravene the confidentiality obligations in Section 3.4 or otherwise in this Agreement or relieve any director or officer of the Company from any liability associated with such person’s fiduciary duties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b/>
          <w:sz w:val="20"/>
        </w:rPr>
        <w:t>Insurance</w:t>
      </w:r>
      <w:r>
        <w:rPr>
          <w:rFonts w:ascii="Times New Roman" w:hAnsi="Times New Roman"/>
          <w:sz w:val="20"/>
        </w:rPr>
        <w:t xml:space="preserve">. The Company shall obtain, within 90 days of the date hereof, from financially sound and reputable insurers, Directors and Officers liability insurance, with a coverage limit in an amount approved by the Board of Directors and as necessary to fulfill its obligations herein and under any other agreement of the Company (including the Company’s Bylaws and any indemnification agreement of the Company), and on terms and conditions approved by the Board of Directors, including the Requisite Preferred Director Vote, and will use commercially reasonable efforts to cause such insurance policies to be maintained until such time as the Board of Directors, including the Requisite Preferred Director Vote determines that such insurance should be discontinued.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rPr>
        <w:t>Subsidiary Governance</w:t>
      </w:r>
      <w:r>
        <w:rPr>
          <w:rFonts w:ascii="Times New Roman" w:hAnsi="Times New Roman"/>
          <w:sz w:val="20"/>
        </w:rPr>
        <w:t xml:space="preserve">. The Company shall not permit any subsidiary of the Company to take any action without the approval of the Board of Directors of the Company to the extent approval of the Board of Directors of the Company would be required in the event such action was to be taken by the Company itself, including the requisite groups of directors whose approval would be required in the event such action was to be taken by the Company itself.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b/>
          <w:sz w:val="20"/>
        </w:rPr>
        <w:t>Side Letters</w:t>
      </w:r>
      <w:r>
        <w:rPr>
          <w:rFonts w:ascii="Times New Roman" w:hAnsi="Times New Roman"/>
          <w:sz w:val="20"/>
        </w:rPr>
        <w:t xml:space="preserve">. The Company shall make available to all Major Investors any side letters or separate agreements entered into with any Investor in connection with any future debt or equity financing, promptly following execution thereof.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rPr>
        <w:t>Termination of Covenants</w:t>
      </w:r>
      <w:r>
        <w:rPr>
          <w:rFonts w:ascii="Times New Roman" w:hAnsi="Times New Roman"/>
          <w:sz w:val="20"/>
        </w:rPr>
        <w:t xml:space="preserve">. The covenants set forth in this Section 5, except for Sections 5.4, 5.5 and 5.6, shall terminate and be of no further force or effect (i) immediately before the consummation of the IPO, Reverse Merger Transaction or Direct Listing, as applicable; (ii) upon a Deemed Liquidation Event; or (iii) with respect to any obligation to an Investor that is or becomes a Sanctioned Party, for so long as such Holder is a Sanctioned Party.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Successors and Assigns</w:t>
      </w:r>
      <w:r>
        <w:rPr>
          <w:rFonts w:ascii="Times New Roman" w:hAnsi="Times New Roman"/>
          <w:sz w:val="20"/>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together with its Affiliates, would be a Major Investor; </w:t>
      </w:r>
      <w:r>
        <w:rPr>
          <w:rFonts w:ascii="Times New Roman" w:hAnsi="Times New Roman"/>
          <w:i/>
          <w:sz w:val="20"/>
        </w:rPr>
        <w:t>provided, however,</w:t>
      </w:r>
      <w:r>
        <w:rPr>
          <w:rFonts w:ascii="Times New Roman" w:hAnsi="Times New Roman"/>
          <w:sz w:val="20"/>
        </w:rPr>
        <w:t xml:space="preserve"> that (x) the Company is, within a reasonable time after such transfer, furnished with written notice of the name and address of such transferee and the Registrable Securities with respect to which such rights are being transferred; (y) such transferee agrees in a written instrument delivered to the Company to be bound by and subject to the terms and conditions of this Agreement, including the provisions of Section 2.11; and (z) such assignee is not a Sanctioned Party.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hAnsi="Times New Roman"/>
          <w:i/>
          <w:sz w:val="20"/>
        </w:rPr>
        <w:t>provided further</w:t>
      </w:r>
      <w:r>
        <w:rPr>
          <w:rFonts w:ascii="Times New Roman" w:hAnsi="Times New Roman"/>
          <w:sz w:val="20"/>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Governing Law</w:t>
      </w:r>
      <w:r>
        <w:rPr>
          <w:rFonts w:ascii="Times New Roman" w:hAnsi="Times New Roman"/>
          <w:sz w:val="20"/>
        </w:rPr>
        <w:t xml:space="preserve">. This Agreement shall be governed by the internal law of the State of Delaware, without regard to conflict of law principles that would result in the application of any law other than the law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hAnsi="Times New Roman"/>
          <w:i/>
          <w:sz w:val="20"/>
        </w:rPr>
        <w:t>e.g.</w:t>
      </w:r>
      <w:r>
        <w:rPr>
          <w:rFonts w:ascii="Times New Roman" w:hAnsi="Times New Roman"/>
          <w:sz w:val="20"/>
        </w:rPr>
        <w:t>, www.docusign.com) or other transmission method and any counterpart so delivered shall be deemed to have been duly and validly delivered and be valid and effective for all purposes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Titles and Subtitles</w:t>
      </w:r>
      <w:r>
        <w:rPr>
          <w:rFonts w:ascii="Times New Roman" w:hAnsi="Times New Roman"/>
          <w:sz w:val="20"/>
        </w:rPr>
        <w:t xml:space="preserve">. The titles and subtitles used in this Agreement are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days after having been sent by registered or certified mail, return receipt requested, postage prepaid; or (iv) one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or </w:t>
      </w:r>
      <w:r>
        <w:rPr>
          <w:rFonts w:ascii="Times New Roman" w:hAnsi="Times New Roman"/>
          <w:b/>
          <w:sz w:val="20"/>
        </w:rPr>
        <w:t>Schedule</w:t>
      </w:r>
      <w:r>
        <w:rPr>
          <w:rFonts w:ascii="Times New Roman" w:hAnsi="Times New Roman"/>
          <w:sz w:val="20"/>
        </w:rPr>
        <w:t> </w:t>
      </w:r>
      <w:r>
        <w:rPr>
          <w:rFonts w:ascii="Times New Roman" w:hAnsi="Times New Roman"/>
          <w:b/>
          <w:sz w:val="20"/>
        </w:rPr>
        <w:t xml:space="preserve">B </w:t>
      </w:r>
      <w:r>
        <w:rPr>
          <w:rFonts w:ascii="Times New Roman" w:hAnsi="Times New Roman"/>
          <w:sz w:val="20"/>
        </w:rPr>
        <w:t xml:space="preserve">hereto, or (as to the Company) to the address set forth on the signature page hereto, or, in any case, to such email address or address as subsequently modified by written notice given in accordance with this Section 6.5. If notice is given to the Company, a copy (which copy shall not constitute notice) shall also be sent to Gibson, Dunn &amp; Crutcher LLP, One Embarcadero Center, Suite 2600, San Francisco, CA 94111; Attention: Ryan Murr; [***], and if notice is given to any Investor, a copy (which copy shall not constitute notice) shall also be given to any “cc” address noted on </w:t>
      </w:r>
      <w:r>
        <w:rPr>
          <w:rFonts w:ascii="Times New Roman" w:hAnsi="Times New Roman"/>
          <w:sz w:val="20"/>
          <w:u w:val="single"/>
        </w:rPr>
        <w:t>Schedule A</w:t>
      </w:r>
      <w:r>
        <w:rPr>
          <w:rFonts w:ascii="Times New Roman" w:hAnsi="Times New Roman"/>
          <w:sz w:val="20"/>
        </w:rPr>
        <w:t xml:space="preserve"> for such Investor.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Consent to Electronic Notice</w:t>
      </w:r>
      <w:r>
        <w:rPr>
          <w:rFonts w:ascii="Times New Roman" w:hAnsi="Times New Roman"/>
          <w:sz w:val="20"/>
        </w:rPr>
        <w:t>. Each party to this Agreement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mail pursuant to Section 232 of the DGCL (or any successor thereto) at the electronic mail address set forth below such party’s name on the Schedules hereto, as updated from time to time by notice to the Company, or as on the books of the Company. To the extent that any notice given by means of electronic mail is returned or undeliverable for any reason, the foregoing consent shall be deemed to have been revoked until a new or corrected electronic mail address has been provided, and such attempted electronic notice shall be ineffective and deemed to not have been given. Each party to this Agreement agrees to promptly notify the Company of any change in such stockholder’s electronic 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b/>
          <w:sz w:val="20"/>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term of this Agreement may be amended, modified or terminated and the observance of any term of this Agreement may be waived (either generally or in a particular instance, and either retroactively or prospectively) only with the written consent of the Company and the Requisite Holders; </w:t>
      </w:r>
      <w:r>
        <w:rPr>
          <w:rFonts w:ascii="Times New Roman" w:hAnsi="Times New Roman"/>
          <w:i/>
          <w:sz w:val="20"/>
        </w:rPr>
        <w:t>provided</w:t>
      </w:r>
      <w:r>
        <w:rPr>
          <w:rFonts w:ascii="Times New Roman" w:hAnsi="Times New Roman"/>
          <w:sz w:val="20"/>
        </w:rPr>
        <w:t xml:space="preserve"> that the Company may in its sole discretion waive compliance with Section 2.12(c) (and the Company’s failure to object promptly in writing after notification of a proposed assignment allegedly in violation of Section 2.12(c) shall be deemed to be a waiver); and </w:t>
      </w:r>
      <w:r>
        <w:rPr>
          <w:rFonts w:ascii="Times New Roman" w:hAnsi="Times New Roman"/>
          <w:i/>
          <w:sz w:val="20"/>
        </w:rPr>
        <w:t>provided further</w:t>
      </w:r>
      <w:r>
        <w:rPr>
          <w:rFonts w:ascii="Times New Roman" w:hAnsi="Times New Roman"/>
          <w:sz w:val="20"/>
        </w:rPr>
        <w:t xml:space="preserve"> that any provision hereof may be waived by any waiving party on such party’s own behalf, without the consent of any other party. For the avoidance of doubt, Registrable Securities do not include any shares held by a person or entity that is a Sanctioned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in this Agreement to the contrary, (i)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Section 4 with respect to a particular transaction shall be deemed to apply to all Investors in the same fashion if such waiver does so by its terms, notwithstanding the fact that certain Investors may nonetheless, by agreement with the Company, purchase securities in such transaction; </w:t>
      </w:r>
      <w:r>
        <w:rPr>
          <w:rFonts w:ascii="Times New Roman" w:hAnsi="Times New Roman"/>
          <w:i/>
          <w:sz w:val="20"/>
        </w:rPr>
        <w:t>provided</w:t>
      </w:r>
      <w:r>
        <w:rPr>
          <w:rFonts w:ascii="Times New Roman" w:hAnsi="Times New Roman"/>
          <w:sz w:val="20"/>
        </w:rPr>
        <w:t>, however, if, after giving effect to any waiver of Section 4.1 or any provision pertaining to Section 4.1 with respect to a particular transaction, a waiving Major Investor in fact purchases New Securities in such transaction (such Major Investor, a “</w:t>
      </w:r>
      <w:r>
        <w:rPr>
          <w:rFonts w:ascii="Times New Roman" w:hAnsi="Times New Roman"/>
          <w:b/>
          <w:sz w:val="20"/>
        </w:rPr>
        <w:t>Participating Investor</w:t>
      </w:r>
      <w:r>
        <w:rPr>
          <w:rFonts w:ascii="Times New Roman" w:hAnsi="Times New Roman"/>
          <w:sz w:val="20"/>
        </w:rPr>
        <w:t xml:space="preserve">”), the aforementioned waiver shall be deemed to apply to any Major Investor only if that Major Investor has been provided the opportunity to purchase a proportional number of the New Securities in such transaction based on the pro rata purchase right of each Major Investor set forth in Section 4.1, assuming a transaction size determined based upon the amount purchased by the Participating Investor that invested the largest percentage in such transaction), </w:t>
      </w:r>
      <w:r>
        <w:rPr>
          <w:rFonts w:ascii="Times New Roman" w:hAnsi="Times New Roman"/>
          <w:i/>
          <w:sz w:val="20"/>
        </w:rPr>
        <w:t>provided</w:t>
      </w:r>
      <w:r>
        <w:rPr>
          <w:rFonts w:ascii="Times New Roman" w:hAnsi="Times New Roman"/>
          <w:sz w:val="20"/>
        </w:rPr>
        <w:t xml:space="preserve">, that the Company may in its sole discretion waive compliance with any provision of this Agreement if observance of the terms would cause the Company or any Investor to be in violation of applicable Sanctions; (ii) Sections 3.1, 3.2 and 4 and any other section of this Agreement applicable to the Major Investors (including this clause (ii) of this Section 6.6(b)) may be amended, modified, terminated or waived with only (and only with) the written consent of the Company and the holders of a majority of the Registrable Securities then outstanding that are issued or issuable upon conversion of shares of Preferred Stock and held by the Major Investors, which such majority must include each of RTW and RA Capital; (iii) no provision that names a specific Investor by name (nor this Section 6.6(b)(iii) with respect to such Investor) may be amended or waived with respect to, or terminated pursuant to this Section 6.6 relative to, such Investor without such Investor’s written consent; (iv) this Agreement may not be amended, modified or terminated, and no provision hereof may be waived, in each case, in any way which would adversely affect the rights of the Key Holders hereunder in a manner disproportionate to any adverse effect such amendment, modification, termination or waiver would have on the rights of the Investors hereunder, without also the written consent of the holders of a majority of the Registrable Securities held by the Key Holders; and (v) a holder whose shares have been converted pursuant to a Special Mandatory Conversion shall cease to be an Investor and a Major Investor with respect to such shares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Further notwithstanding anything in this Agreement to the contrary,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may be amended by the Company from time to time to add transferees of any Registrable Securities in compliance with the terms of this Agreement without the consent of the other parties; and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may also be amended by the Company after the date of this Agreement without the consent of the other parties to add information regarding any additional Investor who becomes a party to this Agreement in accordance with Section 6.9.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give prompt written notice of any amendment, modification or termination hereof or waiver hereunder to any party hereto whose rights and/or obligations were affected by such amendment, modification, termination, or waiver and that did not consent in writing to such amendment, modification, termination, or waiver; provided that the failure to provide such notice shall not invalidate any amendment, modification, termination or waiver in accordance with this Section 6.6. </w:t>
      </w:r>
    </w:p>
    <w:p>
      <w:pPr>
        <w:pStyle w:val="TextBody"/>
        <w:bidi w:val="0"/>
        <w:spacing w:before="240" w:after="0"/>
        <w:jc w:val="left"/>
        <w:rPr>
          <w:rFonts w:ascii="Times New Roman" w:hAnsi="Times New Roman"/>
          <w:sz w:val="20"/>
        </w:rPr>
      </w:pPr>
      <w:r>
        <w:rPr>
          <w:rFonts w:ascii="Times New Roman" w:hAnsi="Times New Roman"/>
          <w:sz w:val="20"/>
        </w:rPr>
        <w:t xml:space="preserve">(e) Any amendment, modification, termination, or waiver effected in accordance with this Section 6.6 shall be binding on all parties hereto, regardless of whether any such party has consented thereto or received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 No waivers of or exceptions to any term, condition, or provision of this Agreement, in any one or more instances, shall be deemed to be or construed as a further or continuing waiver of any such term, condition, or provision.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b/>
          <w:sz w:val="20"/>
        </w:rPr>
        <w:t>Severability</w:t>
      </w:r>
      <w:r>
        <w:rPr>
          <w:rFonts w:ascii="Times New Roman" w:hAnsi="Times New Roman"/>
          <w:sz w:val="20"/>
        </w:rPr>
        <w:t xml:space="preserve">. In case any provision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b/>
          <w:sz w:val="20"/>
        </w:rPr>
        <w:t>Aggregation of Stock; Apportionment</w:t>
      </w:r>
      <w:r>
        <w:rPr>
          <w:rFonts w:ascii="Times New Roman" w:hAnsi="Times New Roman"/>
          <w:sz w:val="20"/>
        </w:rPr>
        <w:t xml:space="preserve">.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b/>
          <w:sz w:val="20"/>
        </w:rPr>
        <w:t>Additional Investors</w:t>
      </w:r>
      <w:r>
        <w:rPr>
          <w:rFonts w:ascii="Times New Roman" w:hAnsi="Times New Roman"/>
          <w:sz w:val="20"/>
        </w:rPr>
        <w:t xml:space="preserve">. Notwithstanding anything to the contrary contained herein, if the Company issues additional shares of Preferred Stock after the date hereof, any purchaser of such shares of Preferred Stock may become a party to this Agreement by executing and delivering a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b/>
          <w:sz w:val="20"/>
        </w:rPr>
        <w:t>Entire Agreement</w:t>
      </w:r>
      <w:r>
        <w:rPr>
          <w:rFonts w:ascii="Times New Roman" w:hAnsi="Times New Roman"/>
          <w:sz w:val="20"/>
        </w:rPr>
        <w:t xml:space="preserve">. This Agreement (including the Exhibits and the Schedules hereto) together with the other Transaction Agreements (as defined in the Purchase Agreements) constitute the full and entire understanding and agreement among the parties with respect to the subject matter hereof, and any other written or oral agreement relating to the subject matter hereof existing between or among any of the parties is expressly canceled.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b/>
          <w:sz w:val="20"/>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 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(ii) agree not to commence any suit, action or other proceeding arising out of or based upon this Agreement except in the state courts of the State of Delaware or the United States District Court for the District of Delaware, and (iii)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Each of the parties to this Agreement consents to personal jurisdiction for any equitable action sought in the U.S. District Court for the District of Delaware or any court of the State of Delaware having subject matter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b/>
          <w:sz w:val="20"/>
        </w:rPr>
        <w:t>Costs of Enforcement</w:t>
      </w:r>
      <w:r>
        <w:rPr>
          <w:rFonts w:ascii="Times New Roman" w:hAnsi="Times New Roman"/>
          <w:sz w:val="20"/>
        </w:rPr>
        <w:t xml:space="preserve">. Each party will bear its own costs in respect of any disputes arising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b/>
          <w:sz w:val="20"/>
        </w:rPr>
        <w:t>Delays or Omissions</w:t>
      </w:r>
      <w:r>
        <w:rPr>
          <w:rFonts w:ascii="Times New Roman" w:hAnsi="Times New Roman"/>
          <w:sz w:val="20"/>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SERAPHA BIO, INC.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4082" w:type="dxa"/>
            <w:gridSpan w:val="3"/>
            <w:tcBorders/>
          </w:tcPr>
          <w:p>
            <w:pPr>
              <w:pStyle w:val="TableContents"/>
              <w:bidi w:val="0"/>
              <w:spacing w:before="0" w:after="283"/>
              <w:jc w:val="left"/>
              <w:rPr/>
            </w:pPr>
            <w:r>
              <w:rPr/>
              <w:t>Name: Alice Lee</w:t>
            </w:r>
          </w:p>
        </w:tc>
      </w:tr>
      <w:tr>
        <w:trPr/>
        <w:tc>
          <w:tcPr>
            <w:tcW w:w="4082" w:type="dxa"/>
            <w:gridSpan w:val="3"/>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w:t>
            </w:r>
          </w:p>
          <w:p>
            <w:pPr>
              <w:pStyle w:val="TableContents"/>
              <w:bidi w:val="0"/>
              <w:spacing w:before="0" w:after="0"/>
              <w:jc w:val="left"/>
              <w:rPr>
                <w:rFonts w:ascii="Times New Roman" w:hAnsi="Times New Roman"/>
                <w:sz w:val="20"/>
              </w:rPr>
            </w:pPr>
            <w:r>
              <w:rPr>
                <w:rFonts w:ascii="Times New Roman" w:hAnsi="Times New Roman"/>
                <w:sz w:val="20"/>
              </w:rPr>
              <w:t>40 10th Avenue, Floor 7</w:t>
            </w:r>
          </w:p>
          <w:p>
            <w:pPr>
              <w:pStyle w:val="TableContents"/>
              <w:bidi w:val="0"/>
              <w:spacing w:before="0" w:after="20"/>
              <w:jc w:val="left"/>
              <w:rPr>
                <w:rFonts w:ascii="Times New Roman" w:hAnsi="Times New Roman"/>
                <w:sz w:val="20"/>
              </w:rPr>
            </w:pPr>
            <w:r>
              <w:rPr>
                <w:rFonts w:ascii="Times New Roman" w:hAnsi="Times New Roman"/>
                <w:sz w:val="20"/>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5"/>
        <w:gridCol w:w="60"/>
        <w:gridCol w:w="3137"/>
      </w:tblGrid>
      <w:tr>
        <w:trPr/>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KEY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HOLDINGS X, LLC</w:t>
            </w:r>
          </w:p>
        </w:tc>
      </w:tr>
      <w:tr>
        <w:trPr/>
        <w:tc>
          <w:tcPr>
            <w:tcW w:w="4082" w:type="dxa"/>
            <w:gridSpan w:val="3"/>
            <w:tcBorders/>
            <w:vAlign w:val="bottom"/>
          </w:tcPr>
          <w:p>
            <w:pPr>
              <w:pStyle w:val="TableContents"/>
              <w:bidi w:val="0"/>
              <w:spacing w:before="0" w:after="283"/>
              <w:jc w:val="left"/>
              <w:rPr/>
            </w:pPr>
            <w:r>
              <w:rPr/>
              <w:t>By: RTW Fund Group GP, LLC</w:t>
            </w:r>
          </w:p>
        </w:tc>
      </w:tr>
      <w:tr>
        <w:trPr/>
        <w:tc>
          <w:tcPr>
            <w:tcW w:w="4082" w:type="dxa"/>
            <w:gridSpan w:val="3"/>
            <w:tcBorders/>
            <w:vAlign w:val="bottom"/>
          </w:tcPr>
          <w:p>
            <w:pPr>
              <w:pStyle w:val="TableContents"/>
              <w:bidi w:val="0"/>
              <w:spacing w:before="0" w:after="283"/>
              <w:jc w:val="left"/>
              <w:rPr/>
            </w:pPr>
            <w:r>
              <w:rPr/>
              <w:t>Its: Manager</w:t>
            </w:r>
          </w:p>
        </w:tc>
      </w:tr>
      <w:tr>
        <w:trPr>
          <w:trHeight w:val="240" w:hRule="atLeast"/>
        </w:trPr>
        <w:tc>
          <w:tcPr>
            <w:tcW w:w="885" w:type="dxa"/>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37" w:type="dxa"/>
            <w:tcBorders>
              <w:bottom w:val="single" w:sz="2" w:space="0" w:color="000000"/>
            </w:tcBorders>
            <w:tcMar>
              <w:bottom w:w="28" w:type="dxa"/>
            </w:tcMar>
          </w:tcPr>
          <w:p>
            <w:pPr>
              <w:pStyle w:val="TableContents"/>
              <w:bidi w:val="0"/>
              <w:spacing w:before="0" w:after="283"/>
              <w:jc w:val="left"/>
              <w:rPr/>
            </w:pPr>
            <w:r>
              <w:rPr/>
              <w:t>/s/ Roderick Wong, M.D.</w:t>
            </w:r>
          </w:p>
        </w:tc>
      </w:tr>
      <w:tr>
        <w:trPr/>
        <w:tc>
          <w:tcPr>
            <w:tcW w:w="8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Roderick Wong, M.D.</w:t>
            </w:r>
          </w:p>
        </w:tc>
      </w:tr>
      <w:tr>
        <w:trPr/>
        <w:tc>
          <w:tcPr>
            <w:tcW w:w="8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Managing Member</w:t>
            </w:r>
          </w:p>
        </w:tc>
      </w:tr>
      <w:tr>
        <w:trPr/>
        <w:tc>
          <w:tcPr>
            <w:tcW w:w="885"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c/o RTW Investments, LP</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40 10th Avenue, Floor 7</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 Branden Berns</w:t>
            </w:r>
          </w:p>
        </w:tc>
      </w:tr>
      <w:tr>
        <w:trPr/>
        <w:tc>
          <w:tcPr>
            <w:tcW w:w="4082" w:type="dxa"/>
            <w:gridSpan w:val="3"/>
            <w:tcBorders/>
            <w:vAlign w:val="bottom"/>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5"/>
        <w:gridCol w:w="60"/>
        <w:gridCol w:w="3137"/>
      </w:tblGrid>
      <w:tr>
        <w:trPr/>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HOLDINGS X, LLC</w:t>
            </w:r>
          </w:p>
        </w:tc>
      </w:tr>
      <w:tr>
        <w:trPr/>
        <w:tc>
          <w:tcPr>
            <w:tcW w:w="4082" w:type="dxa"/>
            <w:gridSpan w:val="3"/>
            <w:tcBorders/>
            <w:vAlign w:val="bottom"/>
          </w:tcPr>
          <w:p>
            <w:pPr>
              <w:pStyle w:val="TableContents"/>
              <w:bidi w:val="0"/>
              <w:spacing w:before="0" w:after="283"/>
              <w:jc w:val="left"/>
              <w:rPr/>
            </w:pPr>
            <w:r>
              <w:rPr/>
              <w:t>By: RTW Fund Group GP, LLC</w:t>
            </w:r>
          </w:p>
        </w:tc>
      </w:tr>
      <w:tr>
        <w:trPr/>
        <w:tc>
          <w:tcPr>
            <w:tcW w:w="4082" w:type="dxa"/>
            <w:gridSpan w:val="3"/>
            <w:tcBorders/>
            <w:vAlign w:val="bottom"/>
          </w:tcPr>
          <w:p>
            <w:pPr>
              <w:pStyle w:val="TableContents"/>
              <w:bidi w:val="0"/>
              <w:spacing w:before="0" w:after="283"/>
              <w:jc w:val="left"/>
              <w:rPr/>
            </w:pPr>
            <w:r>
              <w:rPr/>
              <w:t>Its: Manager</w:t>
            </w:r>
          </w:p>
        </w:tc>
      </w:tr>
      <w:tr>
        <w:trPr>
          <w:trHeight w:val="240" w:hRule="atLeast"/>
        </w:trPr>
        <w:tc>
          <w:tcPr>
            <w:tcW w:w="885" w:type="dxa"/>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37" w:type="dxa"/>
            <w:tcBorders>
              <w:bottom w:val="single" w:sz="2" w:space="0" w:color="000000"/>
            </w:tcBorders>
            <w:tcMar>
              <w:bottom w:w="28" w:type="dxa"/>
            </w:tcMar>
          </w:tcPr>
          <w:p>
            <w:pPr>
              <w:pStyle w:val="TableContents"/>
              <w:bidi w:val="0"/>
              <w:spacing w:before="0" w:after="283"/>
              <w:jc w:val="left"/>
              <w:rPr/>
            </w:pPr>
            <w:r>
              <w:rPr/>
              <w:t>/s/ Roderick Wong, M.D.</w:t>
            </w:r>
          </w:p>
        </w:tc>
      </w:tr>
      <w:tr>
        <w:trPr/>
        <w:tc>
          <w:tcPr>
            <w:tcW w:w="8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Roderick Wong, M.D.</w:t>
            </w:r>
          </w:p>
        </w:tc>
      </w:tr>
      <w:tr>
        <w:trPr/>
        <w:tc>
          <w:tcPr>
            <w:tcW w:w="8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Managing Member</w:t>
            </w:r>
          </w:p>
        </w:tc>
      </w:tr>
      <w:tr>
        <w:trPr/>
        <w:tc>
          <w:tcPr>
            <w:tcW w:w="885"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c/o RTW Investments, LP</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40 10th Avenue, Floor 7</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 Branden Berns</w:t>
            </w:r>
          </w:p>
        </w:tc>
      </w:tr>
      <w:tr>
        <w:trPr/>
        <w:tc>
          <w:tcPr>
            <w:tcW w:w="4082" w:type="dxa"/>
            <w:gridSpan w:val="3"/>
            <w:tcBorders/>
            <w:vAlign w:val="bottom"/>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KEY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HEALTHCARE FUND, L.P.</w:t>
            </w:r>
          </w:p>
        </w:tc>
      </w:tr>
      <w:tr>
        <w:trPr/>
        <w:tc>
          <w:tcPr>
            <w:tcW w:w="4082" w:type="dxa"/>
            <w:gridSpan w:val="3"/>
            <w:tcBorders/>
            <w:vAlign w:val="bottom"/>
          </w:tcPr>
          <w:p>
            <w:pPr>
              <w:pStyle w:val="TableContents"/>
              <w:bidi w:val="0"/>
              <w:spacing w:before="0" w:after="283"/>
              <w:jc w:val="left"/>
              <w:rPr/>
            </w:pPr>
            <w:r>
              <w:rPr/>
              <w:t>By: RA Capital Healthcare Fund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HEALTHCARE FUND, L.P.</w:t>
            </w:r>
          </w:p>
        </w:tc>
      </w:tr>
      <w:tr>
        <w:trPr/>
        <w:tc>
          <w:tcPr>
            <w:tcW w:w="4082" w:type="dxa"/>
            <w:gridSpan w:val="3"/>
            <w:tcBorders/>
            <w:vAlign w:val="bottom"/>
          </w:tcPr>
          <w:p>
            <w:pPr>
              <w:pStyle w:val="TableContents"/>
              <w:bidi w:val="0"/>
              <w:spacing w:before="0" w:after="283"/>
              <w:jc w:val="left"/>
              <w:rPr/>
            </w:pPr>
            <w:r>
              <w:rPr/>
              <w:t>By: RA Capital Healthcare Fund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KEY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NEXUS FUND IV, L.P.</w:t>
            </w:r>
          </w:p>
        </w:tc>
      </w:tr>
      <w:tr>
        <w:trPr/>
        <w:tc>
          <w:tcPr>
            <w:tcW w:w="4082" w:type="dxa"/>
            <w:gridSpan w:val="3"/>
            <w:tcBorders/>
            <w:vAlign w:val="bottom"/>
          </w:tcPr>
          <w:p>
            <w:pPr>
              <w:pStyle w:val="TableContents"/>
              <w:bidi w:val="0"/>
              <w:spacing w:before="0" w:after="283"/>
              <w:jc w:val="left"/>
              <w:rPr/>
            </w:pPr>
            <w:r>
              <w:rPr/>
              <w:t>By: RA Capital Nexus Fund IV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NEXUS FUND IV, L.P.</w:t>
            </w:r>
          </w:p>
        </w:tc>
      </w:tr>
      <w:tr>
        <w:trPr/>
        <w:tc>
          <w:tcPr>
            <w:tcW w:w="4082" w:type="dxa"/>
            <w:gridSpan w:val="3"/>
            <w:tcBorders/>
            <w:vAlign w:val="bottom"/>
          </w:tcPr>
          <w:p>
            <w:pPr>
              <w:pStyle w:val="TableContents"/>
              <w:bidi w:val="0"/>
              <w:spacing w:before="0" w:after="283"/>
              <w:jc w:val="left"/>
              <w:rPr/>
            </w:pPr>
            <w:r>
              <w:rPr/>
              <w:t>By: RA Capital Nexus Fund IV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JANUS HENDERSON BIOTECH INNOVATION MASTER FUND LIMITED</w:t>
            </w:r>
          </w:p>
        </w:tc>
      </w:tr>
      <w:tr>
        <w:trPr/>
        <w:tc>
          <w:tcPr>
            <w:tcW w:w="4082" w:type="dxa"/>
            <w:gridSpan w:val="3"/>
            <w:tcBorders/>
            <w:vAlign w:val="bottom"/>
          </w:tcPr>
          <w:p>
            <w:pPr>
              <w:pStyle w:val="TableContents"/>
              <w:bidi w:val="0"/>
              <w:spacing w:before="0" w:after="283"/>
              <w:jc w:val="left"/>
              <w:rPr/>
            </w:pPr>
            <w:r>
              <w:rPr/>
              <w:t>By: Janus Henderson Investors US LLC, its investment advisor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Daniel S. Lyons</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Daniel S. Lyons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Notice Address:</w:t>
            </w:r>
          </w:p>
        </w:tc>
      </w:tr>
      <w:tr>
        <w:trPr/>
        <w:tc>
          <w:tcPr>
            <w:tcW w:w="4082" w:type="dxa"/>
            <w:gridSpan w:val="3"/>
            <w:tcBorders/>
            <w:vAlign w:val="bottom"/>
          </w:tcPr>
          <w:p>
            <w:pPr>
              <w:pStyle w:val="TableContents"/>
              <w:bidi w:val="0"/>
              <w:spacing w:before="0" w:after="283"/>
              <w:jc w:val="left"/>
              <w:rPr/>
            </w:pPr>
            <w:r>
              <w:rPr/>
              <w:t>Janus Henderson Investors US LLC</w:t>
            </w:r>
          </w:p>
        </w:tc>
      </w:tr>
      <w:tr>
        <w:trPr/>
        <w:tc>
          <w:tcPr>
            <w:tcW w:w="4082" w:type="dxa"/>
            <w:gridSpan w:val="3"/>
            <w:tcBorders/>
            <w:vAlign w:val="bottom"/>
          </w:tcPr>
          <w:p>
            <w:pPr>
              <w:pStyle w:val="TableContents"/>
              <w:bidi w:val="0"/>
              <w:spacing w:before="0" w:after="283"/>
              <w:jc w:val="left"/>
              <w:rPr/>
            </w:pPr>
            <w:r>
              <w:rPr/>
              <w:t>Attn: Todd Penner</w:t>
            </w:r>
          </w:p>
        </w:tc>
      </w:tr>
      <w:tr>
        <w:trPr/>
        <w:tc>
          <w:tcPr>
            <w:tcW w:w="4082" w:type="dxa"/>
            <w:gridSpan w:val="3"/>
            <w:tcBorders/>
            <w:vAlign w:val="bottom"/>
          </w:tcPr>
          <w:p>
            <w:pPr>
              <w:pStyle w:val="TableContents"/>
              <w:bidi w:val="0"/>
              <w:spacing w:before="0" w:after="283"/>
              <w:jc w:val="left"/>
              <w:rPr/>
            </w:pPr>
            <w:r>
              <w:rPr/>
              <w:t>151 Detroit Street</w:t>
            </w:r>
          </w:p>
        </w:tc>
      </w:tr>
      <w:tr>
        <w:trPr/>
        <w:tc>
          <w:tcPr>
            <w:tcW w:w="4082" w:type="dxa"/>
            <w:gridSpan w:val="3"/>
            <w:tcBorders/>
            <w:vAlign w:val="bottom"/>
          </w:tcPr>
          <w:p>
            <w:pPr>
              <w:pStyle w:val="TableContents"/>
              <w:bidi w:val="0"/>
              <w:spacing w:before="0" w:after="283"/>
              <w:jc w:val="left"/>
              <w:rPr/>
            </w:pPr>
            <w:r>
              <w:rPr/>
              <w:t>Denver, CO 80206</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Email: [***];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with a copy, which copy shall not constitute notice, to:</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Perkins Coie LLP</w:t>
            </w:r>
          </w:p>
        </w:tc>
      </w:tr>
      <w:tr>
        <w:trPr/>
        <w:tc>
          <w:tcPr>
            <w:tcW w:w="4082" w:type="dxa"/>
            <w:gridSpan w:val="3"/>
            <w:tcBorders/>
            <w:vAlign w:val="bottom"/>
          </w:tcPr>
          <w:p>
            <w:pPr>
              <w:pStyle w:val="TableContents"/>
              <w:bidi w:val="0"/>
              <w:spacing w:before="0" w:after="283"/>
              <w:jc w:val="left"/>
              <w:rPr/>
            </w:pPr>
            <w:r>
              <w:rPr/>
              <w:t>3150 Porter Drive</w:t>
            </w:r>
          </w:p>
        </w:tc>
      </w:tr>
      <w:tr>
        <w:trPr/>
        <w:tc>
          <w:tcPr>
            <w:tcW w:w="4082" w:type="dxa"/>
            <w:gridSpan w:val="3"/>
            <w:tcBorders/>
            <w:vAlign w:val="bottom"/>
          </w:tcPr>
          <w:p>
            <w:pPr>
              <w:pStyle w:val="TableContents"/>
              <w:bidi w:val="0"/>
              <w:spacing w:before="0" w:after="283"/>
              <w:jc w:val="left"/>
              <w:rPr/>
            </w:pPr>
            <w:r>
              <w:rPr/>
              <w:t>Palo Alto, CA 94306</w:t>
            </w:r>
          </w:p>
        </w:tc>
      </w:tr>
      <w:tr>
        <w:trPr/>
        <w:tc>
          <w:tcPr>
            <w:tcW w:w="4082" w:type="dxa"/>
            <w:gridSpan w:val="3"/>
            <w:tcBorders/>
            <w:vAlign w:val="bottom"/>
          </w:tcPr>
          <w:p>
            <w:pPr>
              <w:pStyle w:val="TableContents"/>
              <w:bidi w:val="0"/>
              <w:spacing w:before="0" w:after="283"/>
              <w:jc w:val="left"/>
              <w:rPr/>
            </w:pPr>
            <w:r>
              <w:rPr/>
              <w:t>Attention: Jessica North</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3"/>
        <w:gridCol w:w="60"/>
        <w:gridCol w:w="3129"/>
      </w:tblGrid>
      <w:tr>
        <w:trPr/>
        <w:tc>
          <w:tcPr>
            <w:tcW w:w="8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DECHENG CAPITAL GLOBAL LIFE SCIENCES FUND V, L.P.</w:t>
            </w:r>
          </w:p>
        </w:tc>
      </w:tr>
      <w:tr>
        <w:trPr/>
        <w:tc>
          <w:tcPr>
            <w:tcW w:w="4082" w:type="dxa"/>
            <w:gridSpan w:val="3"/>
            <w:tcBorders/>
            <w:vAlign w:val="bottom"/>
          </w:tcPr>
          <w:p>
            <w:pPr>
              <w:pStyle w:val="TableContents"/>
              <w:bidi w:val="0"/>
              <w:spacing w:before="0" w:after="283"/>
              <w:jc w:val="left"/>
              <w:rPr/>
            </w:pPr>
            <w:r>
              <w:rPr/>
              <w:t>By: Decheng Capital Management V (Cayman), LLC, its general partner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9" w:type="dxa"/>
            <w:tcBorders>
              <w:bottom w:val="single" w:sz="2" w:space="0" w:color="000000"/>
            </w:tcBorders>
            <w:tcMar>
              <w:bottom w:w="28" w:type="dxa"/>
            </w:tcMar>
          </w:tcPr>
          <w:p>
            <w:pPr>
              <w:pStyle w:val="TableContents"/>
              <w:bidi w:val="0"/>
              <w:spacing w:before="0" w:after="283"/>
              <w:jc w:val="left"/>
              <w:rPr/>
            </w:pPr>
            <w:r>
              <w:rPr/>
              <w:t>/s/ Xiangmin Cui</w:t>
            </w:r>
          </w:p>
        </w:tc>
      </w:tr>
      <w:tr>
        <w:trPr/>
        <w:tc>
          <w:tcPr>
            <w:tcW w:w="8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Xiangmin Cui</w:t>
            </w:r>
          </w:p>
        </w:tc>
      </w:tr>
      <w:tr>
        <w:trPr/>
        <w:tc>
          <w:tcPr>
            <w:tcW w:w="8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Managing Director</w:t>
            </w:r>
          </w:p>
        </w:tc>
      </w:tr>
      <w:tr>
        <w:trPr/>
        <w:tc>
          <w:tcPr>
            <w:tcW w:w="893"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3000 Sand Hill Road, Building 2, Suite 110 Menlo Park, CA 94025</w:t>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DECHENG CAPITAL GLOBAL LIFE SCIENCES FUND V-A, L.P.</w:t>
            </w:r>
          </w:p>
        </w:tc>
      </w:tr>
      <w:tr>
        <w:trPr/>
        <w:tc>
          <w:tcPr>
            <w:tcW w:w="4082" w:type="dxa"/>
            <w:gridSpan w:val="3"/>
            <w:tcBorders/>
            <w:vAlign w:val="bottom"/>
          </w:tcPr>
          <w:p>
            <w:pPr>
              <w:pStyle w:val="TableContents"/>
              <w:bidi w:val="0"/>
              <w:spacing w:before="0" w:after="283"/>
              <w:jc w:val="left"/>
              <w:rPr/>
            </w:pPr>
            <w:r>
              <w:rPr/>
              <w:t>By: Decheng Capital Management V (Cayman), LLC, its general partner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9" w:type="dxa"/>
            <w:tcBorders>
              <w:bottom w:val="single" w:sz="2" w:space="0" w:color="000000"/>
            </w:tcBorders>
            <w:tcMar>
              <w:bottom w:w="28" w:type="dxa"/>
            </w:tcMar>
          </w:tcPr>
          <w:p>
            <w:pPr>
              <w:pStyle w:val="TableContents"/>
              <w:bidi w:val="0"/>
              <w:spacing w:before="0" w:after="283"/>
              <w:jc w:val="left"/>
              <w:rPr/>
            </w:pPr>
            <w:r>
              <w:rPr/>
              <w:t>/s/ Xiangmin Cui</w:t>
            </w:r>
          </w:p>
        </w:tc>
      </w:tr>
      <w:tr>
        <w:trPr/>
        <w:tc>
          <w:tcPr>
            <w:tcW w:w="8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Xiangmin Cui</w:t>
            </w:r>
          </w:p>
        </w:tc>
      </w:tr>
      <w:tr>
        <w:trPr/>
        <w:tc>
          <w:tcPr>
            <w:tcW w:w="8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Managing Director</w:t>
            </w:r>
          </w:p>
        </w:tc>
      </w:tr>
      <w:tr>
        <w:trPr/>
        <w:tc>
          <w:tcPr>
            <w:tcW w:w="893"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3000 Sand Hill Road, Building 2, Suite 110 Menlo Park, CA 94025</w:t>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DECHENG CAPITAL GLOBAL LIFE SCIENCES FUND V-B, L.P.</w:t>
            </w:r>
          </w:p>
        </w:tc>
      </w:tr>
      <w:tr>
        <w:trPr/>
        <w:tc>
          <w:tcPr>
            <w:tcW w:w="4082" w:type="dxa"/>
            <w:gridSpan w:val="3"/>
            <w:tcBorders/>
            <w:vAlign w:val="bottom"/>
          </w:tcPr>
          <w:p>
            <w:pPr>
              <w:pStyle w:val="TableContents"/>
              <w:bidi w:val="0"/>
              <w:spacing w:before="0" w:after="283"/>
              <w:jc w:val="left"/>
              <w:rPr/>
            </w:pPr>
            <w:r>
              <w:rPr/>
              <w:t>By: Decheng Capital Management V (Cayman), LLC, its general partner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9" w:type="dxa"/>
            <w:tcBorders>
              <w:bottom w:val="single" w:sz="2" w:space="0" w:color="000000"/>
            </w:tcBorders>
            <w:tcMar>
              <w:bottom w:w="28" w:type="dxa"/>
            </w:tcMar>
          </w:tcPr>
          <w:p>
            <w:pPr>
              <w:pStyle w:val="TableContents"/>
              <w:bidi w:val="0"/>
              <w:spacing w:before="0" w:after="283"/>
              <w:jc w:val="left"/>
              <w:rPr/>
            </w:pPr>
            <w:r>
              <w:rPr/>
              <w:t>/s/ Xiangmin Cui</w:t>
            </w:r>
          </w:p>
        </w:tc>
      </w:tr>
      <w:tr>
        <w:trPr/>
        <w:tc>
          <w:tcPr>
            <w:tcW w:w="8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Xiangmin Cui</w:t>
            </w:r>
          </w:p>
        </w:tc>
      </w:tr>
      <w:tr>
        <w:trPr/>
        <w:tc>
          <w:tcPr>
            <w:tcW w:w="8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Managing Director</w:t>
            </w:r>
          </w:p>
        </w:tc>
      </w:tr>
      <w:tr>
        <w:trPr/>
        <w:tc>
          <w:tcPr>
            <w:tcW w:w="893"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3000 Sand Hill Road, Building 2, Suite 110</w:t>
            </w:r>
          </w:p>
        </w:tc>
      </w:tr>
      <w:tr>
        <w:trPr/>
        <w:tc>
          <w:tcPr>
            <w:tcW w:w="8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Menlo Park, CA 94025</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VIVO OPPORTUNITY FUND HOLDINGS, L.P.</w:t>
            </w:r>
          </w:p>
        </w:tc>
      </w:tr>
      <w:tr>
        <w:trPr/>
        <w:tc>
          <w:tcPr>
            <w:tcW w:w="4082" w:type="dxa"/>
            <w:gridSpan w:val="3"/>
            <w:tcBorders/>
          </w:tcPr>
          <w:p>
            <w:pPr>
              <w:pStyle w:val="TableContents"/>
              <w:bidi w:val="0"/>
              <w:spacing w:before="0" w:after="283"/>
              <w:jc w:val="left"/>
              <w:rPr/>
            </w:pPr>
            <w:r>
              <w:rPr/>
              <w:t>By: Vivo Opportunity, LLC, 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Dai</w:t>
            </w:r>
          </w:p>
        </w:tc>
      </w:tr>
      <w:tr>
        <w:trPr/>
        <w:tc>
          <w:tcPr>
            <w:tcW w:w="4082" w:type="dxa"/>
            <w:gridSpan w:val="3"/>
            <w:tcBorders/>
          </w:tcPr>
          <w:p>
            <w:pPr>
              <w:pStyle w:val="TableContents"/>
              <w:bidi w:val="0"/>
              <w:spacing w:before="0" w:after="283"/>
              <w:jc w:val="left"/>
              <w:rPr/>
            </w:pPr>
            <w:r>
              <w:rPr/>
              <w:t>Name: Kevin Dai</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Vivo Capital LLC</w:t>
            </w:r>
          </w:p>
          <w:p>
            <w:pPr>
              <w:pStyle w:val="TableContents"/>
              <w:bidi w:val="0"/>
              <w:spacing w:before="0" w:after="20"/>
              <w:jc w:val="left"/>
              <w:rPr>
                <w:rFonts w:ascii="Times New Roman" w:hAnsi="Times New Roman"/>
                <w:sz w:val="20"/>
              </w:rPr>
            </w:pPr>
            <w:r>
              <w:rPr>
                <w:rFonts w:ascii="Times New Roman" w:hAnsi="Times New Roman"/>
                <w:sz w:val="20"/>
              </w:rPr>
              <w:t>192 Lytton Avenue</w:t>
            </w:r>
          </w:p>
        </w:tc>
      </w:tr>
      <w:tr>
        <w:trPr/>
        <w:tc>
          <w:tcPr>
            <w:tcW w:w="4082" w:type="dxa"/>
            <w:gridSpan w:val="3"/>
            <w:tcBorders/>
          </w:tcPr>
          <w:p>
            <w:pPr>
              <w:pStyle w:val="TableContents"/>
              <w:bidi w:val="0"/>
              <w:spacing w:before="0" w:after="283"/>
              <w:jc w:val="left"/>
              <w:rPr/>
            </w:pPr>
            <w:r>
              <w:rPr/>
              <w:t>Palo Alto, CA 94301</w:t>
            </w:r>
          </w:p>
        </w:tc>
      </w:tr>
      <w:tr>
        <w:trPr/>
        <w:tc>
          <w:tcPr>
            <w:tcW w:w="4082" w:type="dxa"/>
            <w:gridSpan w:val="3"/>
            <w:tcBorders/>
          </w:tcPr>
          <w:p>
            <w:pPr>
              <w:pStyle w:val="TableContents"/>
              <w:bidi w:val="0"/>
              <w:spacing w:before="0" w:after="283"/>
              <w:jc w:val="left"/>
              <w:rPr/>
            </w:pPr>
            <w:r>
              <w:rPr/>
              <w:t>Email: [***];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VIVO OPPORTUNITY CAYMAN FUND, L.P.</w:t>
            </w:r>
          </w:p>
        </w:tc>
      </w:tr>
      <w:tr>
        <w:trPr/>
        <w:tc>
          <w:tcPr>
            <w:tcW w:w="4082" w:type="dxa"/>
            <w:gridSpan w:val="3"/>
            <w:tcBorders/>
          </w:tcPr>
          <w:p>
            <w:pPr>
              <w:pStyle w:val="TableContents"/>
              <w:bidi w:val="0"/>
              <w:spacing w:before="0" w:after="283"/>
              <w:jc w:val="left"/>
              <w:rPr/>
            </w:pPr>
            <w:r>
              <w:rPr/>
              <w:t>By: Vivo Opportunity Cayman, LLC, 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Dai</w:t>
            </w:r>
          </w:p>
        </w:tc>
      </w:tr>
      <w:tr>
        <w:trPr/>
        <w:tc>
          <w:tcPr>
            <w:tcW w:w="4082" w:type="dxa"/>
            <w:gridSpan w:val="3"/>
            <w:tcBorders/>
          </w:tcPr>
          <w:p>
            <w:pPr>
              <w:pStyle w:val="TableContents"/>
              <w:bidi w:val="0"/>
              <w:spacing w:before="0" w:after="283"/>
              <w:jc w:val="left"/>
              <w:rPr/>
            </w:pPr>
            <w:r>
              <w:rPr/>
              <w:t>Name: Kevin Dai</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Vivo Capital LLC</w:t>
            </w:r>
          </w:p>
          <w:p>
            <w:pPr>
              <w:pStyle w:val="TableContents"/>
              <w:bidi w:val="0"/>
              <w:spacing w:before="0" w:after="20"/>
              <w:jc w:val="left"/>
              <w:rPr>
                <w:rFonts w:ascii="Times New Roman" w:hAnsi="Times New Roman"/>
                <w:sz w:val="20"/>
              </w:rPr>
            </w:pPr>
            <w:r>
              <w:rPr>
                <w:rFonts w:ascii="Times New Roman" w:hAnsi="Times New Roman"/>
                <w:sz w:val="20"/>
              </w:rPr>
              <w:t>192 Lytton Avenue</w:t>
            </w:r>
          </w:p>
        </w:tc>
      </w:tr>
      <w:tr>
        <w:trPr/>
        <w:tc>
          <w:tcPr>
            <w:tcW w:w="4082" w:type="dxa"/>
            <w:gridSpan w:val="3"/>
            <w:tcBorders/>
          </w:tcPr>
          <w:p>
            <w:pPr>
              <w:pStyle w:val="TableContents"/>
              <w:bidi w:val="0"/>
              <w:spacing w:before="0" w:after="283"/>
              <w:jc w:val="left"/>
              <w:rPr/>
            </w:pPr>
            <w:r>
              <w:rPr/>
              <w:t>Palo Alto, CA 94301</w:t>
            </w:r>
          </w:p>
        </w:tc>
      </w:tr>
      <w:tr>
        <w:trPr/>
        <w:tc>
          <w:tcPr>
            <w:tcW w:w="4082" w:type="dxa"/>
            <w:gridSpan w:val="3"/>
            <w:tcBorders/>
          </w:tcPr>
          <w:p>
            <w:pPr>
              <w:pStyle w:val="TableContents"/>
              <w:bidi w:val="0"/>
              <w:spacing w:before="0" w:after="283"/>
              <w:jc w:val="left"/>
              <w:rPr/>
            </w:pPr>
            <w:r>
              <w:rPr/>
              <w:t>Email: [***];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VIVO INNOVATION FUND II HOLDINGS, L.P.</w:t>
            </w:r>
          </w:p>
        </w:tc>
      </w:tr>
      <w:tr>
        <w:trPr/>
        <w:tc>
          <w:tcPr>
            <w:tcW w:w="4082" w:type="dxa"/>
            <w:gridSpan w:val="3"/>
            <w:tcBorders/>
          </w:tcPr>
          <w:p>
            <w:pPr>
              <w:pStyle w:val="TableContents"/>
              <w:bidi w:val="0"/>
              <w:spacing w:before="0" w:after="283"/>
              <w:jc w:val="left"/>
              <w:rPr/>
            </w:pPr>
            <w:r>
              <w:rPr/>
              <w:t>By: Vivo Innovation II, LLC, 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Gaurav Aggarwal</w:t>
            </w:r>
          </w:p>
        </w:tc>
      </w:tr>
      <w:tr>
        <w:trPr/>
        <w:tc>
          <w:tcPr>
            <w:tcW w:w="4082" w:type="dxa"/>
            <w:gridSpan w:val="3"/>
            <w:tcBorders/>
          </w:tcPr>
          <w:p>
            <w:pPr>
              <w:pStyle w:val="TableContents"/>
              <w:bidi w:val="0"/>
              <w:spacing w:before="0" w:after="283"/>
              <w:jc w:val="left"/>
              <w:rPr/>
            </w:pPr>
            <w:r>
              <w:rPr/>
              <w:t>Name: Gaurav Aggarwal</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Vivo Capital LLC</w:t>
            </w:r>
          </w:p>
          <w:p>
            <w:pPr>
              <w:pStyle w:val="TableContents"/>
              <w:bidi w:val="0"/>
              <w:spacing w:before="0" w:after="20"/>
              <w:jc w:val="left"/>
              <w:rPr>
                <w:rFonts w:ascii="Times New Roman" w:hAnsi="Times New Roman"/>
                <w:sz w:val="20"/>
              </w:rPr>
            </w:pPr>
            <w:r>
              <w:rPr>
                <w:rFonts w:ascii="Times New Roman" w:hAnsi="Times New Roman"/>
                <w:sz w:val="20"/>
              </w:rPr>
              <w:t>192 Lytton Avenue</w:t>
            </w:r>
          </w:p>
        </w:tc>
      </w:tr>
      <w:tr>
        <w:trPr/>
        <w:tc>
          <w:tcPr>
            <w:tcW w:w="4082" w:type="dxa"/>
            <w:gridSpan w:val="3"/>
            <w:tcBorders/>
          </w:tcPr>
          <w:p>
            <w:pPr>
              <w:pStyle w:val="TableContents"/>
              <w:bidi w:val="0"/>
              <w:spacing w:before="0" w:after="283"/>
              <w:jc w:val="left"/>
              <w:rPr/>
            </w:pPr>
            <w:r>
              <w:rPr/>
              <w:t>Palo Alto, CA 94301</w:t>
            </w:r>
          </w:p>
        </w:tc>
      </w:tr>
      <w:tr>
        <w:trPr/>
        <w:tc>
          <w:tcPr>
            <w:tcW w:w="4082" w:type="dxa"/>
            <w:gridSpan w:val="3"/>
            <w:tcBorders/>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Logos Opportunities Fund V LP</w:t>
            </w:r>
          </w:p>
        </w:tc>
      </w:tr>
      <w:tr>
        <w:trPr/>
        <w:tc>
          <w:tcPr>
            <w:tcW w:w="4082" w:type="dxa"/>
            <w:gridSpan w:val="3"/>
            <w:tcBorders/>
          </w:tcPr>
          <w:p>
            <w:pPr>
              <w:pStyle w:val="TableContents"/>
              <w:bidi w:val="0"/>
              <w:spacing w:before="0" w:after="283"/>
              <w:jc w:val="left"/>
              <w:rPr/>
            </w:pPr>
            <w:r>
              <w:rPr/>
              <w:t>By: Logos Opportunities V GP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Arsani William</w:t>
            </w:r>
          </w:p>
        </w:tc>
      </w:tr>
      <w:tr>
        <w:trPr/>
        <w:tc>
          <w:tcPr>
            <w:tcW w:w="4082" w:type="dxa"/>
            <w:gridSpan w:val="3"/>
            <w:tcBorders/>
          </w:tcPr>
          <w:p>
            <w:pPr>
              <w:pStyle w:val="TableContents"/>
              <w:bidi w:val="0"/>
              <w:spacing w:before="0" w:after="283"/>
              <w:jc w:val="left"/>
              <w:rPr/>
            </w:pPr>
            <w:r>
              <w:rPr/>
              <w:t>Name: Arsani William</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Graham Walmsley</w:t>
            </w:r>
          </w:p>
        </w:tc>
      </w:tr>
      <w:tr>
        <w:trPr/>
        <w:tc>
          <w:tcPr>
            <w:tcW w:w="4082" w:type="dxa"/>
            <w:gridSpan w:val="3"/>
            <w:tcBorders/>
          </w:tcPr>
          <w:p>
            <w:pPr>
              <w:pStyle w:val="TableContents"/>
              <w:bidi w:val="0"/>
              <w:spacing w:before="0" w:after="283"/>
              <w:jc w:val="left"/>
              <w:rPr/>
            </w:pPr>
            <w:r>
              <w:rPr/>
              <w:t>Name: Graham Walmsley</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1 Letterman Dr., C3-350</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San Francisco, CA 94129</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CASDIN PARTNERS MASTER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Casdin Partners GP,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Giordano</w:t>
            </w:r>
          </w:p>
        </w:tc>
      </w:tr>
      <w:tr>
        <w:trPr/>
        <w:tc>
          <w:tcPr>
            <w:tcW w:w="4082" w:type="dxa"/>
            <w:gridSpan w:val="3"/>
            <w:tcBorders/>
          </w:tcPr>
          <w:p>
            <w:pPr>
              <w:pStyle w:val="TableContents"/>
              <w:bidi w:val="0"/>
              <w:spacing w:before="0" w:after="283"/>
              <w:jc w:val="left"/>
              <w:rPr/>
            </w:pPr>
            <w:r>
              <w:rPr/>
              <w:t>Name: Steven Giordano</w:t>
            </w:r>
          </w:p>
        </w:tc>
      </w:tr>
      <w:tr>
        <w:trPr/>
        <w:tc>
          <w:tcPr>
            <w:tcW w:w="4082" w:type="dxa"/>
            <w:gridSpan w:val="3"/>
            <w:tcBorders/>
          </w:tcPr>
          <w:p>
            <w:pPr>
              <w:pStyle w:val="TableContents"/>
              <w:bidi w:val="0"/>
              <w:spacing w:before="0" w:after="283"/>
              <w:jc w:val="left"/>
              <w:rPr/>
            </w:pPr>
            <w:r>
              <w:rPr/>
              <w:t>Title: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1350 Avenue of the Americas, 26th Floor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 York, New York 10019</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LIFESCI VENTURE MASTER,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Yook</w:t>
            </w:r>
          </w:p>
        </w:tc>
      </w:tr>
      <w:tr>
        <w:trPr/>
        <w:tc>
          <w:tcPr>
            <w:tcW w:w="4082" w:type="dxa"/>
            <w:gridSpan w:val="3"/>
            <w:tcBorders/>
          </w:tcPr>
          <w:p>
            <w:pPr>
              <w:pStyle w:val="TableContents"/>
              <w:bidi w:val="0"/>
              <w:spacing w:before="0" w:after="283"/>
              <w:jc w:val="left"/>
              <w:rPr/>
            </w:pPr>
            <w:r>
              <w:rPr/>
              <w:t>Name: Paul Yook</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LifeSci Venture Master, LLC</w:t>
            </w:r>
          </w:p>
        </w:tc>
      </w:tr>
      <w:tr>
        <w:trPr/>
        <w:tc>
          <w:tcPr>
            <w:tcW w:w="4082" w:type="dxa"/>
            <w:gridSpan w:val="3"/>
            <w:tcBorders/>
          </w:tcPr>
          <w:p>
            <w:pPr>
              <w:pStyle w:val="TableContents"/>
              <w:bidi w:val="0"/>
              <w:spacing w:before="0" w:after="283"/>
              <w:jc w:val="left"/>
              <w:rPr/>
            </w:pPr>
            <w:r>
              <w:rPr/>
              <w:t>152 West 57th Street, 32nd Floor</w:t>
            </w:r>
          </w:p>
        </w:tc>
      </w:tr>
      <w:tr>
        <w:trPr/>
        <w:tc>
          <w:tcPr>
            <w:tcW w:w="4082" w:type="dxa"/>
            <w:gridSpan w:val="3"/>
            <w:tcBorders/>
          </w:tcPr>
          <w:p>
            <w:pPr>
              <w:pStyle w:val="TableContents"/>
              <w:bidi w:val="0"/>
              <w:spacing w:before="0" w:after="283"/>
              <w:jc w:val="left"/>
              <w:rPr/>
            </w:pPr>
            <w:r>
              <w:rPr/>
              <w:t>New York, NY 10019</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QM312 LIMITED</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LAM, Ho Man</w:t>
            </w:r>
          </w:p>
        </w:tc>
      </w:tr>
      <w:tr>
        <w:trPr/>
        <w:tc>
          <w:tcPr>
            <w:tcW w:w="4082" w:type="dxa"/>
            <w:gridSpan w:val="3"/>
            <w:tcBorders/>
          </w:tcPr>
          <w:p>
            <w:pPr>
              <w:pStyle w:val="TableContents"/>
              <w:bidi w:val="0"/>
              <w:spacing w:before="0" w:after="283"/>
              <w:jc w:val="left"/>
              <w:rPr/>
            </w:pPr>
            <w:r>
              <w:rPr/>
              <w:t>Name: LAM, Ho Man</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c>
          <w:tcPr>
            <w:tcW w:w="4082" w:type="dxa"/>
            <w:gridSpan w:val="3"/>
            <w:tcBorders/>
          </w:tcPr>
          <w:p>
            <w:pPr>
              <w:pStyle w:val="TableContents"/>
              <w:bidi w:val="0"/>
              <w:spacing w:before="0" w:after="283"/>
              <w:jc w:val="left"/>
              <w:rPr/>
            </w:pPr>
            <w:r>
              <w:rPr/>
              <w:t>Vistra Corporate Services Centre, Wickhams Cay II,</w:t>
            </w:r>
          </w:p>
        </w:tc>
      </w:tr>
      <w:tr>
        <w:trPr/>
        <w:tc>
          <w:tcPr>
            <w:tcW w:w="4082" w:type="dxa"/>
            <w:gridSpan w:val="3"/>
            <w:tcBorders/>
          </w:tcPr>
          <w:p>
            <w:pPr>
              <w:pStyle w:val="TableContents"/>
              <w:bidi w:val="0"/>
              <w:spacing w:before="0" w:after="283"/>
              <w:jc w:val="left"/>
              <w:rPr/>
            </w:pPr>
            <w:r>
              <w:rPr/>
              <w:t>Road Town, Tortola, VG1110, British Virgin Islands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Copy to (which copy shall not constitute notice):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1"/>
        <w:gridCol w:w="66"/>
        <w:gridCol w:w="3495"/>
      </w:tblGrid>
      <w:tr>
        <w:trPr/>
        <w:tc>
          <w:tcPr>
            <w:tcW w:w="521"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EVENTIDE HEALTHCARE INNOVATION FUND I LP</w:t>
            </w:r>
          </w:p>
        </w:tc>
      </w:tr>
      <w:tr>
        <w:trPr>
          <w:trHeight w:val="240" w:hRule="atLeast"/>
        </w:trPr>
        <w:tc>
          <w:tcPr>
            <w:tcW w:w="521" w:type="dxa"/>
            <w:tcBorders/>
            <w:vAlign w:val="center"/>
          </w:tcPr>
          <w:p>
            <w:pPr>
              <w:pStyle w:val="TableContents"/>
              <w:bidi w:val="0"/>
              <w:spacing w:before="0" w:after="283"/>
              <w:jc w:val="left"/>
              <w:rPr>
                <w:sz w:val="4"/>
                <w:szCs w:val="4"/>
              </w:rPr>
            </w:pPr>
            <w:r>
              <w:rPr>
                <w:sz w:val="4"/>
                <w:szCs w:val="4"/>
              </w:rPr>
            </w:r>
          </w:p>
        </w:tc>
        <w:tc>
          <w:tcPr>
            <w:tcW w:w="3561"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4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Finny Kuruvilla</w:t>
            </w:r>
          </w:p>
        </w:tc>
      </w:tr>
      <w:tr>
        <w:trPr/>
        <w:tc>
          <w:tcPr>
            <w:tcW w:w="4082" w:type="dxa"/>
            <w:gridSpan w:val="3"/>
            <w:tcBorders/>
          </w:tcPr>
          <w:p>
            <w:pPr>
              <w:pStyle w:val="TableContents"/>
              <w:bidi w:val="0"/>
              <w:spacing w:before="0" w:after="283"/>
              <w:jc w:val="left"/>
              <w:rPr/>
            </w:pPr>
            <w:r>
              <w:rPr/>
              <w:t>Name: Finny Kuruvilla</w:t>
            </w:r>
          </w:p>
        </w:tc>
      </w:tr>
      <w:tr>
        <w:trPr/>
        <w:tc>
          <w:tcPr>
            <w:tcW w:w="4082" w:type="dxa"/>
            <w:gridSpan w:val="3"/>
            <w:tcBorders/>
          </w:tcPr>
          <w:p>
            <w:pPr>
              <w:pStyle w:val="TableContents"/>
              <w:bidi w:val="0"/>
              <w:spacing w:before="0" w:after="283"/>
              <w:jc w:val="left"/>
              <w:rPr/>
            </w:pPr>
            <w:r>
              <w:rPr/>
              <w:t>Title: Co-CIO, Managing Director and Portfolio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Attn: Eventide Operations; Sean Mathew, CFO; Peter</w:t>
            </w:r>
          </w:p>
        </w:tc>
      </w:tr>
      <w:tr>
        <w:trPr/>
        <w:tc>
          <w:tcPr>
            <w:tcW w:w="4082" w:type="dxa"/>
            <w:gridSpan w:val="3"/>
            <w:tcBorders/>
          </w:tcPr>
          <w:p>
            <w:pPr>
              <w:pStyle w:val="TableContents"/>
              <w:bidi w:val="0"/>
              <w:spacing w:before="0" w:after="283"/>
              <w:jc w:val="left"/>
              <w:rPr/>
            </w:pPr>
            <w:r>
              <w:rPr/>
              <w:t>Luiso, General Counsel</w:t>
            </w:r>
          </w:p>
        </w:tc>
      </w:tr>
      <w:tr>
        <w:trPr/>
        <w:tc>
          <w:tcPr>
            <w:tcW w:w="4082" w:type="dxa"/>
            <w:gridSpan w:val="3"/>
            <w:tcBorders/>
          </w:tcPr>
          <w:p>
            <w:pPr>
              <w:pStyle w:val="TableContents"/>
              <w:bidi w:val="0"/>
              <w:spacing w:before="0" w:after="283"/>
              <w:jc w:val="left"/>
              <w:rPr/>
            </w:pPr>
            <w:r>
              <w:rPr/>
              <w:t>Eventide Healthcare Innovation Fund I LP</w:t>
            </w:r>
          </w:p>
        </w:tc>
      </w:tr>
      <w:tr>
        <w:trPr/>
        <w:tc>
          <w:tcPr>
            <w:tcW w:w="4082" w:type="dxa"/>
            <w:gridSpan w:val="3"/>
            <w:tcBorders/>
          </w:tcPr>
          <w:p>
            <w:pPr>
              <w:pStyle w:val="TableContents"/>
              <w:bidi w:val="0"/>
              <w:spacing w:before="0" w:after="283"/>
              <w:jc w:val="left"/>
              <w:rPr/>
            </w:pPr>
            <w:r>
              <w:rPr/>
              <w:t>c/o Eventide Asset Management, LLC</w:t>
            </w:r>
          </w:p>
        </w:tc>
      </w:tr>
      <w:tr>
        <w:trPr/>
        <w:tc>
          <w:tcPr>
            <w:tcW w:w="4082" w:type="dxa"/>
            <w:gridSpan w:val="3"/>
            <w:tcBorders/>
          </w:tcPr>
          <w:p>
            <w:pPr>
              <w:pStyle w:val="TableContents"/>
              <w:bidi w:val="0"/>
              <w:spacing w:before="0" w:after="283"/>
              <w:jc w:val="left"/>
              <w:rPr/>
            </w:pPr>
            <w:r>
              <w:rPr/>
              <w:t>1 International Place, Suite 4210,</w:t>
            </w:r>
          </w:p>
        </w:tc>
      </w:tr>
      <w:tr>
        <w:trPr/>
        <w:tc>
          <w:tcPr>
            <w:tcW w:w="4082" w:type="dxa"/>
            <w:gridSpan w:val="3"/>
            <w:tcBorders/>
          </w:tcPr>
          <w:p>
            <w:pPr>
              <w:pStyle w:val="TableContents"/>
              <w:bidi w:val="0"/>
              <w:spacing w:before="0" w:after="283"/>
              <w:jc w:val="left"/>
              <w:rPr/>
            </w:pPr>
            <w:r>
              <w:rPr/>
              <w:t>Boston, MA 02110</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ATLAS PRIVATE HOLDINGS VIII, LLC</w:t>
            </w:r>
          </w:p>
        </w:tc>
      </w:tr>
      <w:tr>
        <w:trPr/>
        <w:tc>
          <w:tcPr>
            <w:tcW w:w="4082" w:type="dxa"/>
            <w:gridSpan w:val="3"/>
            <w:tcBorders/>
          </w:tcPr>
          <w:p>
            <w:pPr>
              <w:pStyle w:val="TableContents"/>
              <w:bidi w:val="0"/>
              <w:spacing w:before="0" w:after="283"/>
              <w:jc w:val="left"/>
              <w:rPr/>
            </w:pPr>
            <w:r>
              <w:rPr/>
              <w:t>By: Balyasny Asset Management L.P., its investment adviser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Romis</w:t>
            </w:r>
          </w:p>
        </w:tc>
      </w:tr>
      <w:tr>
        <w:trPr/>
        <w:tc>
          <w:tcPr>
            <w:tcW w:w="4082" w:type="dxa"/>
            <w:gridSpan w:val="3"/>
            <w:tcBorders/>
          </w:tcPr>
          <w:p>
            <w:pPr>
              <w:pStyle w:val="TableContents"/>
              <w:bidi w:val="0"/>
              <w:spacing w:before="0" w:after="283"/>
              <w:jc w:val="left"/>
              <w:rPr/>
            </w:pPr>
            <w:r>
              <w:rPr/>
              <w:t>Name: Mark Romis</w:t>
            </w:r>
          </w:p>
        </w:tc>
      </w:tr>
      <w:tr>
        <w:trPr/>
        <w:tc>
          <w:tcPr>
            <w:tcW w:w="4082" w:type="dxa"/>
            <w:gridSpan w:val="3"/>
            <w:tcBorders/>
          </w:tcPr>
          <w:p>
            <w:pPr>
              <w:pStyle w:val="TableContents"/>
              <w:bidi w:val="0"/>
              <w:spacing w:before="0" w:after="283"/>
              <w:jc w:val="left"/>
              <w:rPr/>
            </w:pPr>
            <w:r>
              <w:rPr/>
              <w:t>Title: Head of Legal, Investment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c/o Balyasny Asset Management L.P.</w:t>
            </w:r>
          </w:p>
        </w:tc>
      </w:tr>
      <w:tr>
        <w:trPr/>
        <w:tc>
          <w:tcPr>
            <w:tcW w:w="4082" w:type="dxa"/>
            <w:gridSpan w:val="3"/>
            <w:tcBorders/>
          </w:tcPr>
          <w:p>
            <w:pPr>
              <w:pStyle w:val="TableContents"/>
              <w:bidi w:val="0"/>
              <w:spacing w:before="0" w:after="283"/>
              <w:jc w:val="left"/>
              <w:rPr/>
            </w:pPr>
            <w:r>
              <w:rPr/>
              <w:t>444 West Lake Street, 50th Floor</w:t>
            </w:r>
          </w:p>
        </w:tc>
      </w:tr>
      <w:tr>
        <w:trPr/>
        <w:tc>
          <w:tcPr>
            <w:tcW w:w="4082" w:type="dxa"/>
            <w:gridSpan w:val="3"/>
            <w:tcBorders/>
          </w:tcPr>
          <w:p>
            <w:pPr>
              <w:pStyle w:val="TableContents"/>
              <w:bidi w:val="0"/>
              <w:spacing w:before="0" w:after="283"/>
              <w:jc w:val="left"/>
              <w:rPr/>
            </w:pPr>
            <w:r>
              <w:rPr/>
              <w:t>Chicago, IL 60606</w:t>
            </w:r>
          </w:p>
        </w:tc>
      </w:tr>
      <w:tr>
        <w:trPr/>
        <w:tc>
          <w:tcPr>
            <w:tcW w:w="4082" w:type="dxa"/>
            <w:gridSpan w:val="3"/>
            <w:tcBorders/>
          </w:tcPr>
          <w:p>
            <w:pPr>
              <w:pStyle w:val="TableContents"/>
              <w:bidi w:val="0"/>
              <w:spacing w:before="0" w:after="283"/>
              <w:jc w:val="left"/>
              <w:rPr/>
            </w:pPr>
            <w:r>
              <w:rPr/>
              <w:t>Attn: Legal Department</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AEF PLUS PRIVATES FUND, LLC</w:t>
            </w:r>
          </w:p>
        </w:tc>
      </w:tr>
      <w:tr>
        <w:trPr/>
        <w:tc>
          <w:tcPr>
            <w:tcW w:w="4082" w:type="dxa"/>
            <w:gridSpan w:val="3"/>
            <w:tcBorders/>
          </w:tcPr>
          <w:p>
            <w:pPr>
              <w:pStyle w:val="TableContents"/>
              <w:bidi w:val="0"/>
              <w:spacing w:before="0" w:after="283"/>
              <w:jc w:val="left"/>
              <w:rPr/>
            </w:pPr>
            <w:r>
              <w:rPr/>
              <w:t>By: Balyasny Asset Management L.P., its investment adviser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Romis</w:t>
            </w:r>
          </w:p>
        </w:tc>
      </w:tr>
      <w:tr>
        <w:trPr/>
        <w:tc>
          <w:tcPr>
            <w:tcW w:w="4082" w:type="dxa"/>
            <w:gridSpan w:val="3"/>
            <w:tcBorders/>
          </w:tcPr>
          <w:p>
            <w:pPr>
              <w:pStyle w:val="TableContents"/>
              <w:bidi w:val="0"/>
              <w:spacing w:before="0" w:after="283"/>
              <w:jc w:val="left"/>
              <w:rPr/>
            </w:pPr>
            <w:r>
              <w:rPr/>
              <w:t>Name: Mark Romis</w:t>
            </w:r>
          </w:p>
        </w:tc>
      </w:tr>
      <w:tr>
        <w:trPr/>
        <w:tc>
          <w:tcPr>
            <w:tcW w:w="4082" w:type="dxa"/>
            <w:gridSpan w:val="3"/>
            <w:tcBorders/>
          </w:tcPr>
          <w:p>
            <w:pPr>
              <w:pStyle w:val="TableContents"/>
              <w:bidi w:val="0"/>
              <w:spacing w:before="0" w:after="283"/>
              <w:jc w:val="left"/>
              <w:rPr/>
            </w:pPr>
            <w:r>
              <w:rPr/>
              <w:t>Title: Head of Legal, Investment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c/o Balyasny Asset Management L.P.</w:t>
            </w:r>
          </w:p>
        </w:tc>
      </w:tr>
      <w:tr>
        <w:trPr/>
        <w:tc>
          <w:tcPr>
            <w:tcW w:w="4082" w:type="dxa"/>
            <w:gridSpan w:val="3"/>
            <w:tcBorders/>
          </w:tcPr>
          <w:p>
            <w:pPr>
              <w:pStyle w:val="TableContents"/>
              <w:bidi w:val="0"/>
              <w:spacing w:before="0" w:after="283"/>
              <w:jc w:val="left"/>
              <w:rPr/>
            </w:pPr>
            <w:r>
              <w:rPr/>
              <w:t>444 West Lake Street, 50th Floor</w:t>
            </w:r>
          </w:p>
        </w:tc>
      </w:tr>
      <w:tr>
        <w:trPr/>
        <w:tc>
          <w:tcPr>
            <w:tcW w:w="4082" w:type="dxa"/>
            <w:gridSpan w:val="3"/>
            <w:tcBorders/>
          </w:tcPr>
          <w:p>
            <w:pPr>
              <w:pStyle w:val="TableContents"/>
              <w:bidi w:val="0"/>
              <w:spacing w:before="0" w:after="283"/>
              <w:jc w:val="left"/>
              <w:rPr/>
            </w:pPr>
            <w:r>
              <w:rPr/>
              <w:t>Chicago, IL 60606</w:t>
            </w:r>
          </w:p>
        </w:tc>
      </w:tr>
      <w:tr>
        <w:trPr/>
        <w:tc>
          <w:tcPr>
            <w:tcW w:w="4082" w:type="dxa"/>
            <w:gridSpan w:val="3"/>
            <w:tcBorders/>
          </w:tcPr>
          <w:p>
            <w:pPr>
              <w:pStyle w:val="TableContents"/>
              <w:bidi w:val="0"/>
              <w:spacing w:before="0" w:after="283"/>
              <w:jc w:val="left"/>
              <w:rPr/>
            </w:pPr>
            <w:r>
              <w:rPr/>
              <w:t>Attn: Legal Department</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78"/>
        <w:gridCol w:w="90"/>
        <w:gridCol w:w="3414"/>
      </w:tblGrid>
      <w:tr>
        <w:trPr/>
        <w:tc>
          <w:tcPr>
            <w:tcW w:w="57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YOLTECH THERAPEUTICS CO., LTD.</w:t>
            </w:r>
          </w:p>
        </w:tc>
      </w:tr>
      <w:tr>
        <w:trPr>
          <w:trHeight w:val="240" w:hRule="atLeast"/>
        </w:trPr>
        <w:tc>
          <w:tcPr>
            <w:tcW w:w="578" w:type="dxa"/>
            <w:tcBorders/>
            <w:vAlign w:val="center"/>
          </w:tcPr>
          <w:p>
            <w:pPr>
              <w:pStyle w:val="TableContents"/>
              <w:bidi w:val="0"/>
              <w:spacing w:before="0" w:after="283"/>
              <w:jc w:val="left"/>
              <w:rPr>
                <w:sz w:val="4"/>
                <w:szCs w:val="4"/>
              </w:rPr>
            </w:pPr>
            <w:r>
              <w:rPr>
                <w:sz w:val="4"/>
                <w:szCs w:val="4"/>
              </w:rPr>
            </w:r>
          </w:p>
        </w:tc>
        <w:tc>
          <w:tcPr>
            <w:tcW w:w="3504" w:type="dxa"/>
            <w:gridSpan w:val="2"/>
            <w:tcBorders/>
            <w:vAlign w:val="center"/>
          </w:tcPr>
          <w:p>
            <w:pPr>
              <w:pStyle w:val="TableContents"/>
              <w:bidi w:val="0"/>
              <w:spacing w:before="0" w:after="283"/>
              <w:jc w:val="left"/>
              <w:rPr>
                <w:sz w:val="4"/>
                <w:szCs w:val="4"/>
              </w:rPr>
            </w:pPr>
            <w:r>
              <w:rPr>
                <w:sz w:val="4"/>
                <w:szCs w:val="4"/>
              </w:rPr>
            </w:r>
          </w:p>
        </w:tc>
      </w:tr>
      <w:tr>
        <w:trPr/>
        <w:tc>
          <w:tcPr>
            <w:tcW w:w="578"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34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Yuxuan Wu</w:t>
            </w:r>
          </w:p>
        </w:tc>
      </w:tr>
      <w:tr>
        <w:trPr/>
        <w:tc>
          <w:tcPr>
            <w:tcW w:w="4082" w:type="dxa"/>
            <w:gridSpan w:val="3"/>
            <w:tcBorders/>
          </w:tcPr>
          <w:p>
            <w:pPr>
              <w:pStyle w:val="TableContents"/>
              <w:bidi w:val="0"/>
              <w:spacing w:before="0" w:after="283"/>
              <w:jc w:val="left"/>
              <w:rPr/>
            </w:pPr>
            <w:r>
              <w:rPr/>
              <w:t>Name: Yuxuan Wu</w:t>
            </w:r>
          </w:p>
        </w:tc>
      </w:tr>
      <w:tr>
        <w:trPr/>
        <w:tc>
          <w:tcPr>
            <w:tcW w:w="4082" w:type="dxa"/>
            <w:gridSpan w:val="3"/>
            <w:tcBorders/>
          </w:tcPr>
          <w:p>
            <w:pPr>
              <w:pStyle w:val="TableContents"/>
              <w:bidi w:val="0"/>
              <w:spacing w:before="0" w:after="283"/>
              <w:jc w:val="left"/>
              <w:rPr/>
            </w:pPr>
            <w:r>
              <w:rPr/>
              <w:t>Title: Legal Representative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YolTech Therapeutics Co., Ltd.</w:t>
            </w:r>
          </w:p>
        </w:tc>
      </w:tr>
      <w:tr>
        <w:trPr/>
        <w:tc>
          <w:tcPr>
            <w:tcW w:w="4082" w:type="dxa"/>
            <w:gridSpan w:val="3"/>
            <w:tcBorders/>
          </w:tcPr>
          <w:p>
            <w:pPr>
              <w:pStyle w:val="TableContents"/>
              <w:bidi w:val="0"/>
              <w:spacing w:before="0" w:after="283"/>
              <w:jc w:val="left"/>
              <w:rPr/>
            </w:pPr>
            <w:r>
              <w:rPr/>
              <w:t>12F, Building A, 58 Tanzhu Rd.,</w:t>
            </w:r>
          </w:p>
        </w:tc>
      </w:tr>
      <w:tr>
        <w:trPr/>
        <w:tc>
          <w:tcPr>
            <w:tcW w:w="4082" w:type="dxa"/>
            <w:gridSpan w:val="3"/>
            <w:tcBorders/>
          </w:tcPr>
          <w:p>
            <w:pPr>
              <w:pStyle w:val="TableContents"/>
              <w:bidi w:val="0"/>
              <w:spacing w:before="0" w:after="283"/>
              <w:jc w:val="left"/>
              <w:rPr/>
            </w:pPr>
            <w:r>
              <w:rPr/>
              <w:t>Minhang District, Shanghai</w:t>
            </w:r>
          </w:p>
        </w:tc>
      </w:tr>
      <w:tr>
        <w:trPr/>
        <w:tc>
          <w:tcPr>
            <w:tcW w:w="4082" w:type="dxa"/>
            <w:gridSpan w:val="3"/>
            <w:tcBorders/>
          </w:tcPr>
          <w:p>
            <w:pPr>
              <w:pStyle w:val="TableContents"/>
              <w:bidi w:val="0"/>
              <w:spacing w:before="0" w:after="283"/>
              <w:jc w:val="left"/>
              <w:rPr/>
            </w:pPr>
            <w:r>
              <w:rPr/>
              <w:t>People’s Republic of China</w:t>
            </w:r>
          </w:p>
        </w:tc>
      </w:tr>
    </w:tbl>
    <w:p>
      <w:pPr>
        <w:pStyle w:val="TextBody"/>
        <w:bidi w:val="0"/>
        <w:spacing w:before="0" w:after="0"/>
        <w:jc w:val="left"/>
        <w:rPr/>
      </w:pPr>
      <w:r>
        <w:rPr/>
        <w:t> </w:t>
      </w:r>
    </w:p>
    <w:p>
      <w:pPr>
        <w:pStyle w:val="TextBody"/>
        <w:bidi w:val="0"/>
        <w:spacing w:before="3600" w:after="0"/>
        <w:jc w:val="center"/>
        <w:rPr>
          <w:rFonts w:ascii="Times New Roman" w:hAnsi="Times New Roman"/>
          <w:sz w:val="20"/>
        </w:rPr>
      </w:pPr>
      <w:r>
        <w:rPr>
          <w:rFonts w:ascii="Times New Roman" w:hAnsi="Times New Roman"/>
          <w:sz w:val="20"/>
        </w:rPr>
        <w:t xml:space="preserve">SIGNATURE PAGE TO INVESTORS’ RIGHTS AGREEMENT </w:t>
      </w:r>
    </w:p>
    <w:p>
      <w:pPr>
        <w:pStyle w:val="TextBody"/>
        <w:bidi w:val="0"/>
        <w:spacing w:before="0" w:after="0"/>
        <w:jc w:val="right"/>
        <w:rPr>
          <w:rFonts w:ascii="Times New Roman" w:hAnsi="Times New Roman"/>
          <w:b/>
          <w:sz w:val="20"/>
        </w:rPr>
      </w:pPr>
      <w:bookmarkStart w:id="267" w:name="filename7.htm"/>
      <w:bookmarkStart w:id="268" w:name="ksfilename7"/>
      <w:bookmarkEnd w:id="267"/>
      <w:bookmarkEnd w:id="268"/>
      <w:r>
        <w:rPr>
          <w:rFonts w:ascii="Times New Roman" w:hAnsi="Times New Roman"/>
          <w:b/>
          <w:sz w:val="20"/>
        </w:rPr>
        <w:t xml:space="preserve">Exhibit 10.5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EXCLUSIVE LICENSE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YolTech Therapeutics Co., Ltd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w:t>
      </w:r>
    </w:p>
    <w:p>
      <w:pPr>
        <w:pStyle w:val="TextBody"/>
        <w:bidi w:val="0"/>
        <w:spacing w:before="240" w:after="0"/>
        <w:jc w:val="center"/>
        <w:rPr>
          <w:rFonts w:ascii="Times New Roman" w:hAnsi="Times New Roman"/>
          <w:b/>
          <w:sz w:val="20"/>
        </w:rPr>
      </w:pPr>
      <w:r>
        <w:rPr>
          <w:rFonts w:ascii="Times New Roman" w:hAnsi="Times New Roman"/>
          <w:b/>
          <w:sz w:val="20"/>
        </w:rPr>
        <w:t xml:space="preserve">June 12,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
        <w:gridCol w:w="79"/>
        <w:gridCol w:w="8973"/>
        <w:gridCol w:w="136"/>
        <w:gridCol w:w="96"/>
        <w:gridCol w:w="419"/>
        <w:gridCol w:w="63"/>
      </w:tblGrid>
      <w:tr>
        <w:trPr/>
        <w:tc>
          <w:tcPr>
            <w:tcW w:w="43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897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LICENSE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License Grants to Company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Sublicenses to Third Parties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Right to Subcontract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Disclosure of the Licensed Technology and Transfer of Licensed Know-How</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License Grants to Licensor</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Sublicensing in Retained Territory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Non-Compete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No Implied Licenses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GOVERNANCE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Joint Steering Committee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JSC Decision-Making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DEVELOPMENT AND REGULATORY MATTERS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Company Development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Licensor Development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Development Updates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Regulatory Activities in the Licensed Territory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Right of Reference and Use of Data</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Transfer of IND</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Adverse Events and Safety Data Reporting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Notice of Regulatory Action</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MANUFACTURE AND SUPPLY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Company Manufacturing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Clinical Supply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Commercial Supply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Manufacturing Technology Transfer</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Cooperation and Assistance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
        <w:gridCol w:w="104"/>
        <w:gridCol w:w="8616"/>
        <w:gridCol w:w="157"/>
        <w:gridCol w:w="96"/>
        <w:gridCol w:w="421"/>
        <w:gridCol w:w="64"/>
      </w:tblGrid>
      <w:tr>
        <w:trPr/>
        <w:tc>
          <w:tcPr>
            <w:tcW w:w="74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8616"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4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COMMERCIALIZATION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Commercialization Activities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Diversion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PAYMENTS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Upfront Payment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Equity Investment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Development and Regulatory Milestones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Sales Milestones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Royalty Payments to Licensor</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Royalty Reports and Payments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Third Party Payments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Floor on Royalty Reductions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Downstream Transaction Revenue Share</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Payment Method, Currency, and Exchange Rate</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Disputed Amounts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Taxes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Financial Audits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Interest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CONFIDENTIALITY; PUBLICATION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Confidential Information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Non-Disclosure and Non-Use Obligation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Exemption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Permitted Disclosures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Disclosure of Agreement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Publicity; Use of Name and Logo</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Publications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Survival; Return of Confidential Information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REPRESENTATIONS, WARRANTIES, AND COVENANTS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Representations, Warranties of Each Party</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Representations and Warranties of Licensor</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9"/>
        <w:gridCol w:w="115"/>
        <w:gridCol w:w="8502"/>
        <w:gridCol w:w="167"/>
        <w:gridCol w:w="96"/>
        <w:gridCol w:w="422"/>
        <w:gridCol w:w="64"/>
      </w:tblGrid>
      <w:tr>
        <w:trPr/>
        <w:tc>
          <w:tcPr>
            <w:tcW w:w="839"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850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3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Covenant of Each Party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Covenant of Licensor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Compliance with Law</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Data Transfer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NO OTHER WARRANTIES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INDEMNIFICATION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By Company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By Licensor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Indemnification Procedure</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Mitigation of Loss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Limitation of Liability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Insurance</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INTELLECTUAL PROPERTY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Ownership</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Patent Prosecution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Patent Enforcement</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Infringement of Third Party Rights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TERMS AND TERMINATION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Term</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Termination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Effect of Termination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Rights in Insolvency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Accrued Rights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12.6</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Survival</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MISCELLANEOUS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Force Majeure</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Export Control</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Assignment</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Severability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Notices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
        <w:gridCol w:w="116"/>
        <w:gridCol w:w="8405"/>
        <w:gridCol w:w="167"/>
        <w:gridCol w:w="96"/>
        <w:gridCol w:w="420"/>
        <w:gridCol w:w="65"/>
      </w:tblGrid>
      <w:tr>
        <w:trPr/>
        <w:tc>
          <w:tcPr>
            <w:tcW w:w="936"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840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3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13.6</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Governing Law</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13.7</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Dispute Resolution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13.8</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Entire Agreement; Amendments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13.9</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Headings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13.10</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Independent Contractors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13.11</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Waiver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13.12</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Waiver of Rule of Construction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13.13</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Cumulative Remedies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13.14</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Business Day Requirements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13.15</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Further Actions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13.16</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Construction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13.17</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Counterparts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EXCLUSIVE LICENSE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is made as of June 12, 2026 (the “</w:t>
      </w:r>
      <w:r>
        <w:rPr>
          <w:rFonts w:ascii="Times New Roman" w:hAnsi="Times New Roman"/>
          <w:b/>
          <w:i/>
          <w:sz w:val="20"/>
        </w:rPr>
        <w:t>Effective Date</w:t>
      </w:r>
      <w:r>
        <w:rPr>
          <w:rFonts w:ascii="Times New Roman" w:hAnsi="Times New Roman"/>
          <w:sz w:val="20"/>
        </w:rPr>
        <w:t xml:space="preserve">”), by and between </w:t>
      </w:r>
      <w:r>
        <w:rPr>
          <w:rFonts w:ascii="Times New Roman" w:hAnsi="Times New Roman"/>
          <w:b/>
          <w:sz w:val="20"/>
        </w:rPr>
        <w:t>RTW NEWCO10, INC.</w:t>
      </w:r>
      <w:r>
        <w:rPr>
          <w:rFonts w:ascii="Times New Roman" w:hAnsi="Times New Roman"/>
          <w:sz w:val="20"/>
        </w:rPr>
        <w:t>, a Delaware corporation (“</w:t>
      </w:r>
      <w:r>
        <w:rPr>
          <w:rFonts w:ascii="Times New Roman" w:hAnsi="Times New Roman"/>
          <w:b/>
          <w:i/>
          <w:sz w:val="20"/>
        </w:rPr>
        <w:t>Company</w:t>
      </w:r>
      <w:r>
        <w:rPr>
          <w:rFonts w:ascii="Times New Roman" w:hAnsi="Times New Roman"/>
          <w:sz w:val="20"/>
        </w:rPr>
        <w:t xml:space="preserve">”), having a place of business at c/o RTW Investments, LP, 40 10th Avenue, Floor 7, New York, NY 10014, USA, and </w:t>
      </w:r>
      <w:r>
        <w:rPr>
          <w:rFonts w:ascii="Times New Roman" w:hAnsi="Times New Roman"/>
          <w:b/>
          <w:sz w:val="20"/>
        </w:rPr>
        <w:t>YOLTECH THERAPEUTICS CO., LTD</w:t>
      </w:r>
      <w:r>
        <w:rPr>
          <w:rFonts w:ascii="Times New Roman" w:hAnsi="Times New Roman"/>
          <w:sz w:val="20"/>
        </w:rPr>
        <w:t>, a company incorporated under the laws of the People’s Republic of China (“</w:t>
      </w:r>
      <w:r>
        <w:rPr>
          <w:rFonts w:ascii="Times New Roman" w:hAnsi="Times New Roman"/>
          <w:b/>
          <w:i/>
          <w:sz w:val="20"/>
        </w:rPr>
        <w:t>Licensor</w:t>
      </w:r>
      <w:r>
        <w:rPr>
          <w:rFonts w:ascii="Times New Roman" w:hAnsi="Times New Roman"/>
          <w:sz w:val="20"/>
        </w:rPr>
        <w:t>”), having a place of business at Room 605, Building 5, No. 799 Dangui Road, China (Shanghai) Pilot Free Trade Zone, Pudong New Area, Shanghai 201203, the People’s Republic of China. Licensor and Company are referred to in this Agreement individually as a “</w:t>
      </w:r>
      <w:r>
        <w:rPr>
          <w:rFonts w:ascii="Times New Roman" w:hAnsi="Times New Roman"/>
          <w:b/>
          <w:i/>
          <w:sz w:val="20"/>
        </w:rPr>
        <w:t>Party</w:t>
      </w:r>
      <w:r>
        <w:rPr>
          <w:rFonts w:ascii="Times New Roman" w:hAnsi="Times New Roman"/>
          <w:sz w:val="20"/>
        </w:rPr>
        <w:t>” and collectively as the “</w:t>
      </w:r>
      <w:r>
        <w:rPr>
          <w:rFonts w:ascii="Times New Roman" w:hAnsi="Times New Roman"/>
          <w:b/>
          <w:i/>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Licensor is a gene editing company that Controls (as defined below) the intellectual property and other rights related to YOLT-202, Licensor’s investigational in vivo base-editing therapeutic;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Company is a biotech company focusing on the development and commercialization of biopharmaceutical products;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Company is interested in obtaining an exclusive license under such intellectual property and other rights Controlled by Licensor to Develop and Commercialize Licensed Product in the Field in the Licensed Territory (each capitalized term as defined below), and Licensor is willing to grant such an exclusive license to Company, subject to the terms and conditions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premises and the covenants contained herein,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specifically set forth to the contrary herein, the following terms, whether used in the singular or plural, shall have the respective meanings set forth below: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i/>
          <w:sz w:val="20"/>
        </w:rPr>
        <w:t>AATD</w:t>
      </w:r>
      <w:r>
        <w:rPr>
          <w:rFonts w:ascii="Times New Roman" w:hAnsi="Times New Roman"/>
          <w:sz w:val="20"/>
        </w:rPr>
        <w:t xml:space="preserve">” means Alpha-1 Antitrypsin Deficiency.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i/>
          <w:sz w:val="20"/>
        </w:rPr>
        <w:t>Acquiror</w:t>
      </w:r>
      <w:r>
        <w:rPr>
          <w:rFonts w:ascii="Times New Roman" w:hAnsi="Times New Roman"/>
          <w:sz w:val="20"/>
        </w:rPr>
        <w:t xml:space="preserve">” means, collectively, (a) a Third Party that acquires a Party (and is therefore deemed to be an Affiliate of such Party) through a Change of Control of such Party (or its controlling Affiliate), and (b) any Affiliate of such Third Party acquiror described in (a), other than the acquired Party and any of the acquired Party’s Affiliates existing immediately prior to the consummation of such Change of Control.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with respect to an entity, any corporation, firm, partnership or other entity which directly or indirectly through one or more intermediaries controls, is controlled by or is under common control with such entity, in each case, for so long as such control exists. An entity will be deemed to control another entity if it (a) owns, directly or indirectly, more than fifty percent (50%) of the outstanding voting securities (or such lesser percentage which is the maximum allowed to be owned by a foreign corporation in a particular jurisdiction) of such other entity, or has other comparable ownership interest with respect to any entity other than a corporation; or (b) has the power, whether pursuant to contract, ownership of securities or otherwise, to direct the management and policies of the entity. Notwithstanding the foregoing, Affiliates of Company do not include [***], or any portfolio company of any such entity, except for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i/>
          <w:sz w:val="20"/>
        </w:rPr>
        <w:t>Anti-Corruption Laws</w:t>
      </w:r>
      <w:r>
        <w:rPr>
          <w:rFonts w:ascii="Times New Roman" w:hAnsi="Times New Roman"/>
          <w:sz w:val="20"/>
        </w:rPr>
        <w:t xml:space="preserve">” means the Criminal Law and the Anti-unfair Competition Law in mainland China, the U.S. Foreign Corrupt Practices Act, as amended, and any other applicable anti-corruption laws and laws for the prevention of fraud, racketeering, money laundering or terrorism.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i/>
          <w:sz w:val="20"/>
        </w:rPr>
        <w:t>Applicable Laws</w:t>
      </w:r>
      <w:r>
        <w:rPr>
          <w:rFonts w:ascii="Times New Roman" w:hAnsi="Times New Roman"/>
          <w:sz w:val="20"/>
        </w:rPr>
        <w:t xml:space="preserve">” means collectively all laws, regulations, ordinances, decrees, judicial and administrative orders (and any license, franchise, permit or similar right granted under any of the foregoing) and any policies and other requirements of any applicable Governmental Authority that govern or otherwise apply to a Party’s activities in connection with this Agreement.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i/>
          <w:sz w:val="20"/>
        </w:rPr>
        <w:t>Applicable Territory</w:t>
      </w:r>
      <w:r>
        <w:rPr>
          <w:rFonts w:ascii="Times New Roman" w:hAnsi="Times New Roman"/>
          <w:sz w:val="20"/>
        </w:rPr>
        <w:t xml:space="preserve">” means (a) with respect to Company, the Licensed Territory, and (b) with respect to Licensor, the Retained Territory.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i/>
          <w:sz w:val="20"/>
        </w:rPr>
        <w:t>Biosimilar Product</w:t>
      </w:r>
      <w:r>
        <w:rPr>
          <w:rFonts w:ascii="Times New Roman" w:hAnsi="Times New Roman"/>
          <w:sz w:val="20"/>
        </w:rPr>
        <w:t>” means, with respect to a Licensed Product in a country, any generic, biosimilar or interchangeable product sold by a Third Party that is authorized for sale by the applicable Regulatory Authority in such country and that (a) received marketing approval for administration to humans based on an application that cited the Licensed Product as the reference product under Section 351(k) of the United States Public Health Service Act, as may be amended, or any subsequent or superseding law, statute or regulation (“</w:t>
      </w:r>
      <w:r>
        <w:rPr>
          <w:rFonts w:ascii="Times New Roman" w:hAnsi="Times New Roman"/>
          <w:b/>
          <w:i/>
          <w:sz w:val="20"/>
        </w:rPr>
        <w:t>PHSA</w:t>
      </w:r>
      <w:r>
        <w:rPr>
          <w:rFonts w:ascii="Times New Roman" w:hAnsi="Times New Roman"/>
          <w:sz w:val="20"/>
        </w:rPr>
        <w:t xml:space="preserve">”) and is “biosimilar” (as defined in Section 351(i)(2) of the PHSA) or “interchangeable” (as defined in Section 351(i)(3) of the PHSA) with the Licensed Product; (b) has been licensed as a similar biological medicinal product using such Licensed Product as the reference product pursuant to Article 10 of Directive 2001/83/EC, as may be amended, or any subsequent or superseding law, statute or regulation; or (c) has otherwise received Regulatory Approval as a generic, biosimilar or interchangeable product from another applicable Regulatory Authority in such country by referencing Regulatory Approvals (or data therein) of such Licensed Product. Any product (including any Licensed Product) licensed, marketed, or sold by or on behalf of Company, its Affiliates or Sublicensees will not constitute a Biosimilar Product for purposes of the royalty reduction pursuant to </w:t>
      </w:r>
      <w:r>
        <w:rPr>
          <w:rFonts w:ascii="Times New Roman" w:hAnsi="Times New Roman"/>
          <w:sz w:val="20"/>
          <w:u w:val="single"/>
        </w:rPr>
        <w:t>Section 7.5(c)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i/>
          <w:sz w:val="20"/>
        </w:rPr>
        <w:t>Business Day</w:t>
      </w:r>
      <w:r>
        <w:rPr>
          <w:rFonts w:ascii="Times New Roman" w:hAnsi="Times New Roman"/>
          <w:sz w:val="20"/>
        </w:rPr>
        <w:t xml:space="preserve">” means a day other than a Saturday, Sunday or a day on which banking institutions in the state of New York, USA or Shanghai, China are required by Applicable Laws to remain closed.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i/>
          <w:sz w:val="20"/>
        </w:rPr>
        <w:t>Calendar Quarter</w:t>
      </w:r>
      <w:r>
        <w:rPr>
          <w:rFonts w:ascii="Times New Roman" w:hAnsi="Times New Roman"/>
          <w:sz w:val="20"/>
        </w:rPr>
        <w:t xml:space="preserve">” means the respective periods of three (3) consecutive calendar months ending on March 31, June 30, September 30 and December 31, except that the first Calendar Quarter shall commence on the Effective Date and end on the first to occur of March 31, June 30, September 30 and December 31 after the Effective Date, and the last Calendar Quarter shall end on the last day of the Term. </w:t>
      </w:r>
    </w:p>
    <w:p>
      <w:pPr>
        <w:pStyle w:val="TextBody"/>
        <w:bidi w:val="0"/>
        <w:spacing w:before="24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i/>
          <w:sz w:val="20"/>
        </w:rPr>
        <w:t>Calendar Year</w:t>
      </w:r>
      <w:r>
        <w:rPr>
          <w:rFonts w:ascii="Times New Roman" w:hAnsi="Times New Roman"/>
          <w:sz w:val="20"/>
        </w:rPr>
        <w:t xml:space="preserve">” means each twelve (12) month period commencing on January 1, except that the first Calendar Year shall commence on the Effective Date and end on the first December 31 to occur after the Effective Date, and the last Calendar Year shall end on the last day of the Term. </w:t>
      </w:r>
    </w:p>
    <w:p>
      <w:pPr>
        <w:pStyle w:val="TextBody"/>
        <w:bidi w:val="0"/>
        <w:spacing w:before="24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i/>
          <w:sz w:val="20"/>
        </w:rPr>
        <w:t>cGMP</w:t>
      </w:r>
      <w:r>
        <w:rPr>
          <w:rFonts w:ascii="Times New Roman" w:hAnsi="Times New Roman"/>
          <w:sz w:val="20"/>
        </w:rPr>
        <w:t xml:space="preserve">” means all applicable current Good Manufacturing Practices, including, as applicable, (a) the principles detailed in the U.S. Current Good Manufacturing Practices, 21 C.F.R. Parts 4, 210, 211, 601, 610 and 820, (b) European Directive 2003/94/EC and Eudralex 4, (c) the principles detailed in the ICH Q7 of ICH Guidelines, and (d) the equivalent Applicable Laws in any relevant country or jurisdiction, each as may be amended and applicable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i/>
          <w:sz w:val="20"/>
        </w:rPr>
        <w:t>Change of Control</w:t>
      </w:r>
      <w:r>
        <w:rPr>
          <w:rFonts w:ascii="Times New Roman" w:hAnsi="Times New Roman"/>
          <w:sz w:val="20"/>
        </w:rPr>
        <w:t xml:space="preserve">” means, with respect to a Party, any of the following: (a) the sale or disposition of all or substantially all of the assets of such Party or its direct or indirect controlling Affiliate to a Third Party, other than to a Person of which more than fifty percent (50%) of the voting capital stock are owned after such sale or disposition by the Persons that were shareholders of such Party or its direct or indirect controlling Affiliate (in either case, whether directly or indirectly through any other Person) immediately prior to such transaction; or (b) (i) the acquisition by a Third Party, alone or together with any of its Affiliates, other than an employee benefit plan (or related trust) sponsored or maintained by such Party or any of its Affiliates, of more than fifty percent (50%) of the outstanding shares of voting capital stock of such Party or its direct or indirect controlling Affiliate, or (ii) the acquisition, merger or consolidation of such Party or its direct or indirect controlling Affiliate with or into another Person, other than, in the case of this clause (b), an acquisition or a merger or consolidation of such Party or its controlling Affiliate in which the holders of shares of voting capital stock of such Party or its controlling Affiliate,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Change of Control shall not include any transaction or series of transactions for bona fide financing purposes (including public offering and reverse merger) or tax purposes (including the change of place of incorporation or domicile).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i/>
          <w:sz w:val="20"/>
        </w:rPr>
        <w:t>Clinical Trial</w:t>
      </w:r>
      <w:r>
        <w:rPr>
          <w:rFonts w:ascii="Times New Roman" w:hAnsi="Times New Roman"/>
          <w:sz w:val="20"/>
        </w:rPr>
        <w:t xml:space="preserve">” means any clinical trial in humans of a pharmaceutical compound or product. </w:t>
      </w:r>
    </w:p>
    <w:p>
      <w:pPr>
        <w:pStyle w:val="TextBody"/>
        <w:bidi w:val="0"/>
        <w:spacing w:before="24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i/>
          <w:sz w:val="20"/>
        </w:rPr>
        <w:t>CMO</w:t>
      </w:r>
      <w:r>
        <w:rPr>
          <w:rFonts w:ascii="Times New Roman" w:hAnsi="Times New Roman"/>
          <w:sz w:val="20"/>
        </w:rPr>
        <w:t xml:space="preserve">” means a contract manufacturing organization. </w:t>
      </w:r>
    </w:p>
    <w:p>
      <w:pPr>
        <w:pStyle w:val="TextBody"/>
        <w:bidi w:val="0"/>
        <w:spacing w:before="24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i/>
          <w:sz w:val="20"/>
        </w:rPr>
        <w:t>COGS</w:t>
      </w:r>
      <w:r>
        <w:rPr>
          <w:rFonts w:ascii="Times New Roman" w:hAnsi="Times New Roman"/>
          <w:sz w:val="20"/>
        </w:rPr>
        <w:t xml:space="preserve">” means, with respect to the Licensed Therapeutic or Licensed Product supplied by or on behalf of Licensor to Company: </w:t>
      </w:r>
    </w:p>
    <w:p>
      <w:pPr>
        <w:pStyle w:val="TextBody"/>
        <w:bidi w:val="0"/>
        <w:spacing w:before="120" w:after="0"/>
        <w:jc w:val="left"/>
        <w:rPr>
          <w:rFonts w:ascii="Times New Roman" w:hAnsi="Times New Roman"/>
          <w:sz w:val="20"/>
        </w:rPr>
      </w:pPr>
      <w:r>
        <w:rPr>
          <w:rFonts w:ascii="Times New Roman" w:hAnsi="Times New Roman"/>
          <w:sz w:val="20"/>
        </w:rPr>
        <w:t xml:space="preserve">(a) [***]; and </w:t>
      </w:r>
    </w:p>
    <w:p>
      <w:pPr>
        <w:pStyle w:val="TextBody"/>
        <w:bidi w:val="0"/>
        <w:spacing w:before="240" w:after="0"/>
        <w:jc w:val="left"/>
        <w:rPr>
          <w:rFonts w:ascii="Times New Roman" w:hAnsi="Times New Roman"/>
          <w:sz w:val="20"/>
        </w:rPr>
      </w:pPr>
      <w:r>
        <w:rPr>
          <w:rFonts w:ascii="Times New Roman" w:hAnsi="Times New Roman"/>
          <w:sz w:val="20"/>
        </w:rPr>
        <w:t xml:space="preserve">(b) [***]. </w:t>
      </w:r>
    </w:p>
    <w:p>
      <w:pPr>
        <w:pStyle w:val="TextBody"/>
        <w:bidi w:val="0"/>
        <w:spacing w:before="24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w:t>
      </w:r>
      <w:r>
        <w:rPr>
          <w:rFonts w:ascii="Times New Roman" w:hAnsi="Times New Roman"/>
          <w:b/>
          <w:i/>
          <w:sz w:val="20"/>
        </w:rPr>
        <w:t>Commercialize</w:t>
      </w:r>
      <w:r>
        <w:rPr>
          <w:rFonts w:ascii="Times New Roman" w:hAnsi="Times New Roman"/>
          <w:sz w:val="20"/>
        </w:rPr>
        <w:t>” or “</w:t>
      </w:r>
      <w:r>
        <w:rPr>
          <w:rFonts w:ascii="Times New Roman" w:hAnsi="Times New Roman"/>
          <w:b/>
          <w:i/>
          <w:sz w:val="20"/>
        </w:rPr>
        <w:t>Commercialization</w:t>
      </w:r>
      <w:r>
        <w:rPr>
          <w:rFonts w:ascii="Times New Roman" w:hAnsi="Times New Roman"/>
          <w:sz w:val="20"/>
        </w:rPr>
        <w:t xml:space="preserve">” means to market, promote, advertise, exhibit, distribute (including storage for distribution or inventory), detail, sell (including to offer for sale or contract to sell) or otherwise commercially exploit (including to conduct pricing and reimbursement activities) a pharmaceutical compound or product, or to conduct any activities directed to any of the foregoing (including importing and exporting activities in connection therewith). </w:t>
      </w:r>
    </w:p>
    <w:p>
      <w:pPr>
        <w:pStyle w:val="TextBody"/>
        <w:bidi w:val="0"/>
        <w:spacing w:before="240" w:after="0"/>
        <w:jc w:val="left"/>
        <w:rPr>
          <w:rFonts w:ascii="Times New Roman" w:hAnsi="Times New Roman"/>
          <w:sz w:val="20"/>
        </w:rPr>
      </w:pPr>
      <w:r>
        <w:rPr>
          <w:rFonts w:ascii="Times New Roman" w:hAnsi="Times New Roman"/>
          <w:b/>
          <w:sz w:val="20"/>
        </w:rPr>
        <w:t>1.17</w:t>
      </w:r>
      <w:r>
        <w:rPr>
          <w:rFonts w:ascii="Times New Roman" w:hAnsi="Times New Roman"/>
          <w:sz w:val="20"/>
        </w:rPr>
        <w:t xml:space="preserve"> “</w:t>
      </w:r>
      <w:r>
        <w:rPr>
          <w:rFonts w:ascii="Times New Roman" w:hAnsi="Times New Roman"/>
          <w:b/>
          <w:i/>
          <w:sz w:val="20"/>
        </w:rPr>
        <w:t>Commercially Reasonable Efforts</w:t>
      </w:r>
      <w:r>
        <w:rPr>
          <w:rFonts w:ascii="Times New Roman" w:hAnsi="Times New Roman"/>
          <w:sz w:val="20"/>
        </w:rPr>
        <w:t xml:space="preserve">” means, with respect to a Party and the performance of an obligation under this Agreement, that level of efforts and resources consistent with the commercially reasonable practices normally devoted by a similarly situated company, as part of an active and continuing program of development and commercialization of a pharmaceutical product of similar market potential, at a similar stage in research, Development or Commercialization, as applicable, and at a similar stage of product life, taking into account all relevant factors, including the product’s advantages and disadvantages, efficacy, safety, Regulatory Authority-approved labeling and pricing (including any actual or anticipated changes in price or any limit on maximum reimbursement or price amount based on international reference pricing (including any “most favored nation” pricing limitation)), the competitiveness in the marketplace and other market conditions, the patent coverage and proprietary position of the product, the likelihood of Development success or Regulatory Approval, the regulatory structure involved, the anticipated profitability of the product, and all other factors or circumstances that may impact the Exploitation of a product, without taking into consideration the expected and actual milestones, royalties, and other payments to Licensor or to Third Parties under this Agreement or otherwise. Commercially Reasonable Efforts are expected to change over time, reflecting changes in the status of such product and the markets involved.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1.18</w:t>
      </w:r>
      <w:r>
        <w:rPr>
          <w:rFonts w:ascii="Times New Roman" w:hAnsi="Times New Roman"/>
          <w:sz w:val="20"/>
        </w:rPr>
        <w:t xml:space="preserve"> “</w:t>
      </w:r>
      <w:r>
        <w:rPr>
          <w:rFonts w:ascii="Times New Roman" w:hAnsi="Times New Roman"/>
          <w:b/>
          <w:i/>
          <w:sz w:val="20"/>
        </w:rPr>
        <w:t>Company IP</w:t>
      </w:r>
      <w:r>
        <w:rPr>
          <w:rFonts w:ascii="Times New Roman" w:hAnsi="Times New Roman"/>
          <w:sz w:val="20"/>
        </w:rPr>
        <w:t xml:space="preserve">” means all Know-How and Patents Rights that are Controlled by Company or any of its Affiliates during the Term that (a) are generated from the Exploitation of any Licensed Therapeutics or Licensed Products by or on behalf of Company, its Affiliates or Sublicensees, and are necessary to Develop, Manufacture or Commercialize any Licensed Therapeutics or any Licensed Products, or (b) are used in the Exploitation of any Licensed Therapeutics or Licensed Products by or on behalf of Company, its Affiliates or Sublicensees, but in each case (of (a) and (b)) excluding any Joint Foreground Know-How or Joint Foreground Patents. </w:t>
      </w:r>
    </w:p>
    <w:p>
      <w:pPr>
        <w:pStyle w:val="TextBody"/>
        <w:bidi w:val="0"/>
        <w:spacing w:before="240" w:after="0"/>
        <w:jc w:val="left"/>
        <w:rPr>
          <w:rFonts w:ascii="Times New Roman" w:hAnsi="Times New Roman"/>
          <w:sz w:val="20"/>
        </w:rPr>
      </w:pPr>
      <w:r>
        <w:rPr>
          <w:rFonts w:ascii="Times New Roman" w:hAnsi="Times New Roman"/>
          <w:b/>
          <w:sz w:val="20"/>
        </w:rPr>
        <w:t>1.19</w:t>
      </w:r>
      <w:r>
        <w:rPr>
          <w:rFonts w:ascii="Times New Roman" w:hAnsi="Times New Roman"/>
          <w:sz w:val="20"/>
        </w:rPr>
        <w:t xml:space="preserve"> “</w:t>
      </w:r>
      <w:r>
        <w:rPr>
          <w:rFonts w:ascii="Times New Roman" w:hAnsi="Times New Roman"/>
          <w:b/>
          <w:i/>
          <w:sz w:val="20"/>
        </w:rPr>
        <w:t>Competing Product</w:t>
      </w:r>
      <w:r>
        <w:rPr>
          <w:rFonts w:ascii="Times New Roman" w:hAnsi="Times New Roman"/>
          <w:sz w:val="20"/>
        </w:rPr>
        <w:t xml:space="preserve">” means any [***] therapy that [***] in patients. </w:t>
      </w:r>
    </w:p>
    <w:p>
      <w:pPr>
        <w:pStyle w:val="TextBody"/>
        <w:bidi w:val="0"/>
        <w:spacing w:before="240" w:after="0"/>
        <w:jc w:val="left"/>
        <w:rPr>
          <w:rFonts w:ascii="Times New Roman" w:hAnsi="Times New Roman"/>
          <w:sz w:val="20"/>
        </w:rPr>
      </w:pPr>
      <w:r>
        <w:rPr>
          <w:rFonts w:ascii="Times New Roman" w:hAnsi="Times New Roman"/>
          <w:b/>
          <w:sz w:val="20"/>
        </w:rPr>
        <w:t>1.20</w:t>
      </w:r>
      <w:r>
        <w:rPr>
          <w:rFonts w:ascii="Times New Roman" w:hAnsi="Times New Roman"/>
          <w:sz w:val="20"/>
        </w:rPr>
        <w:t xml:space="preserve"> “</w:t>
      </w:r>
      <w:r>
        <w:rPr>
          <w:rFonts w:ascii="Times New Roman" w:hAnsi="Times New Roman"/>
          <w:b/>
          <w:i/>
          <w:sz w:val="20"/>
        </w:rPr>
        <w:t>Control</w:t>
      </w:r>
      <w:r>
        <w:rPr>
          <w:rFonts w:ascii="Times New Roman" w:hAnsi="Times New Roman"/>
          <w:sz w:val="20"/>
        </w:rPr>
        <w:t>” or “</w:t>
      </w:r>
      <w:r>
        <w:rPr>
          <w:rFonts w:ascii="Times New Roman" w:hAnsi="Times New Roman"/>
          <w:b/>
          <w:i/>
          <w:sz w:val="20"/>
        </w:rPr>
        <w:t>Controlled</w:t>
      </w:r>
      <w:r>
        <w:rPr>
          <w:rFonts w:ascii="Times New Roman" w:hAnsi="Times New Roman"/>
          <w:sz w:val="20"/>
        </w:rPr>
        <w:t xml:space="preserve">” means the possession by a Party or its Affiliates (whether by ownership, license or otherwise) of, (a) with respect to any tangible Know-How or materials, the legal authority or right to physical possession of such tangible Know-How or materials, with the right to grant the other Party rights or access to such tangible Know-How or materials on the terms and conditions set forth herein, or (b) with respect to Patent Rights, intangible Know-How or other intellectual property rights, the legal authority or right to grant a license, sublicense, access or right to use (as applicable) under such Patent Rights, intangible Know-How or other intellectual property rights to the other Party on the terms and conditions set forth herein, in each case of (a) and (b), without breaching the terms of any agreement with a Third Party in existence as of the time such Party or its Affiliates would first be required hereunder to grant the other Party such access, right to use or (sub)license. Notwithstanding the foregoing, if any Patent Rights, Know-How or other intellectual property rights are in-licensed or acquired by a Party (or its Affiliates) after the Effective Date from a Third Party, then such items shall be excluded from the items Controlled by such Party (or its Affiliates) unless the other Party agrees to (i) comply with the applicable terms and conditions of the agreement under which such Party (or its Affiliates) in-licensed or acquired such item; (ii) pay all upfronts, license maintenance fees, regulatory or development milestone amounts, and similar payments that such Party (or its Affiliates) would be obligated to pay in connection with the grant, maintenance or exercise of a (sub)license to the other Party under such item; and (iii) pay all royalties with respect to net sales of such Party’s Products and a pro rata portion of commercial or sales milestone amounts that such Party (or its Affiliates) would be obligated to pay in connection with such in-licensed or acquired intellectual property rights, where such pro rata portion shall be calculated based on the relative weight of the applicable net sales generated by the other Party under such (sub)license granted hereunder as compared to the total applicable net sales giving rise to such payment obligation. The definition of “Control” is further subject to the terms and conditions set forth in </w:t>
      </w:r>
      <w:r>
        <w:rPr>
          <w:rFonts w:ascii="Times New Roman" w:hAnsi="Times New Roman"/>
          <w:sz w:val="20"/>
          <w:u w:val="single"/>
        </w:rPr>
        <w:t>Section 13.3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i/>
          <w:sz w:val="20"/>
        </w:rPr>
        <w:t>Cover</w:t>
      </w:r>
      <w:r>
        <w:rPr>
          <w:rFonts w:ascii="Times New Roman" w:hAnsi="Times New Roman"/>
          <w:sz w:val="20"/>
        </w:rPr>
        <w:t xml:space="preserve">” means, with respect to a product, technology, process, method or mode of administration that, in the absence of ownership of or a license granted under a particular Patent Right, the use, manufacture, offer for sale, sale or importation of such product or composition of matter or the practice of such technology, process, method or mode of administration would infringe a claim of such Patent Right or, in the case of a claim of a Patent Right that has not yet issued, would infringe such claim if it were to issue without change.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w:t>
      </w:r>
      <w:r>
        <w:rPr>
          <w:rFonts w:ascii="Times New Roman" w:hAnsi="Times New Roman"/>
          <w:b/>
          <w:i/>
          <w:sz w:val="20"/>
        </w:rPr>
        <w:t>CRO</w:t>
      </w:r>
      <w:r>
        <w:rPr>
          <w:rFonts w:ascii="Times New Roman" w:hAnsi="Times New Roman"/>
          <w:sz w:val="20"/>
        </w:rPr>
        <w:t xml:space="preserve">” means a contract research organization. </w:t>
      </w:r>
    </w:p>
    <w:p>
      <w:pPr>
        <w:pStyle w:val="TextBody"/>
        <w:bidi w:val="0"/>
        <w:spacing w:before="240" w:after="0"/>
        <w:jc w:val="left"/>
        <w:rPr>
          <w:rFonts w:ascii="Times New Roman" w:hAnsi="Times New Roman"/>
          <w:sz w:val="20"/>
        </w:rPr>
      </w:pPr>
      <w:r>
        <w:rPr>
          <w:rFonts w:ascii="Times New Roman" w:hAnsi="Times New Roman"/>
          <w:b/>
          <w:sz w:val="20"/>
        </w:rPr>
        <w:t>1.23</w:t>
      </w:r>
      <w:r>
        <w:rPr>
          <w:rFonts w:ascii="Times New Roman" w:hAnsi="Times New Roman"/>
          <w:sz w:val="20"/>
        </w:rPr>
        <w:t xml:space="preserve"> “</w:t>
      </w:r>
      <w:r>
        <w:rPr>
          <w:rFonts w:ascii="Times New Roman" w:hAnsi="Times New Roman"/>
          <w:b/>
          <w:i/>
          <w:sz w:val="20"/>
        </w:rPr>
        <w:t>Data</w:t>
      </w:r>
      <w:r>
        <w:rPr>
          <w:rFonts w:ascii="Times New Roman" w:hAnsi="Times New Roman"/>
          <w:sz w:val="20"/>
        </w:rPr>
        <w:t xml:space="preserve">” means all CMC information, non-clinical data, clinical data and safety data, in each case generated by or on behalf of a Party, or its Affiliates or their Sublicensees (with respect to Company) or Third Party Licensees (with respect to Licensor) in connection with the Development or Manufacture of the Licensed Products. For clarity, Data does not include any patentable Foreground Know-How.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w:t>
      </w:r>
      <w:r>
        <w:rPr>
          <w:rFonts w:ascii="Times New Roman" w:hAnsi="Times New Roman"/>
          <w:b/>
          <w:i/>
          <w:sz w:val="20"/>
        </w:rPr>
        <w:t>Data Security and Protection Laws</w:t>
      </w:r>
      <w:r>
        <w:rPr>
          <w:rFonts w:ascii="Times New Roman" w:hAnsi="Times New Roman"/>
          <w:sz w:val="20"/>
        </w:rPr>
        <w:t xml:space="preserve">” means all applicable data security and protection laws governing the Processing of the relevant Personal Data under this Agreement. </w:t>
      </w:r>
    </w:p>
    <w:p>
      <w:pPr>
        <w:pStyle w:val="TextBody"/>
        <w:bidi w:val="0"/>
        <w:spacing w:before="240" w:after="0"/>
        <w:jc w:val="left"/>
        <w:rPr>
          <w:rFonts w:ascii="Times New Roman" w:hAnsi="Times New Roman"/>
          <w:sz w:val="20"/>
        </w:rPr>
      </w:pPr>
      <w:r>
        <w:rPr>
          <w:rFonts w:ascii="Times New Roman" w:hAnsi="Times New Roman"/>
          <w:b/>
          <w:sz w:val="20"/>
        </w:rPr>
        <w:t>1.25</w:t>
      </w:r>
      <w:r>
        <w:rPr>
          <w:rFonts w:ascii="Times New Roman" w:hAnsi="Times New Roman"/>
          <w:sz w:val="20"/>
        </w:rPr>
        <w:t xml:space="preserve"> “</w:t>
      </w:r>
      <w:r>
        <w:rPr>
          <w:rFonts w:ascii="Times New Roman" w:hAnsi="Times New Roman"/>
          <w:b/>
          <w:i/>
          <w:sz w:val="20"/>
        </w:rPr>
        <w:t>Develop</w:t>
      </w:r>
      <w:r>
        <w:rPr>
          <w:rFonts w:ascii="Times New Roman" w:hAnsi="Times New Roman"/>
          <w:sz w:val="20"/>
        </w:rPr>
        <w:t>” or “</w:t>
      </w:r>
      <w:r>
        <w:rPr>
          <w:rFonts w:ascii="Times New Roman" w:hAnsi="Times New Roman"/>
          <w:b/>
          <w:i/>
          <w:sz w:val="20"/>
        </w:rPr>
        <w:t>Development</w:t>
      </w:r>
      <w:r>
        <w:rPr>
          <w:rFonts w:ascii="Times New Roman" w:hAnsi="Times New Roman"/>
          <w:sz w:val="20"/>
        </w:rPr>
        <w:t xml:space="preserve">” means to conduct any non-clinical or clinical drug research or development activities, whether before or after Regulatory Approval, including drug metabolism and pharmacokinetics, translational research, toxicology, pharmacology, test method development and stability testing, process and packaging development and improvement, process validation, process scale-up, formulation development, delivery system development, quality assurance and quality control development, statistical analysis, conduct of Clinical Trials, regulatory affairs, the preparation and submission of regulatory filings, Clinical Trial regulatory activities, or any other activities directed towards obtaining or maintaining Regulatory Approval of any pharmaceutical compound or product. Development includes use and importation of the relevant compound or product to conduct such Development activities. Development does not include Commercialization activities. </w:t>
      </w:r>
    </w:p>
    <w:p>
      <w:pPr>
        <w:pStyle w:val="TextBody"/>
        <w:bidi w:val="0"/>
        <w:spacing w:before="240" w:after="0"/>
        <w:jc w:val="left"/>
        <w:rPr>
          <w:rFonts w:ascii="Times New Roman" w:hAnsi="Times New Roman"/>
          <w:sz w:val="20"/>
        </w:rPr>
      </w:pPr>
      <w:r>
        <w:rPr>
          <w:rFonts w:ascii="Times New Roman" w:hAnsi="Times New Roman"/>
          <w:b/>
          <w:sz w:val="20"/>
        </w:rPr>
        <w:t>1.26</w:t>
      </w:r>
      <w:r>
        <w:rPr>
          <w:rFonts w:ascii="Times New Roman" w:hAnsi="Times New Roman"/>
          <w:sz w:val="20"/>
        </w:rPr>
        <w:t xml:space="preserve"> “</w:t>
      </w:r>
      <w:r>
        <w:rPr>
          <w:rFonts w:ascii="Times New Roman" w:hAnsi="Times New Roman"/>
          <w:b/>
          <w:i/>
          <w:sz w:val="20"/>
        </w:rPr>
        <w:t>Dollar</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U.S. dollar, and “$” shall be interpreted accordingly. </w:t>
      </w:r>
    </w:p>
    <w:p>
      <w:pPr>
        <w:pStyle w:val="TextBody"/>
        <w:bidi w:val="0"/>
        <w:spacing w:before="240" w:after="0"/>
        <w:jc w:val="left"/>
        <w:rPr>
          <w:rFonts w:ascii="Times New Roman" w:hAnsi="Times New Roman"/>
          <w:sz w:val="20"/>
        </w:rPr>
      </w:pPr>
      <w:r>
        <w:rPr>
          <w:rFonts w:ascii="Times New Roman" w:hAnsi="Times New Roman"/>
          <w:b/>
          <w:sz w:val="20"/>
        </w:rPr>
        <w:t>1.27</w:t>
      </w:r>
      <w:r>
        <w:rPr>
          <w:rFonts w:ascii="Times New Roman" w:hAnsi="Times New Roman"/>
          <w:sz w:val="20"/>
        </w:rPr>
        <w:t xml:space="preserve"> “</w:t>
      </w:r>
      <w:r>
        <w:rPr>
          <w:rFonts w:ascii="Times New Roman" w:hAnsi="Times New Roman"/>
          <w:b/>
          <w:i/>
          <w:sz w:val="20"/>
        </w:rPr>
        <w:t>EMA</w:t>
      </w:r>
      <w:r>
        <w:rPr>
          <w:rFonts w:ascii="Times New Roman" w:hAnsi="Times New Roman"/>
          <w:sz w:val="20"/>
        </w:rPr>
        <w:t xml:space="preserve">” means the European Medicines Agency and any successor agency thereto. </w:t>
      </w:r>
    </w:p>
    <w:p>
      <w:pPr>
        <w:pStyle w:val="TextBody"/>
        <w:bidi w:val="0"/>
        <w:spacing w:before="240" w:after="0"/>
        <w:jc w:val="left"/>
        <w:rPr>
          <w:rFonts w:ascii="Times New Roman" w:hAnsi="Times New Roman"/>
          <w:sz w:val="20"/>
        </w:rPr>
      </w:pPr>
      <w:r>
        <w:rPr>
          <w:rFonts w:ascii="Times New Roman" w:hAnsi="Times New Roman"/>
          <w:b/>
          <w:sz w:val="20"/>
        </w:rPr>
        <w:t>1.28</w:t>
      </w:r>
      <w:r>
        <w:rPr>
          <w:rFonts w:ascii="Times New Roman" w:hAnsi="Times New Roman"/>
          <w:sz w:val="20"/>
        </w:rPr>
        <w:t xml:space="preserve"> “</w:t>
      </w:r>
      <w:r>
        <w:rPr>
          <w:rFonts w:ascii="Times New Roman" w:hAnsi="Times New Roman"/>
          <w:b/>
          <w:i/>
          <w:sz w:val="20"/>
        </w:rPr>
        <w:t>Equity Documents</w:t>
      </w:r>
      <w:r>
        <w:rPr>
          <w:rFonts w:ascii="Times New Roman" w:hAnsi="Times New Roman"/>
          <w:sz w:val="20"/>
        </w:rPr>
        <w:t>” means (a) that certain Warrant Subscription Agreement by and between Company and Licensor, dated on or around the date hereof (the “</w:t>
      </w:r>
      <w:r>
        <w:rPr>
          <w:rFonts w:ascii="Times New Roman" w:hAnsi="Times New Roman"/>
          <w:b/>
          <w:i/>
          <w:sz w:val="20"/>
        </w:rPr>
        <w:t>Subscription Agreement</w:t>
      </w:r>
      <w:r>
        <w:rPr>
          <w:rFonts w:ascii="Times New Roman" w:hAnsi="Times New Roman"/>
          <w:sz w:val="20"/>
        </w:rPr>
        <w:t xml:space="preserve">”), (b) that certain Warrants issued by Company to Licensor pursuant to the Subscription Agreement and (c) any other related documents necessary to effect the issuance of equity contemplated therein. </w:t>
      </w:r>
    </w:p>
    <w:p>
      <w:pPr>
        <w:pStyle w:val="TextBody"/>
        <w:bidi w:val="0"/>
        <w:spacing w:before="240" w:after="0"/>
        <w:jc w:val="left"/>
        <w:rPr>
          <w:rFonts w:ascii="Times New Roman" w:hAnsi="Times New Roman"/>
          <w:sz w:val="20"/>
        </w:rPr>
      </w:pPr>
      <w:r>
        <w:rPr>
          <w:rFonts w:ascii="Times New Roman" w:hAnsi="Times New Roman"/>
          <w:b/>
          <w:sz w:val="20"/>
        </w:rPr>
        <w:t>1.29</w:t>
      </w:r>
      <w:r>
        <w:rPr>
          <w:rFonts w:ascii="Times New Roman" w:hAnsi="Times New Roman"/>
          <w:sz w:val="20"/>
        </w:rPr>
        <w:t xml:space="preserve"> “</w:t>
      </w:r>
      <w:r>
        <w:rPr>
          <w:rFonts w:ascii="Times New Roman" w:hAnsi="Times New Roman"/>
          <w:b/>
          <w:i/>
          <w:sz w:val="20"/>
        </w:rPr>
        <w:t>EU</w:t>
      </w:r>
      <w:r>
        <w:rPr>
          <w:rFonts w:ascii="Times New Roman" w:hAnsi="Times New Roman"/>
          <w:sz w:val="20"/>
        </w:rPr>
        <w:t xml:space="preserve">” means the Major European Countries, all of the European Union member states as of the applicable time during the Term, and all of the European Economic Area member states. </w:t>
      </w:r>
    </w:p>
    <w:p>
      <w:pPr>
        <w:pStyle w:val="TextBody"/>
        <w:bidi w:val="0"/>
        <w:spacing w:before="240" w:after="0"/>
        <w:jc w:val="left"/>
        <w:rPr>
          <w:rFonts w:ascii="Times New Roman" w:hAnsi="Times New Roman"/>
          <w:sz w:val="20"/>
        </w:rPr>
      </w:pPr>
      <w:r>
        <w:rPr>
          <w:rFonts w:ascii="Times New Roman" w:hAnsi="Times New Roman"/>
          <w:b/>
          <w:sz w:val="20"/>
        </w:rPr>
        <w:t>1.30</w:t>
      </w:r>
      <w:r>
        <w:rPr>
          <w:rFonts w:ascii="Times New Roman" w:hAnsi="Times New Roman"/>
          <w:sz w:val="20"/>
        </w:rPr>
        <w:t xml:space="preserve"> “</w:t>
      </w:r>
      <w:r>
        <w:rPr>
          <w:rFonts w:ascii="Times New Roman" w:hAnsi="Times New Roman"/>
          <w:b/>
          <w:i/>
          <w:sz w:val="20"/>
        </w:rPr>
        <w:t>Executive Officers</w:t>
      </w:r>
      <w:r>
        <w:rPr>
          <w:rFonts w:ascii="Times New Roman" w:hAnsi="Times New Roman"/>
          <w:sz w:val="20"/>
        </w:rPr>
        <w:t xml:space="preserve">” means the Chief Executive Officer of Licensor and the Chief Executive Officer of Company, or such other senior executive whom such Person may designate in writing. </w:t>
      </w:r>
    </w:p>
    <w:p>
      <w:pPr>
        <w:pStyle w:val="TextBody"/>
        <w:bidi w:val="0"/>
        <w:spacing w:before="24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i/>
          <w:sz w:val="20"/>
        </w:rPr>
        <w:t>Existing IND</w:t>
      </w:r>
      <w:r>
        <w:rPr>
          <w:rFonts w:ascii="Times New Roman" w:hAnsi="Times New Roman"/>
          <w:sz w:val="20"/>
        </w:rPr>
        <w:t xml:space="preserve">” means Licensor’s current IND (IND# [***]) for the Licensed Product in the U.S.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i/>
          <w:sz w:val="20"/>
        </w:rPr>
        <w:t>Exploit</w:t>
      </w:r>
      <w:r>
        <w:rPr>
          <w:rFonts w:ascii="Times New Roman" w:hAnsi="Times New Roman"/>
          <w:sz w:val="20"/>
        </w:rPr>
        <w:t>” or “</w:t>
      </w:r>
      <w:r>
        <w:rPr>
          <w:rFonts w:ascii="Times New Roman" w:hAnsi="Times New Roman"/>
          <w:b/>
          <w:i/>
          <w:sz w:val="20"/>
        </w:rPr>
        <w:t>Exploitation</w:t>
      </w:r>
      <w:r>
        <w:rPr>
          <w:rFonts w:ascii="Times New Roman" w:hAnsi="Times New Roman"/>
          <w:sz w:val="20"/>
        </w:rPr>
        <w:t xml:space="preserve">” means, with respect to any pharmaceutical compound or product, to research, Develop, have Developed, Manufacture, have Manufactured, use, Commercialize, have Commercialized, import, export, obtain and maintain Regulatory Approvals and applicable pricing or reimbursement approvals, and otherwise exploit or have exploited such pharmaceutical compound or product.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i/>
          <w:sz w:val="20"/>
        </w:rPr>
        <w:t>FDA</w:t>
      </w:r>
      <w:r>
        <w:rPr>
          <w:rFonts w:ascii="Times New Roman" w:hAnsi="Times New Roman"/>
          <w:sz w:val="20"/>
        </w:rPr>
        <w:t xml:space="preserve">” means the United States Food and Drug Administration or any successor agency(ies) or authority thereto having substantially the same function.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xml:space="preserve"> “</w:t>
      </w:r>
      <w:r>
        <w:rPr>
          <w:rFonts w:ascii="Times New Roman" w:hAnsi="Times New Roman"/>
          <w:b/>
          <w:i/>
          <w:sz w:val="20"/>
        </w:rPr>
        <w:t>Field</w:t>
      </w:r>
      <w:r>
        <w:rPr>
          <w:rFonts w:ascii="Times New Roman" w:hAnsi="Times New Roman"/>
          <w:sz w:val="20"/>
        </w:rPr>
        <w:t xml:space="preserve">” means all uses, including prophylactic, therapeutic or diagnostic uses, in humans and animals.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1.35</w:t>
      </w:r>
      <w:r>
        <w:rPr>
          <w:rFonts w:ascii="Times New Roman" w:hAnsi="Times New Roman"/>
          <w:sz w:val="20"/>
        </w:rPr>
        <w:t xml:space="preserve"> “</w:t>
      </w:r>
      <w:r>
        <w:rPr>
          <w:rFonts w:ascii="Times New Roman" w:hAnsi="Times New Roman"/>
          <w:b/>
          <w:i/>
          <w:sz w:val="20"/>
        </w:rPr>
        <w:t>First Commercial Sale</w:t>
      </w:r>
      <w:r>
        <w:rPr>
          <w:rFonts w:ascii="Times New Roman" w:hAnsi="Times New Roman"/>
          <w:sz w:val="20"/>
        </w:rPr>
        <w:t xml:space="preserve">” means, with respect to a given Licensed Product in the Licensed Territory, the first sale by Company, its Affiliates or Sublicensees in an arm’s length transaction of such Licensed Product to a Third Party other than a Sublicensee in such country in exchange for cash (or some equivalent to which value can be assigned) after Regulatory Approval for such Licensed Product has been granted in the Licensed Territory. For the avoidance of doubt, supply of Licensed Product as samples or to patients for compassionate use, named patient use, Clinical Trials or other similar purposes shall not be considered a First Commercial Sale.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xml:space="preserve"> “</w:t>
      </w:r>
      <w:r>
        <w:rPr>
          <w:rFonts w:ascii="Times New Roman" w:hAnsi="Times New Roman"/>
          <w:b/>
          <w:i/>
          <w:sz w:val="20"/>
        </w:rPr>
        <w:t>Foreground Know-How</w:t>
      </w:r>
      <w:r>
        <w:rPr>
          <w:rFonts w:ascii="Times New Roman" w:hAnsi="Times New Roman"/>
          <w:sz w:val="20"/>
        </w:rPr>
        <w:t xml:space="preserve">” means any and all Know-How, whether or not patentable, that is generated, created, developed, conceived or otherwise made during the Term (a) solely by or on behalf of a Party or any of its Affiliates or (b) jointly by or on behalf of both Parties or any of its Affiliates, in each case ((a) and (b)), in the course of performing activities or exercising rights under this Agreement. </w:t>
      </w:r>
    </w:p>
    <w:p>
      <w:pPr>
        <w:pStyle w:val="TextBody"/>
        <w:bidi w:val="0"/>
        <w:spacing w:before="240" w:after="0"/>
        <w:jc w:val="left"/>
        <w:rPr>
          <w:rFonts w:ascii="Times New Roman" w:hAnsi="Times New Roman"/>
          <w:sz w:val="20"/>
        </w:rPr>
      </w:pPr>
      <w:r>
        <w:rPr>
          <w:rFonts w:ascii="Times New Roman" w:hAnsi="Times New Roman"/>
          <w:b/>
          <w:sz w:val="20"/>
        </w:rPr>
        <w:t>1.37</w:t>
      </w:r>
      <w:r>
        <w:rPr>
          <w:rFonts w:ascii="Times New Roman" w:hAnsi="Times New Roman"/>
          <w:sz w:val="20"/>
        </w:rPr>
        <w:t xml:space="preserve"> “</w:t>
      </w:r>
      <w:r>
        <w:rPr>
          <w:rFonts w:ascii="Times New Roman" w:hAnsi="Times New Roman"/>
          <w:b/>
          <w:i/>
          <w:sz w:val="20"/>
        </w:rPr>
        <w:t>Foreground Patent Rights</w:t>
      </w:r>
      <w:r>
        <w:rPr>
          <w:rFonts w:ascii="Times New Roman" w:hAnsi="Times New Roman"/>
          <w:sz w:val="20"/>
        </w:rPr>
        <w:t xml:space="preserve">” means any and all Patent Rights claiming the Foreground Know-How. </w:t>
      </w:r>
    </w:p>
    <w:p>
      <w:pPr>
        <w:pStyle w:val="TextBody"/>
        <w:bidi w:val="0"/>
        <w:spacing w:before="240" w:after="0"/>
        <w:jc w:val="left"/>
        <w:rPr>
          <w:rFonts w:ascii="Times New Roman" w:hAnsi="Times New Roman"/>
          <w:sz w:val="20"/>
        </w:rPr>
      </w:pPr>
      <w:r>
        <w:rPr>
          <w:rFonts w:ascii="Times New Roman" w:hAnsi="Times New Roman"/>
          <w:b/>
          <w:sz w:val="20"/>
        </w:rPr>
        <w:t>1.38</w:t>
      </w:r>
      <w:r>
        <w:rPr>
          <w:rFonts w:ascii="Times New Roman" w:hAnsi="Times New Roman"/>
          <w:sz w:val="20"/>
        </w:rPr>
        <w:t xml:space="preserve"> “</w:t>
      </w:r>
      <w:r>
        <w:rPr>
          <w:rFonts w:ascii="Times New Roman" w:hAnsi="Times New Roman"/>
          <w:b/>
          <w:i/>
          <w:sz w:val="20"/>
        </w:rPr>
        <w:t>FTE</w:t>
      </w:r>
      <w:r>
        <w:rPr>
          <w:rFonts w:ascii="Times New Roman" w:hAnsi="Times New Roman"/>
          <w:sz w:val="20"/>
        </w:rPr>
        <w:t xml:space="preserve">” means a full-time, dedicated, non-executive officer, non-administrative person year or, in the case of less than a full-time, dedicated, non-executive officer, non-administrative person year, a full-time equivalent person year, in each case, based upon a total of [***] of work per year. In the case that any full-time person works partially on activities under this Agreement and partially on other work in a given year, then the full-time equivalent to be attributed to such person’s work hereunder shall be equal to the percentage of such person’s total work time in such year or portion thereof that such person spent working on such activities under this Agreement. In no event shall any one (1) person be counted as more than one (1) FTE.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xml:space="preserve"> “</w:t>
      </w:r>
      <w:r>
        <w:rPr>
          <w:rFonts w:ascii="Times New Roman" w:hAnsi="Times New Roman"/>
          <w:b/>
          <w:i/>
          <w:sz w:val="20"/>
        </w:rPr>
        <w:t>FTE Costs</w:t>
      </w:r>
      <w:r>
        <w:rPr>
          <w:rFonts w:ascii="Times New Roman" w:hAnsi="Times New Roman"/>
          <w:sz w:val="20"/>
        </w:rPr>
        <w:t xml:space="preserve">” shall mean the product of: (a) [***]; and (b) the FTE Rate. </w:t>
      </w:r>
    </w:p>
    <w:p>
      <w:pPr>
        <w:pStyle w:val="TextBody"/>
        <w:bidi w:val="0"/>
        <w:spacing w:before="240" w:after="0"/>
        <w:jc w:val="left"/>
        <w:rPr>
          <w:rFonts w:ascii="Times New Roman" w:hAnsi="Times New Roman"/>
          <w:sz w:val="20"/>
        </w:rPr>
      </w:pPr>
      <w:r>
        <w:rPr>
          <w:rFonts w:ascii="Times New Roman" w:hAnsi="Times New Roman"/>
          <w:b/>
          <w:sz w:val="20"/>
        </w:rPr>
        <w:t>1.40</w:t>
      </w:r>
      <w:r>
        <w:rPr>
          <w:rFonts w:ascii="Times New Roman" w:hAnsi="Times New Roman"/>
          <w:sz w:val="20"/>
        </w:rPr>
        <w:t xml:space="preserve"> “</w:t>
      </w:r>
      <w:r>
        <w:rPr>
          <w:rFonts w:ascii="Times New Roman" w:hAnsi="Times New Roman"/>
          <w:b/>
          <w:i/>
          <w:sz w:val="20"/>
        </w:rPr>
        <w:t>FTE Rate</w:t>
      </w:r>
      <w:r>
        <w:rPr>
          <w:rFonts w:ascii="Times New Roman" w:hAnsi="Times New Roman"/>
          <w:sz w:val="20"/>
        </w:rPr>
        <w:t xml:space="preserve">” means the rate of [***] per FTE per Calendar Year, such amount to be adjusted as of [***] and [***] thereafter by the percentage increase or decrease, if any, in the Consumer Price Index for All Urban Consumers (CPI-U); U.S. City Average calculated by the Bureau of Labor Statistics during the immediately preceding Calendar Year. For the avoidance of doubt, such rate is intended to cover the cost of salaries, benefits, infrastructure costs, travel, general laboratory or office supplies, postage, insurance, training and all other general expenses and overhead items. </w:t>
      </w:r>
    </w:p>
    <w:p>
      <w:pPr>
        <w:pStyle w:val="TextBody"/>
        <w:bidi w:val="0"/>
        <w:spacing w:before="240" w:after="0"/>
        <w:jc w:val="left"/>
        <w:rPr>
          <w:rFonts w:ascii="Times New Roman" w:hAnsi="Times New Roman"/>
          <w:sz w:val="20"/>
        </w:rPr>
      </w:pPr>
      <w:r>
        <w:rPr>
          <w:rFonts w:ascii="Times New Roman" w:hAnsi="Times New Roman"/>
          <w:b/>
          <w:sz w:val="20"/>
        </w:rPr>
        <w:t>1.41</w:t>
      </w:r>
      <w:r>
        <w:rPr>
          <w:rFonts w:ascii="Times New Roman" w:hAnsi="Times New Roman"/>
          <w:sz w:val="20"/>
        </w:rPr>
        <w:t xml:space="preserve"> “</w:t>
      </w:r>
      <w:r>
        <w:rPr>
          <w:rFonts w:ascii="Times New Roman" w:hAnsi="Times New Roman"/>
          <w:b/>
          <w:i/>
          <w:sz w:val="20"/>
        </w:rPr>
        <w:t>GAAP</w:t>
      </w:r>
      <w:r>
        <w:rPr>
          <w:rFonts w:ascii="Times New Roman" w:hAnsi="Times New Roman"/>
          <w:sz w:val="20"/>
        </w:rPr>
        <w:t xml:space="preserve">” means generally accepted accounting principles in the United States, consistently applied. </w:t>
      </w:r>
    </w:p>
    <w:p>
      <w:pPr>
        <w:pStyle w:val="TextBody"/>
        <w:bidi w:val="0"/>
        <w:spacing w:before="240" w:after="0"/>
        <w:jc w:val="left"/>
        <w:rPr>
          <w:rFonts w:ascii="Times New Roman" w:hAnsi="Times New Roman"/>
          <w:sz w:val="20"/>
        </w:rPr>
      </w:pPr>
      <w:r>
        <w:rPr>
          <w:rFonts w:ascii="Times New Roman" w:hAnsi="Times New Roman"/>
          <w:b/>
          <w:sz w:val="20"/>
        </w:rPr>
        <w:t>1.42</w:t>
      </w:r>
      <w:r>
        <w:rPr>
          <w:rFonts w:ascii="Times New Roman" w:hAnsi="Times New Roman"/>
          <w:sz w:val="20"/>
        </w:rPr>
        <w:t xml:space="preserve"> “</w:t>
      </w:r>
      <w:r>
        <w:rPr>
          <w:rFonts w:ascii="Times New Roman" w:hAnsi="Times New Roman"/>
          <w:b/>
          <w:i/>
          <w:sz w:val="20"/>
        </w:rPr>
        <w:t>GCP</w:t>
      </w:r>
      <w:r>
        <w:rPr>
          <w:rFonts w:ascii="Times New Roman" w:hAnsi="Times New Roman"/>
          <w:sz w:val="20"/>
        </w:rPr>
        <w:t xml:space="preserve">” means all applicable Good Clinical Practice standards for the design, conduct, performance, monitoring, auditing, recording, analyses and reporting of Clinical Trials, including, as applicable (a) as set forth in the ICH E6 of the ICH Guidelines and any other guidelines for good clinical practice for clinical trials on medicinal products in any relevant country or jurisdiction, (b) the Declaration of Helsinki (2004) as last amended at the 64th World Medical Association in October 2013 and any further amendments or clarifications thereto, (c) U.S. Code of Federal Regulations Title 21, Parts 50 (Protection of Human Subjects), 56 (Institutional Review Boards) and 312 (Investigational New Drug Application), and (d) the equivalent Applicable Laws in any relevant country or jurisdiction, each as may be amended and applicable from time to time and in each case, that provide for, among other things, assurance that the clinical data and reported results are credible and accurate and protect the rights, integrity, and confidentiality of trial subjects. </w:t>
      </w:r>
    </w:p>
    <w:p>
      <w:pPr>
        <w:pStyle w:val="TextBody"/>
        <w:bidi w:val="0"/>
        <w:spacing w:before="240" w:after="0"/>
        <w:jc w:val="left"/>
        <w:rPr>
          <w:rFonts w:ascii="Times New Roman" w:hAnsi="Times New Roman"/>
          <w:sz w:val="20"/>
        </w:rPr>
      </w:pPr>
      <w:r>
        <w:rPr>
          <w:rFonts w:ascii="Times New Roman" w:hAnsi="Times New Roman"/>
          <w:b/>
          <w:sz w:val="20"/>
        </w:rPr>
        <w:t>1.43</w:t>
      </w:r>
      <w:r>
        <w:rPr>
          <w:rFonts w:ascii="Times New Roman" w:hAnsi="Times New Roman"/>
          <w:sz w:val="20"/>
        </w:rPr>
        <w:t xml:space="preserve"> “</w:t>
      </w:r>
      <w:r>
        <w:rPr>
          <w:rFonts w:ascii="Times New Roman" w:hAnsi="Times New Roman"/>
          <w:b/>
          <w:i/>
          <w:sz w:val="20"/>
        </w:rPr>
        <w:t>GLP</w:t>
      </w:r>
      <w:r>
        <w:rPr>
          <w:rFonts w:ascii="Times New Roman" w:hAnsi="Times New Roman"/>
          <w:sz w:val="20"/>
        </w:rPr>
        <w:t xml:space="preserve">” means all applicable Good Laboratory Practice standards, including, as applicable, as set forth in the then-current good laboratory practice standards promulgated or endorsed by the FDA, as defined in 21 C.F.R. Part 58, and the equivalent Applicable Laws in any relevant country or jurisdiction, each as may be amended and applicable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1.44</w:t>
      </w:r>
      <w:r>
        <w:rPr>
          <w:rFonts w:ascii="Times New Roman" w:hAnsi="Times New Roman"/>
          <w:sz w:val="20"/>
        </w:rPr>
        <w:t xml:space="preserve"> “</w:t>
      </w:r>
      <w:r>
        <w:rPr>
          <w:rFonts w:ascii="Times New Roman" w:hAnsi="Times New Roman"/>
          <w:b/>
          <w:i/>
          <w:sz w:val="20"/>
        </w:rPr>
        <w:t>Governmental Authority</w:t>
      </w:r>
      <w:r>
        <w:rPr>
          <w:rFonts w:ascii="Times New Roman" w:hAnsi="Times New Roman"/>
          <w:sz w:val="20"/>
        </w:rPr>
        <w:t xml:space="preserve">” means any federal, state, national,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 </w:t>
      </w:r>
    </w:p>
    <w:p>
      <w:pPr>
        <w:pStyle w:val="TextBody"/>
        <w:bidi w:val="0"/>
        <w:spacing w:before="240" w:after="0"/>
        <w:jc w:val="left"/>
        <w:rPr>
          <w:rFonts w:ascii="Times New Roman" w:hAnsi="Times New Roman"/>
          <w:sz w:val="20"/>
        </w:rPr>
      </w:pPr>
      <w:r>
        <w:rPr>
          <w:rFonts w:ascii="Times New Roman" w:hAnsi="Times New Roman"/>
          <w:b/>
          <w:sz w:val="20"/>
        </w:rPr>
        <w:t>1.45</w:t>
      </w:r>
      <w:r>
        <w:rPr>
          <w:rFonts w:ascii="Times New Roman" w:hAnsi="Times New Roman"/>
          <w:sz w:val="20"/>
        </w:rPr>
        <w:t xml:space="preserve"> “</w:t>
      </w:r>
      <w:r>
        <w:rPr>
          <w:rFonts w:ascii="Times New Roman" w:hAnsi="Times New Roman"/>
          <w:b/>
          <w:i/>
          <w:sz w:val="20"/>
        </w:rPr>
        <w:t>ICH Guidelines</w:t>
      </w:r>
      <w:r>
        <w:rPr>
          <w:rFonts w:ascii="Times New Roman" w:hAnsi="Times New Roman"/>
          <w:sz w:val="20"/>
        </w:rPr>
        <w:t xml:space="preserve">” mean the International Conference on Harmonization of Technical Requirements for Registration of Pharmaceuticals for Human Use Harmonized Tripartite Guideline. </w:t>
      </w:r>
    </w:p>
    <w:p>
      <w:pPr>
        <w:pStyle w:val="TextBody"/>
        <w:bidi w:val="0"/>
        <w:spacing w:before="240" w:after="0"/>
        <w:jc w:val="left"/>
        <w:rPr>
          <w:rFonts w:ascii="Times New Roman" w:hAnsi="Times New Roman"/>
          <w:sz w:val="20"/>
        </w:rPr>
      </w:pPr>
      <w:r>
        <w:rPr>
          <w:rFonts w:ascii="Times New Roman" w:hAnsi="Times New Roman"/>
          <w:b/>
          <w:sz w:val="20"/>
        </w:rPr>
        <w:t>1.46</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1.47</w:t>
      </w:r>
      <w:r>
        <w:rPr>
          <w:rFonts w:ascii="Times New Roman" w:hAnsi="Times New Roman"/>
          <w:sz w:val="20"/>
        </w:rPr>
        <w:t xml:space="preserve"> “</w:t>
      </w:r>
      <w:r>
        <w:rPr>
          <w:rFonts w:ascii="Times New Roman" w:hAnsi="Times New Roman"/>
          <w:b/>
          <w:i/>
          <w:sz w:val="20"/>
        </w:rPr>
        <w:t>IND</w:t>
      </w:r>
      <w:r>
        <w:rPr>
          <w:rFonts w:ascii="Times New Roman" w:hAnsi="Times New Roman"/>
          <w:sz w:val="20"/>
        </w:rPr>
        <w:t xml:space="preserve">” means an Investigational New Drug application in the U.S. filed with the FDA or the corresponding application for the clinical investigation of pharmaceutical or biological products in any other country or group of countries (including Clinical Trial applications), as defined in the Applicable Laws and filed with the Regulatory Authority of such country or group of countries, and any amendments or supplements thereto. </w:t>
      </w:r>
    </w:p>
    <w:p>
      <w:pPr>
        <w:pStyle w:val="TextBody"/>
        <w:bidi w:val="0"/>
        <w:spacing w:before="240" w:after="0"/>
        <w:jc w:val="left"/>
        <w:rPr>
          <w:rFonts w:ascii="Times New Roman" w:hAnsi="Times New Roman"/>
          <w:sz w:val="20"/>
        </w:rPr>
      </w:pPr>
      <w:r>
        <w:rPr>
          <w:rFonts w:ascii="Times New Roman" w:hAnsi="Times New Roman"/>
          <w:b/>
          <w:sz w:val="20"/>
        </w:rPr>
        <w:t>1.48</w:t>
      </w:r>
      <w:r>
        <w:rPr>
          <w:rFonts w:ascii="Times New Roman" w:hAnsi="Times New Roman"/>
          <w:sz w:val="20"/>
        </w:rPr>
        <w:t xml:space="preserve"> “</w:t>
      </w:r>
      <w:r>
        <w:rPr>
          <w:rFonts w:ascii="Times New Roman" w:hAnsi="Times New Roman"/>
          <w:b/>
          <w:i/>
          <w:sz w:val="20"/>
        </w:rPr>
        <w:t>Indication</w:t>
      </w:r>
      <w:r>
        <w:rPr>
          <w:rFonts w:ascii="Times New Roman" w:hAnsi="Times New Roman"/>
          <w:sz w:val="20"/>
        </w:rPr>
        <w:t xml:space="preserve">” means a separate and distinct disease, disorder or medical condition for which a Licensed Product can be used to diagnose, treat or prevent, which use is the subject of a separate Regulatory Approval for a distinct label. For clarity, subpopulations of patients with a primary disease, disorder or medical condition, however stratified, shall not be deemed to be separate “Indications” for the purposes of this Agreement, including stratification by stages or progression (including precursor condition), particular combinations of symptoms associated with the primary disease, disorder, or condition, prior treatment courses, response to prior treatment, different lines of treatment, family history, clinical history, phenotype, age (e.g., adult vs. pediatric) or other stratification. </w:t>
      </w:r>
    </w:p>
    <w:p>
      <w:pPr>
        <w:pStyle w:val="TextBody"/>
        <w:bidi w:val="0"/>
        <w:spacing w:before="240" w:after="0"/>
        <w:jc w:val="left"/>
        <w:rPr>
          <w:rFonts w:ascii="Times New Roman" w:hAnsi="Times New Roman"/>
          <w:sz w:val="20"/>
        </w:rPr>
      </w:pPr>
      <w:r>
        <w:rPr>
          <w:rFonts w:ascii="Times New Roman" w:hAnsi="Times New Roman"/>
          <w:b/>
          <w:sz w:val="20"/>
        </w:rPr>
        <w:t>1.49</w:t>
      </w:r>
      <w:r>
        <w:rPr>
          <w:rFonts w:ascii="Times New Roman" w:hAnsi="Times New Roman"/>
          <w:sz w:val="20"/>
        </w:rPr>
        <w:t xml:space="preserve"> “</w:t>
      </w:r>
      <w:r>
        <w:rPr>
          <w:rFonts w:ascii="Times New Roman" w:hAnsi="Times New Roman"/>
          <w:b/>
          <w:i/>
          <w:sz w:val="20"/>
        </w:rPr>
        <w:t>Initiate</w:t>
      </w:r>
      <w:r>
        <w:rPr>
          <w:rFonts w:ascii="Times New Roman" w:hAnsi="Times New Roman"/>
          <w:sz w:val="20"/>
        </w:rPr>
        <w:t>” or “</w:t>
      </w:r>
      <w:r>
        <w:rPr>
          <w:rFonts w:ascii="Times New Roman" w:hAnsi="Times New Roman"/>
          <w:b/>
          <w:i/>
          <w:sz w:val="20"/>
        </w:rPr>
        <w:t>Initiation</w:t>
      </w:r>
      <w:r>
        <w:rPr>
          <w:rFonts w:ascii="Times New Roman" w:hAnsi="Times New Roman"/>
          <w:sz w:val="20"/>
        </w:rPr>
        <w:t xml:space="preserve">” means, with respect to a Clinical Trial of a Licensed Product, the first dosing of the first human subject in such Clinical Trial. </w:t>
      </w:r>
    </w:p>
    <w:p>
      <w:pPr>
        <w:pStyle w:val="TextBody"/>
        <w:bidi w:val="0"/>
        <w:spacing w:before="240" w:after="0"/>
        <w:jc w:val="left"/>
        <w:rPr>
          <w:rFonts w:ascii="Times New Roman" w:hAnsi="Times New Roman"/>
          <w:sz w:val="20"/>
        </w:rPr>
      </w:pPr>
      <w:r>
        <w:rPr>
          <w:rFonts w:ascii="Times New Roman" w:hAnsi="Times New Roman"/>
          <w:b/>
          <w:sz w:val="20"/>
        </w:rPr>
        <w:t>1.50</w:t>
      </w:r>
      <w:r>
        <w:rPr>
          <w:rFonts w:ascii="Times New Roman" w:hAnsi="Times New Roman"/>
          <w:sz w:val="20"/>
        </w:rPr>
        <w:t xml:space="preserve"> “</w:t>
      </w:r>
      <w:r>
        <w:rPr>
          <w:rFonts w:ascii="Times New Roman" w:hAnsi="Times New Roman"/>
          <w:b/>
          <w:i/>
          <w:sz w:val="20"/>
        </w:rPr>
        <w:t>IPO</w:t>
      </w:r>
      <w:r>
        <w:rPr>
          <w:rFonts w:ascii="Times New Roman" w:hAnsi="Times New Roman"/>
          <w:sz w:val="20"/>
        </w:rPr>
        <w:t xml:space="preserve">” means a public offering event of the Company, including an initial public offering. </w:t>
      </w:r>
    </w:p>
    <w:p>
      <w:pPr>
        <w:pStyle w:val="TextBody"/>
        <w:bidi w:val="0"/>
        <w:spacing w:before="240" w:after="0"/>
        <w:jc w:val="left"/>
        <w:rPr>
          <w:rFonts w:ascii="Times New Roman" w:hAnsi="Times New Roman"/>
          <w:sz w:val="20"/>
        </w:rPr>
      </w:pPr>
      <w:r>
        <w:rPr>
          <w:rFonts w:ascii="Times New Roman" w:hAnsi="Times New Roman"/>
          <w:b/>
          <w:sz w:val="20"/>
        </w:rPr>
        <w:t>1.51</w:t>
      </w:r>
      <w:r>
        <w:rPr>
          <w:rFonts w:ascii="Times New Roman" w:hAnsi="Times New Roman"/>
          <w:sz w:val="20"/>
        </w:rPr>
        <w:t xml:space="preserve"> “</w:t>
      </w:r>
      <w:r>
        <w:rPr>
          <w:rFonts w:ascii="Times New Roman" w:hAnsi="Times New Roman"/>
          <w:b/>
          <w:i/>
          <w:sz w:val="20"/>
        </w:rPr>
        <w:t>Joint Foreground Know-How</w:t>
      </w:r>
      <w:r>
        <w:rPr>
          <w:rFonts w:ascii="Times New Roman" w:hAnsi="Times New Roman"/>
          <w:sz w:val="20"/>
        </w:rPr>
        <w:t xml:space="preserve">” means any and all Foreground Know-How that is generated, created, developed, conceived or otherwise made jointly by or on behalf of both (a) Licensor or any of its Affiliates and (b) Company or any of its Affiliates, but excluding any Foreground Know-How that is solely owned by a Party pursuant to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1.52</w:t>
      </w:r>
      <w:r>
        <w:rPr>
          <w:rFonts w:ascii="Times New Roman" w:hAnsi="Times New Roman"/>
          <w:sz w:val="20"/>
        </w:rPr>
        <w:t xml:space="preserve"> “</w:t>
      </w:r>
      <w:r>
        <w:rPr>
          <w:rFonts w:ascii="Times New Roman" w:hAnsi="Times New Roman"/>
          <w:b/>
          <w:i/>
          <w:sz w:val="20"/>
        </w:rPr>
        <w:t>Joint Foreground Patents</w:t>
      </w:r>
      <w:r>
        <w:rPr>
          <w:rFonts w:ascii="Times New Roman" w:hAnsi="Times New Roman"/>
          <w:sz w:val="20"/>
        </w:rPr>
        <w:t xml:space="preserve">” means any and all Patent Rights claiming Joint Foreground Know-How. </w:t>
      </w:r>
    </w:p>
    <w:p>
      <w:pPr>
        <w:pStyle w:val="TextBody"/>
        <w:bidi w:val="0"/>
        <w:spacing w:before="240" w:after="0"/>
        <w:jc w:val="left"/>
        <w:rPr>
          <w:rFonts w:ascii="Times New Roman" w:hAnsi="Times New Roman"/>
          <w:sz w:val="20"/>
        </w:rPr>
      </w:pPr>
      <w:r>
        <w:rPr>
          <w:rFonts w:ascii="Times New Roman" w:hAnsi="Times New Roman"/>
          <w:b/>
          <w:sz w:val="20"/>
        </w:rPr>
        <w:t>1.53</w:t>
      </w:r>
      <w:r>
        <w:rPr>
          <w:rFonts w:ascii="Times New Roman" w:hAnsi="Times New Roman"/>
          <w:sz w:val="20"/>
        </w:rPr>
        <w:t xml:space="preserve"> “</w:t>
      </w:r>
      <w:r>
        <w:rPr>
          <w:rFonts w:ascii="Times New Roman" w:hAnsi="Times New Roman"/>
          <w:b/>
          <w:i/>
          <w:sz w:val="20"/>
        </w:rPr>
        <w:t>Know-How</w:t>
      </w:r>
      <w:r>
        <w:rPr>
          <w:rFonts w:ascii="Times New Roman" w:hAnsi="Times New Roman"/>
          <w:sz w:val="20"/>
        </w:rPr>
        <w:t xml:space="preserve">” means any and all proprietary and confidential information or materials, including discoveries, improvements, modifications, processes, methods, assays, designs, protocols (including Clinical Trial protocols), formulas, data, inventions, algorithms, forecasts, profiles, strategies, plans, results, know-how and trade secrets (in each case, regardless of whether patentable, copyrightable or otherwise), but excluding any Patent Rights. For the avoidance of doubt, “Know-How” shall include Data and Regulatory Documents. </w:t>
      </w:r>
    </w:p>
    <w:p>
      <w:pPr>
        <w:pStyle w:val="TextBody"/>
        <w:bidi w:val="0"/>
        <w:spacing w:before="240" w:after="0"/>
        <w:jc w:val="left"/>
        <w:rPr>
          <w:rFonts w:ascii="Times New Roman" w:hAnsi="Times New Roman"/>
          <w:sz w:val="20"/>
        </w:rPr>
      </w:pPr>
      <w:r>
        <w:rPr>
          <w:rFonts w:ascii="Times New Roman" w:hAnsi="Times New Roman"/>
          <w:b/>
          <w:sz w:val="20"/>
        </w:rPr>
        <w:t>1.54</w:t>
      </w:r>
      <w:r>
        <w:rPr>
          <w:rFonts w:ascii="Times New Roman" w:hAnsi="Times New Roman"/>
          <w:sz w:val="20"/>
        </w:rPr>
        <w:t xml:space="preserve"> “</w:t>
      </w:r>
      <w:r>
        <w:rPr>
          <w:rFonts w:ascii="Times New Roman" w:hAnsi="Times New Roman"/>
          <w:b/>
          <w:i/>
          <w:sz w:val="20"/>
        </w:rPr>
        <w:t>Knowledge</w:t>
      </w:r>
      <w:r>
        <w:rPr>
          <w:rFonts w:ascii="Times New Roman" w:hAnsi="Times New Roman"/>
          <w:sz w:val="20"/>
        </w:rPr>
        <w:t xml:space="preserve">” means the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1.55</w:t>
      </w:r>
      <w:r>
        <w:rPr>
          <w:rFonts w:ascii="Times New Roman" w:hAnsi="Times New Roman"/>
          <w:sz w:val="20"/>
        </w:rPr>
        <w:t xml:space="preserve"> “</w:t>
      </w:r>
      <w:r>
        <w:rPr>
          <w:rFonts w:ascii="Times New Roman" w:hAnsi="Times New Roman"/>
          <w:b/>
          <w:i/>
          <w:sz w:val="20"/>
        </w:rPr>
        <w:t>Licensed Know-How</w:t>
      </w:r>
      <w:r>
        <w:rPr>
          <w:rFonts w:ascii="Times New Roman" w:hAnsi="Times New Roman"/>
          <w:sz w:val="20"/>
        </w:rPr>
        <w:t xml:space="preserve">” means any and all Know-How Controlled by Licensor or any of its Affiliates as of the Effective Date or during the Term that is necessary or reasonably useful to Develop, Manufacture or otherwise Exploit the Licensed Therapeutic or any Licensed Product in the Field in the Licensed Territory, including any Foreground Know-How solely owned by Licensor pursuant to </w:t>
      </w:r>
      <w:r>
        <w:rPr>
          <w:rFonts w:ascii="Times New Roman" w:hAnsi="Times New Roman"/>
          <w:sz w:val="20"/>
          <w:u w:val="single"/>
        </w:rPr>
        <w:t>Section 11.1(a)</w:t>
      </w:r>
      <w:r>
        <w:rPr>
          <w:rFonts w:ascii="Times New Roman" w:hAnsi="Times New Roman"/>
          <w:sz w:val="20"/>
        </w:rPr>
        <w:t xml:space="preserve">, but excluding any Joint Foreground Know-How. The Licensed Know-How as of the Effective Date are set forth in </w:t>
      </w:r>
      <w:r>
        <w:rPr>
          <w:rFonts w:ascii="Times New Roman" w:hAnsi="Times New Roman"/>
          <w:sz w:val="20"/>
          <w:u w:val="single"/>
        </w:rPr>
        <w:t>Schedule 1.55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Know-How that satisfies this definition shall constitute Licensed Know-How notwithstanding any failure to list such Know-How on </w:t>
      </w:r>
      <w:r>
        <w:rPr>
          <w:rFonts w:ascii="Times New Roman" w:hAnsi="Times New Roman"/>
          <w:sz w:val="20"/>
          <w:u w:val="single"/>
        </w:rPr>
        <w:t>Schedule 1.55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1.56</w:t>
      </w:r>
      <w:r>
        <w:rPr>
          <w:rFonts w:ascii="Times New Roman" w:hAnsi="Times New Roman"/>
          <w:sz w:val="20"/>
        </w:rPr>
        <w:t xml:space="preserve"> “</w:t>
      </w:r>
      <w:r>
        <w:rPr>
          <w:rFonts w:ascii="Times New Roman" w:hAnsi="Times New Roman"/>
          <w:b/>
          <w:i/>
          <w:sz w:val="20"/>
        </w:rPr>
        <w:t>Licensed Patents</w:t>
      </w:r>
      <w:r>
        <w:rPr>
          <w:rFonts w:ascii="Times New Roman" w:hAnsi="Times New Roman"/>
          <w:sz w:val="20"/>
        </w:rPr>
        <w:t xml:space="preserve">” means any and all Patent Rights Controlled by Licensor or any of its Affiliates as of the Effective Date or during the Term that are necessary or reasonably useful, as practiced by or on behalf of Licensor or any of its Affiliates, to Develop, Manufacture or Commercialize any Licensed Therapeutics or any Licensed Products in the Field in the Licensed Territory, including any Foreground Patent Rights solely owned by Licensor pursuant to </w:t>
      </w:r>
      <w:r>
        <w:rPr>
          <w:rFonts w:ascii="Times New Roman" w:hAnsi="Times New Roman"/>
          <w:sz w:val="20"/>
          <w:u w:val="single"/>
        </w:rPr>
        <w:t>Section 11.1(a)</w:t>
      </w:r>
      <w:r>
        <w:rPr>
          <w:rFonts w:ascii="Times New Roman" w:hAnsi="Times New Roman"/>
          <w:sz w:val="20"/>
        </w:rPr>
        <w:t xml:space="preserve">, but excluding any Joint Foreground Patents. The Licensed Patents as of the Effective Date are set forth in </w:t>
      </w:r>
      <w:r>
        <w:rPr>
          <w:rFonts w:ascii="Times New Roman" w:hAnsi="Times New Roman"/>
          <w:sz w:val="20"/>
          <w:u w:val="single"/>
        </w:rPr>
        <w:t>Schedule 1.56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Patent Right that satisfies this definition shall constitute a Licensed Patent notwithstanding any failure to list such Patent Right on </w:t>
      </w:r>
      <w:r>
        <w:rPr>
          <w:rFonts w:ascii="Times New Roman" w:hAnsi="Times New Roman"/>
          <w:sz w:val="20"/>
          <w:u w:val="single"/>
        </w:rPr>
        <w:t>Schedule 1.56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1.57</w:t>
      </w:r>
      <w:r>
        <w:rPr>
          <w:rFonts w:ascii="Times New Roman" w:hAnsi="Times New Roman"/>
          <w:sz w:val="20"/>
        </w:rPr>
        <w:t xml:space="preserve"> “</w:t>
      </w:r>
      <w:r>
        <w:rPr>
          <w:rFonts w:ascii="Times New Roman" w:hAnsi="Times New Roman"/>
          <w:b/>
          <w:i/>
          <w:sz w:val="20"/>
        </w:rPr>
        <w:t>Licensed Product</w:t>
      </w:r>
      <w:r>
        <w:rPr>
          <w:rFonts w:ascii="Times New Roman" w:hAnsi="Times New Roman"/>
          <w:sz w:val="20"/>
        </w:rPr>
        <w:t xml:space="preserve">” means any pharmaceutical product containing the Licensed Therapeutic as an active ingredient in all forms, formulations, and presentation, whether alone or in combination with one or more other active ingredients, including for any and all routes of administration, including but not limited to, intravenous and subcutaneous injection administration. </w:t>
      </w:r>
    </w:p>
    <w:p>
      <w:pPr>
        <w:pStyle w:val="TextBody"/>
        <w:bidi w:val="0"/>
        <w:spacing w:before="240" w:after="0"/>
        <w:jc w:val="left"/>
        <w:rPr>
          <w:rFonts w:ascii="Times New Roman" w:hAnsi="Times New Roman"/>
          <w:sz w:val="20"/>
        </w:rPr>
      </w:pPr>
      <w:r>
        <w:rPr>
          <w:rFonts w:ascii="Times New Roman" w:hAnsi="Times New Roman"/>
          <w:b/>
          <w:sz w:val="20"/>
        </w:rPr>
        <w:t>1.58</w:t>
      </w:r>
      <w:r>
        <w:rPr>
          <w:rFonts w:ascii="Times New Roman" w:hAnsi="Times New Roman"/>
          <w:sz w:val="20"/>
        </w:rPr>
        <w:t xml:space="preserve"> “</w:t>
      </w:r>
      <w:r>
        <w:rPr>
          <w:rFonts w:ascii="Times New Roman" w:hAnsi="Times New Roman"/>
          <w:b/>
          <w:i/>
          <w:sz w:val="20"/>
        </w:rPr>
        <w:t>Licensed Technology</w:t>
      </w:r>
      <w:r>
        <w:rPr>
          <w:rFonts w:ascii="Times New Roman" w:hAnsi="Times New Roman"/>
          <w:sz w:val="20"/>
        </w:rPr>
        <w:t xml:space="preserve">” means, collectively, the Licensed Patents and the Licensed Know-How. </w:t>
      </w:r>
    </w:p>
    <w:p>
      <w:pPr>
        <w:pStyle w:val="TextBody"/>
        <w:bidi w:val="0"/>
        <w:spacing w:before="240" w:after="0"/>
        <w:jc w:val="left"/>
        <w:rPr>
          <w:rFonts w:ascii="Times New Roman" w:hAnsi="Times New Roman"/>
          <w:sz w:val="20"/>
        </w:rPr>
      </w:pPr>
      <w:r>
        <w:rPr>
          <w:rFonts w:ascii="Times New Roman" w:hAnsi="Times New Roman"/>
          <w:b/>
          <w:sz w:val="20"/>
        </w:rPr>
        <w:t>1.59</w:t>
      </w:r>
      <w:r>
        <w:rPr>
          <w:rFonts w:ascii="Times New Roman" w:hAnsi="Times New Roman"/>
          <w:sz w:val="20"/>
        </w:rPr>
        <w:t xml:space="preserve"> “</w:t>
      </w:r>
      <w:r>
        <w:rPr>
          <w:rFonts w:ascii="Times New Roman" w:hAnsi="Times New Roman"/>
          <w:b/>
          <w:i/>
          <w:sz w:val="20"/>
        </w:rPr>
        <w:t>Licensed Territory</w:t>
      </w:r>
      <w:r>
        <w:rPr>
          <w:rFonts w:ascii="Times New Roman" w:hAnsi="Times New Roman"/>
          <w:sz w:val="20"/>
        </w:rPr>
        <w:t xml:space="preserve">” means the entire world other than the Retained Territory. </w:t>
      </w:r>
    </w:p>
    <w:p>
      <w:pPr>
        <w:pStyle w:val="TextBody"/>
        <w:bidi w:val="0"/>
        <w:spacing w:before="240" w:after="0"/>
        <w:jc w:val="left"/>
        <w:rPr>
          <w:rFonts w:ascii="Times New Roman" w:hAnsi="Times New Roman"/>
          <w:sz w:val="20"/>
        </w:rPr>
      </w:pPr>
      <w:r>
        <w:rPr>
          <w:rFonts w:ascii="Times New Roman" w:hAnsi="Times New Roman"/>
          <w:b/>
          <w:sz w:val="20"/>
        </w:rPr>
        <w:t>1.60</w:t>
      </w:r>
      <w:r>
        <w:rPr>
          <w:rFonts w:ascii="Times New Roman" w:hAnsi="Times New Roman"/>
          <w:sz w:val="20"/>
        </w:rPr>
        <w:t xml:space="preserve"> “</w:t>
      </w:r>
      <w:r>
        <w:rPr>
          <w:rFonts w:ascii="Times New Roman" w:hAnsi="Times New Roman"/>
          <w:b/>
          <w:i/>
          <w:sz w:val="20"/>
        </w:rPr>
        <w:t>Licensed Therapeutic</w:t>
      </w:r>
      <w:r>
        <w:rPr>
          <w:rFonts w:ascii="Times New Roman" w:hAnsi="Times New Roman"/>
          <w:sz w:val="20"/>
        </w:rPr>
        <w:t>” means (a) YOLT-202, Licensor’s investigational in vivo base-editing therapeutic (the “</w:t>
      </w:r>
      <w:r>
        <w:rPr>
          <w:rFonts w:ascii="Times New Roman" w:hAnsi="Times New Roman"/>
          <w:b/>
          <w:i/>
          <w:sz w:val="20"/>
        </w:rPr>
        <w:t>Lead Licensed Therapeutic</w:t>
      </w:r>
      <w:r>
        <w:rPr>
          <w:rFonts w:ascii="Times New Roman" w:hAnsi="Times New Roman"/>
          <w:sz w:val="20"/>
        </w:rPr>
        <w:t xml:space="preserve">”), (b) any other composition or therapeutic that is developed, generated or Controlled by Licensor or any of its Affiliates and that is designed to edit, modify, correct, replace, or otherwise directly regulate the expression of the SERPINA1 gene or locus, including any such composition comprising a base editor or other gene editing technology and incorporating one or more guide nucleic acid sequences directed to the SERPINA1 gene or locus, and (c) any improvements, modifications, derivatives, or back-up compounds to any of the foregoing. The sequence of the Lead Licensed Therapeutic is set forth in </w:t>
      </w:r>
      <w:r>
        <w:rPr>
          <w:rFonts w:ascii="Times New Roman" w:hAnsi="Times New Roman"/>
          <w:sz w:val="20"/>
          <w:u w:val="single"/>
        </w:rPr>
        <w:t>Schedule 1.60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1.61</w:t>
      </w:r>
      <w:r>
        <w:rPr>
          <w:rFonts w:ascii="Times New Roman" w:hAnsi="Times New Roman"/>
          <w:sz w:val="20"/>
        </w:rPr>
        <w:t xml:space="preserve"> “</w:t>
      </w:r>
      <w:r>
        <w:rPr>
          <w:rFonts w:ascii="Times New Roman" w:hAnsi="Times New Roman"/>
          <w:b/>
          <w:i/>
          <w:sz w:val="20"/>
        </w:rPr>
        <w:t>Licensor Platform</w:t>
      </w:r>
      <w:r>
        <w:rPr>
          <w:rFonts w:ascii="Times New Roman" w:hAnsi="Times New Roman"/>
          <w:sz w:val="20"/>
        </w:rPr>
        <w:t xml:space="preserve">” means Licensor’s technology or Know-How that are generally applicable to the research, design or Development of base-editing therapies and Licensor’s products, including (a) Licensor’s proprietary adenine base editor known as YolBETM, (b) Licensor’s High-Throughput Evolution Platform for Discovery and Optimization of Novel Editors known as HOPDONETM, and (c) Licensor’s proprietary LNP delivery platform. </w:t>
      </w:r>
    </w:p>
    <w:p>
      <w:pPr>
        <w:pStyle w:val="TextBody"/>
        <w:bidi w:val="0"/>
        <w:spacing w:before="240" w:after="0"/>
        <w:jc w:val="left"/>
        <w:rPr>
          <w:rFonts w:ascii="Times New Roman" w:hAnsi="Times New Roman"/>
          <w:sz w:val="20"/>
        </w:rPr>
      </w:pPr>
      <w:r>
        <w:rPr>
          <w:rFonts w:ascii="Times New Roman" w:hAnsi="Times New Roman"/>
          <w:b/>
          <w:sz w:val="20"/>
        </w:rPr>
        <w:t>1.62</w:t>
      </w:r>
      <w:r>
        <w:rPr>
          <w:rFonts w:ascii="Times New Roman" w:hAnsi="Times New Roman"/>
          <w:sz w:val="20"/>
        </w:rPr>
        <w:t xml:space="preserve"> “</w:t>
      </w:r>
      <w:r>
        <w:rPr>
          <w:rFonts w:ascii="Times New Roman" w:hAnsi="Times New Roman"/>
          <w:b/>
          <w:i/>
          <w:sz w:val="20"/>
        </w:rPr>
        <w:t>Major European Countries</w:t>
      </w:r>
      <w:r>
        <w:rPr>
          <w:rFonts w:ascii="Times New Roman" w:hAnsi="Times New Roman"/>
          <w:sz w:val="20"/>
        </w:rPr>
        <w:t xml:space="preserve">” means France, Germany, Italy, Spain and the United Kingdom. </w:t>
      </w:r>
    </w:p>
    <w:p>
      <w:pPr>
        <w:pStyle w:val="TextBody"/>
        <w:bidi w:val="0"/>
        <w:spacing w:before="240" w:after="0"/>
        <w:jc w:val="left"/>
        <w:rPr>
          <w:rFonts w:ascii="Times New Roman" w:hAnsi="Times New Roman"/>
          <w:sz w:val="20"/>
        </w:rPr>
      </w:pPr>
      <w:r>
        <w:rPr>
          <w:rFonts w:ascii="Times New Roman" w:hAnsi="Times New Roman"/>
          <w:b/>
          <w:sz w:val="20"/>
        </w:rPr>
        <w:t>1.63</w:t>
      </w:r>
      <w:r>
        <w:rPr>
          <w:rFonts w:ascii="Times New Roman" w:hAnsi="Times New Roman"/>
          <w:sz w:val="20"/>
        </w:rPr>
        <w:t xml:space="preserve"> “</w:t>
      </w:r>
      <w:r>
        <w:rPr>
          <w:rFonts w:ascii="Times New Roman" w:hAnsi="Times New Roman"/>
          <w:b/>
          <w:i/>
          <w:sz w:val="20"/>
        </w:rPr>
        <w:t>Manufacture</w:t>
      </w:r>
      <w:r>
        <w:rPr>
          <w:rFonts w:ascii="Times New Roman" w:hAnsi="Times New Roman"/>
          <w:sz w:val="20"/>
        </w:rPr>
        <w:t>” or “</w:t>
      </w:r>
      <w:r>
        <w:rPr>
          <w:rFonts w:ascii="Times New Roman" w:hAnsi="Times New Roman"/>
          <w:b/>
          <w:i/>
          <w:sz w:val="20"/>
        </w:rPr>
        <w:t>Manufacturing</w:t>
      </w:r>
      <w:r>
        <w:rPr>
          <w:rFonts w:ascii="Times New Roman" w:hAnsi="Times New Roman"/>
          <w:sz w:val="20"/>
        </w:rPr>
        <w:t xml:space="preserve">” means to conduct or have conducted any activities directed to producing, manufacturing, scaling up, processing, filling, finishing, packaging, labeling, quality assurance testing and release, shipping, and storage at manufacturing facilities of any pharmaceutical compound or product, or any component thereof (including production of drug substance and drug product, in bulk form, whether for Development or Commercialization). </w:t>
      </w:r>
    </w:p>
    <w:p>
      <w:pPr>
        <w:pStyle w:val="TextBody"/>
        <w:bidi w:val="0"/>
        <w:spacing w:before="240" w:after="0"/>
        <w:jc w:val="left"/>
        <w:rPr>
          <w:rFonts w:ascii="Times New Roman" w:hAnsi="Times New Roman"/>
          <w:sz w:val="20"/>
        </w:rPr>
      </w:pPr>
      <w:r>
        <w:rPr>
          <w:rFonts w:ascii="Times New Roman" w:hAnsi="Times New Roman"/>
          <w:b/>
          <w:sz w:val="20"/>
        </w:rPr>
        <w:t>1.64</w:t>
      </w:r>
      <w:r>
        <w:rPr>
          <w:rFonts w:ascii="Times New Roman" w:hAnsi="Times New Roman"/>
          <w:sz w:val="20"/>
        </w:rPr>
        <w:t xml:space="preserve"> “</w:t>
      </w:r>
      <w:r>
        <w:rPr>
          <w:rFonts w:ascii="Times New Roman" w:hAnsi="Times New Roman"/>
          <w:b/>
          <w:i/>
          <w:sz w:val="20"/>
        </w:rPr>
        <w:t>Net Sales</w:t>
      </w:r>
      <w:r>
        <w:rPr>
          <w:rFonts w:ascii="Times New Roman" w:hAnsi="Times New Roman"/>
          <w:sz w:val="20"/>
        </w:rPr>
        <w:t xml:space="preserve">” means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 </w:t>
      </w:r>
    </w:p>
    <w:p>
      <w:pPr>
        <w:pStyle w:val="TextBody"/>
        <w:bidi w:val="0"/>
        <w:spacing w:before="240" w:after="0"/>
        <w:jc w:val="left"/>
        <w:rPr>
          <w:rFonts w:ascii="Times New Roman" w:hAnsi="Times New Roman"/>
          <w:sz w:val="20"/>
        </w:rPr>
      </w:pPr>
      <w:r>
        <w:rPr>
          <w:rFonts w:ascii="Times New Roman" w:hAnsi="Times New Roman"/>
          <w:sz w:val="20"/>
        </w:rPr>
        <w:t xml:space="preserve">(b) [***]; </w:t>
      </w:r>
    </w:p>
    <w:p>
      <w:pPr>
        <w:pStyle w:val="TextBody"/>
        <w:bidi w:val="0"/>
        <w:spacing w:before="240" w:after="0"/>
        <w:jc w:val="left"/>
        <w:rPr>
          <w:rFonts w:ascii="Times New Roman" w:hAnsi="Times New Roman"/>
          <w:sz w:val="20"/>
        </w:rPr>
      </w:pPr>
      <w:r>
        <w:rPr>
          <w:rFonts w:ascii="Times New Roman" w:hAnsi="Times New Roman"/>
          <w:sz w:val="20"/>
        </w:rPr>
        <w:t xml:space="preserve">(c) [***]; </w:t>
      </w:r>
    </w:p>
    <w:p>
      <w:pPr>
        <w:pStyle w:val="TextBody"/>
        <w:bidi w:val="0"/>
        <w:spacing w:before="240" w:after="0"/>
        <w:jc w:val="left"/>
        <w:rPr>
          <w:rFonts w:ascii="Times New Roman" w:hAnsi="Times New Roman"/>
          <w:sz w:val="20"/>
        </w:rPr>
      </w:pPr>
      <w:r>
        <w:rPr>
          <w:rFonts w:ascii="Times New Roman" w:hAnsi="Times New Roman"/>
          <w:sz w:val="20"/>
        </w:rPr>
        <w:t xml:space="preserve">(d) [***]; </w:t>
      </w:r>
    </w:p>
    <w:p>
      <w:pPr>
        <w:pStyle w:val="TextBody"/>
        <w:bidi w:val="0"/>
        <w:spacing w:before="240" w:after="0"/>
        <w:jc w:val="left"/>
        <w:rPr>
          <w:rFonts w:ascii="Times New Roman" w:hAnsi="Times New Roman"/>
          <w:sz w:val="20"/>
        </w:rPr>
      </w:pPr>
      <w:r>
        <w:rPr>
          <w:rFonts w:ascii="Times New Roman" w:hAnsi="Times New Roman"/>
          <w:sz w:val="20"/>
        </w:rPr>
        <w:t xml:space="preserve">(e) [***]; </w:t>
      </w:r>
    </w:p>
    <w:p>
      <w:pPr>
        <w:pStyle w:val="TextBody"/>
        <w:bidi w:val="0"/>
        <w:spacing w:before="240" w:after="0"/>
        <w:jc w:val="left"/>
        <w:rPr>
          <w:rFonts w:ascii="Times New Roman" w:hAnsi="Times New Roman"/>
          <w:sz w:val="20"/>
        </w:rPr>
      </w:pPr>
      <w:r>
        <w:rPr>
          <w:rFonts w:ascii="Times New Roman" w:hAnsi="Times New Roman"/>
          <w:sz w:val="20"/>
        </w:rPr>
        <w:t xml:space="preserve">(f) [***]; and </w:t>
      </w:r>
    </w:p>
    <w:p>
      <w:pPr>
        <w:pStyle w:val="TextBody"/>
        <w:bidi w:val="0"/>
        <w:spacing w:before="240" w:after="0"/>
        <w:jc w:val="left"/>
        <w:rPr>
          <w:rFonts w:ascii="Times New Roman" w:hAnsi="Times New Roman"/>
          <w:sz w:val="20"/>
        </w:rPr>
      </w:pPr>
      <w:r>
        <w:rPr>
          <w:rFonts w:ascii="Times New Roman" w:hAnsi="Times New Roman"/>
          <w:sz w:val="20"/>
        </w:rPr>
        <w:t xml:space="preserve">(g) [***].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1.65</w:t>
      </w:r>
      <w:r>
        <w:rPr>
          <w:rFonts w:ascii="Times New Roman" w:hAnsi="Times New Roman"/>
          <w:sz w:val="20"/>
        </w:rPr>
        <w:t xml:space="preserve"> “</w:t>
      </w:r>
      <w:r>
        <w:rPr>
          <w:rFonts w:ascii="Times New Roman" w:hAnsi="Times New Roman"/>
          <w:b/>
          <w:i/>
          <w:sz w:val="20"/>
        </w:rPr>
        <w:t>NMPA</w:t>
      </w:r>
      <w:r>
        <w:rPr>
          <w:rFonts w:ascii="Times New Roman" w:hAnsi="Times New Roman"/>
          <w:sz w:val="20"/>
        </w:rPr>
        <w:t xml:space="preserve">” means China National Medical Products Administration and its divisions (including Center for Drug Evaluation) and successors. </w:t>
      </w:r>
    </w:p>
    <w:p>
      <w:pPr>
        <w:pStyle w:val="TextBody"/>
        <w:bidi w:val="0"/>
        <w:spacing w:before="240" w:after="0"/>
        <w:jc w:val="left"/>
        <w:rPr>
          <w:rFonts w:ascii="Times New Roman" w:hAnsi="Times New Roman"/>
          <w:sz w:val="20"/>
        </w:rPr>
      </w:pPr>
      <w:r>
        <w:rPr>
          <w:rFonts w:ascii="Times New Roman" w:hAnsi="Times New Roman"/>
          <w:b/>
          <w:sz w:val="20"/>
        </w:rPr>
        <w:t>1.66</w:t>
      </w:r>
      <w:r>
        <w:rPr>
          <w:rFonts w:ascii="Times New Roman" w:hAnsi="Times New Roman"/>
          <w:sz w:val="20"/>
        </w:rPr>
        <w:t xml:space="preserve"> “</w:t>
      </w:r>
      <w:r>
        <w:rPr>
          <w:rFonts w:ascii="Times New Roman" w:hAnsi="Times New Roman"/>
          <w:b/>
          <w:i/>
          <w:sz w:val="20"/>
        </w:rPr>
        <w:t>Out-of-Pocket Costs</w:t>
      </w:r>
      <w:r>
        <w:rPr>
          <w:rFonts w:ascii="Times New Roman" w:hAnsi="Times New Roman"/>
          <w:sz w:val="20"/>
        </w:rPr>
        <w:t xml:space="preserve">” means reasonable amounts paid by a Party or any of its Affiliates to Third Party subcontractors (without mark-up by such Party or any of its Affiliates) under arm’s length arrangements for services or material provided by such subcontractors in performance of activities under this Agreement. </w:t>
      </w:r>
    </w:p>
    <w:p>
      <w:pPr>
        <w:pStyle w:val="TextBody"/>
        <w:bidi w:val="0"/>
        <w:spacing w:before="240" w:after="0"/>
        <w:jc w:val="left"/>
        <w:rPr>
          <w:rFonts w:ascii="Times New Roman" w:hAnsi="Times New Roman"/>
          <w:sz w:val="20"/>
        </w:rPr>
      </w:pPr>
      <w:r>
        <w:rPr>
          <w:rFonts w:ascii="Times New Roman" w:hAnsi="Times New Roman"/>
          <w:b/>
          <w:sz w:val="20"/>
        </w:rPr>
        <w:t>1.67</w:t>
      </w:r>
      <w:r>
        <w:rPr>
          <w:rFonts w:ascii="Times New Roman" w:hAnsi="Times New Roman"/>
          <w:sz w:val="20"/>
        </w:rPr>
        <w:t xml:space="preserve"> “</w:t>
      </w:r>
      <w:r>
        <w:rPr>
          <w:rFonts w:ascii="Times New Roman" w:hAnsi="Times New Roman"/>
          <w:b/>
          <w:i/>
          <w:sz w:val="20"/>
        </w:rPr>
        <w:t>Patent Prosecution</w:t>
      </w:r>
      <w:r>
        <w:rPr>
          <w:rFonts w:ascii="Times New Roman" w:hAnsi="Times New Roman"/>
          <w:sz w:val="20"/>
        </w:rPr>
        <w:t xml:space="preserve">” means activities directed to (a) preparing, filing and prosecuting applications (of all types) for any Patent Right, (b) managing any interference, opposition, re-issue, reexamination, supplemental examination, invalidation proceedings (including </w:t>
      </w:r>
      <w:r>
        <w:rPr>
          <w:rFonts w:ascii="Times New Roman" w:hAnsi="Times New Roman"/>
          <w:i/>
          <w:sz w:val="20"/>
        </w:rPr>
        <w:t>inter partes</w:t>
      </w:r>
      <w:r>
        <w:rPr>
          <w:rFonts w:ascii="Times New Roman" w:hAnsi="Times New Roman"/>
          <w:sz w:val="20"/>
        </w:rPr>
        <w:t xml:space="preserve"> or post-grant review proceedings), revocation, nullification, or cancellation proceeding relating to the foregoing Patent Rights, (c) maintaining issued Patent Right(s), (d) listing in regulatory publications such as the Purple Book and its equivalents (as applicable), (e) obtaining patent term extensions, supplementary protection certificates and the like for issued Patent Right(s), and maintenance thereof, and (f) managing, including settling, any interference, opposition, reexamination, invalidation, revocation, nullification or cancellation proceeding relating to issued Patent Right(s), but excluding the defense of challenges to Patent Rights as a declaratory judgment action or as a counterclaim in an infringement proceeding. </w:t>
      </w:r>
    </w:p>
    <w:p>
      <w:pPr>
        <w:pStyle w:val="TextBody"/>
        <w:bidi w:val="0"/>
        <w:spacing w:before="240" w:after="0"/>
        <w:jc w:val="left"/>
        <w:rPr>
          <w:rFonts w:ascii="Times New Roman" w:hAnsi="Times New Roman"/>
          <w:sz w:val="20"/>
        </w:rPr>
      </w:pPr>
      <w:r>
        <w:rPr>
          <w:rFonts w:ascii="Times New Roman" w:hAnsi="Times New Roman"/>
          <w:b/>
          <w:sz w:val="20"/>
        </w:rPr>
        <w:t>1.68</w:t>
      </w:r>
      <w:r>
        <w:rPr>
          <w:rFonts w:ascii="Times New Roman" w:hAnsi="Times New Roman"/>
          <w:sz w:val="20"/>
        </w:rPr>
        <w:t xml:space="preserve"> “</w:t>
      </w:r>
      <w:r>
        <w:rPr>
          <w:rFonts w:ascii="Times New Roman" w:hAnsi="Times New Roman"/>
          <w:b/>
          <w:i/>
          <w:sz w:val="20"/>
        </w:rPr>
        <w:t>Patent Right</w:t>
      </w:r>
      <w:r>
        <w:rPr>
          <w:rFonts w:ascii="Times New Roman" w:hAnsi="Times New Roman"/>
          <w:sz w:val="20"/>
        </w:rPr>
        <w:t xml:space="preserve">” means (a) all patents and patent applications in any country or supranational jurisdiction, (b) any substitutions, divisionals, continuations, continuations-in-part, provisional applications, reissues, renewals, registrations, confirmations, re-examinations, extensions, supplementary protection certificates and the like of any such patents or patent applications, (c) foreign counterparts of any of the foregoing, (d) all applications claiming priority to any of the foregoing and (e) any patents issuing on any patent application identified in clauses (a) through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1.69</w:t>
      </w:r>
      <w:r>
        <w:rPr>
          <w:rFonts w:ascii="Times New Roman" w:hAnsi="Times New Roman"/>
          <w:sz w:val="20"/>
        </w:rPr>
        <w:t xml:space="preserve"> “</w:t>
      </w:r>
      <w:r>
        <w:rPr>
          <w:rFonts w:ascii="Times New Roman" w:hAnsi="Times New Roman"/>
          <w:b/>
          <w:i/>
          <w:sz w:val="20"/>
        </w:rPr>
        <w:t>Person</w:t>
      </w:r>
      <w:r>
        <w:rPr>
          <w:rFonts w:ascii="Times New Roman" w:hAnsi="Times New Roman"/>
          <w:sz w:val="20"/>
        </w:rPr>
        <w:t xml:space="preserve">” means any individual, partnership, limited partnership, limited liability partnership, corporation, limited liability company, business trust, joint stock company, trust, incorporated association, joint venture, unincorporated organization or association, or Governmental Authority. </w:t>
      </w:r>
    </w:p>
    <w:p>
      <w:pPr>
        <w:pStyle w:val="TextBody"/>
        <w:bidi w:val="0"/>
        <w:spacing w:before="240" w:after="0"/>
        <w:jc w:val="left"/>
        <w:rPr>
          <w:rFonts w:ascii="Times New Roman" w:hAnsi="Times New Roman"/>
          <w:sz w:val="20"/>
        </w:rPr>
      </w:pPr>
      <w:r>
        <w:rPr>
          <w:rFonts w:ascii="Times New Roman" w:hAnsi="Times New Roman"/>
          <w:b/>
          <w:sz w:val="20"/>
        </w:rPr>
        <w:t>1.70</w:t>
      </w:r>
      <w:r>
        <w:rPr>
          <w:rFonts w:ascii="Times New Roman" w:hAnsi="Times New Roman"/>
          <w:sz w:val="20"/>
        </w:rPr>
        <w:t xml:space="preserve"> “</w:t>
      </w:r>
      <w:r>
        <w:rPr>
          <w:rFonts w:ascii="Times New Roman" w:hAnsi="Times New Roman"/>
          <w:b/>
          <w:i/>
          <w:sz w:val="20"/>
        </w:rPr>
        <w:t>Personal Data</w:t>
      </w:r>
      <w:r>
        <w:rPr>
          <w:rFonts w:ascii="Times New Roman" w:hAnsi="Times New Roman"/>
          <w:sz w:val="20"/>
        </w:rPr>
        <w:t xml:space="preserve">” means, to the extent arising out of or related to this Agreement, (a) all information relating to an identified or identifiable individual, including pseudonymized (key-coded) data arising out of or related to any Clinical Trials containing such information; and (b) any other information that constitutes “personal data,” “personal information,” or a similar term under applicable Data Security and Protection Laws. </w:t>
      </w:r>
    </w:p>
    <w:p>
      <w:pPr>
        <w:pStyle w:val="TextBody"/>
        <w:bidi w:val="0"/>
        <w:spacing w:before="240" w:after="0"/>
        <w:jc w:val="left"/>
        <w:rPr>
          <w:rFonts w:ascii="Times New Roman" w:hAnsi="Times New Roman"/>
          <w:sz w:val="20"/>
        </w:rPr>
      </w:pPr>
      <w:r>
        <w:rPr>
          <w:rFonts w:ascii="Times New Roman" w:hAnsi="Times New Roman"/>
          <w:b/>
          <w:sz w:val="20"/>
        </w:rPr>
        <w:t>1.71</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1.72</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1.73</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1.74</w:t>
      </w:r>
      <w:r>
        <w:rPr>
          <w:rFonts w:ascii="Times New Roman" w:hAnsi="Times New Roman"/>
          <w:sz w:val="20"/>
        </w:rPr>
        <w:t xml:space="preserve"> “</w:t>
      </w:r>
      <w:r>
        <w:rPr>
          <w:rFonts w:ascii="Times New Roman" w:hAnsi="Times New Roman"/>
          <w:b/>
          <w:i/>
          <w:sz w:val="20"/>
        </w:rPr>
        <w:t>Process</w:t>
      </w:r>
      <w:r>
        <w:rPr>
          <w:rFonts w:ascii="Times New Roman" w:hAnsi="Times New Roman"/>
          <w:sz w:val="20"/>
        </w:rPr>
        <w:t>” or “</w:t>
      </w:r>
      <w:r>
        <w:rPr>
          <w:rFonts w:ascii="Times New Roman" w:hAnsi="Times New Roman"/>
          <w:b/>
          <w:i/>
          <w:sz w:val="20"/>
        </w:rPr>
        <w:t>Processing</w:t>
      </w:r>
      <w:r>
        <w:rPr>
          <w:rFonts w:ascii="Times New Roman" w:hAnsi="Times New Roman"/>
          <w:sz w:val="20"/>
        </w:rPr>
        <w:t xml:space="preserve">” (and any inflection thereof) means any operation or set of operations performed on data (including Personal Data), whether or not by automatic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rFonts w:ascii="Times New Roman" w:hAnsi="Times New Roman"/>
          <w:sz w:val="20"/>
        </w:rPr>
      </w:pPr>
      <w:r>
        <w:rPr>
          <w:rFonts w:ascii="Times New Roman" w:hAnsi="Times New Roman"/>
          <w:b/>
          <w:sz w:val="20"/>
        </w:rPr>
        <w:t>1.75</w:t>
      </w:r>
      <w:r>
        <w:rPr>
          <w:rFonts w:ascii="Times New Roman" w:hAnsi="Times New Roman"/>
          <w:sz w:val="20"/>
        </w:rPr>
        <w:t xml:space="preserve"> “</w:t>
      </w:r>
      <w:r>
        <w:rPr>
          <w:rFonts w:ascii="Times New Roman" w:hAnsi="Times New Roman"/>
          <w:b/>
          <w:i/>
          <w:sz w:val="20"/>
        </w:rPr>
        <w:t>Registrational Clinical Trial</w:t>
      </w:r>
      <w:r>
        <w:rPr>
          <w:rFonts w:ascii="Times New Roman" w:hAnsi="Times New Roman"/>
          <w:sz w:val="20"/>
        </w:rPr>
        <w:t xml:space="preserve">” means, with respect to a Licensed Product, a Clinical Trial that is prospectively designed to demonstrate with statistical significance that such Licensed Product is safe and effective for its intended use and that satisfies the following criteria, as confirmed by the applicable Regulatory Authority through written feedback, a special protocol assessment, or other official written guidance provided prior to or at the initiation of such trial: (a) it would satisfy the requirements of 21 C.F.R. § 312.21(c) or corresponding foreign regulations; or (b) it is otherwise intended, at the time of Initiation, to form the primary basis for an application for marketing approval of such Licensed Product (or a new indication or expanded use for an already approved Licensed Product). </w:t>
      </w:r>
    </w:p>
    <w:p>
      <w:pPr>
        <w:pStyle w:val="TextBody"/>
        <w:bidi w:val="0"/>
        <w:spacing w:before="240" w:after="0"/>
        <w:jc w:val="left"/>
        <w:rPr>
          <w:rFonts w:ascii="Times New Roman" w:hAnsi="Times New Roman"/>
          <w:sz w:val="20"/>
        </w:rPr>
      </w:pPr>
      <w:r>
        <w:rPr>
          <w:rFonts w:ascii="Times New Roman" w:hAnsi="Times New Roman"/>
          <w:b/>
          <w:sz w:val="20"/>
        </w:rPr>
        <w:t>1.76</w:t>
      </w:r>
      <w:r>
        <w:rPr>
          <w:rFonts w:ascii="Times New Roman" w:hAnsi="Times New Roman"/>
          <w:sz w:val="20"/>
        </w:rPr>
        <w:t xml:space="preserve"> “</w:t>
      </w:r>
      <w:r>
        <w:rPr>
          <w:rFonts w:ascii="Times New Roman" w:hAnsi="Times New Roman"/>
          <w:b/>
          <w:i/>
          <w:sz w:val="20"/>
        </w:rPr>
        <w:t>Regulatory Approval</w:t>
      </w:r>
      <w:r>
        <w:rPr>
          <w:rFonts w:ascii="Times New Roman" w:hAnsi="Times New Roman"/>
          <w:sz w:val="20"/>
        </w:rPr>
        <w:t xml:space="preserve">” means, with respect to a pharmaceutical or biological product in a country, any and all licenses, registrations, authorizations and approvals of the applicable Governmental Authority, including a Biologics License Application (BLA) in the United States or any foreign equivalent thereof, as applicable, that are necessary to Commercialize such product in such country, but which shall exclude any pricing or reimbursement authorizations and approvals. </w:t>
      </w:r>
    </w:p>
    <w:p>
      <w:pPr>
        <w:pStyle w:val="TextBody"/>
        <w:bidi w:val="0"/>
        <w:spacing w:before="240" w:after="0"/>
        <w:jc w:val="left"/>
        <w:rPr>
          <w:rFonts w:ascii="Times New Roman" w:hAnsi="Times New Roman"/>
          <w:sz w:val="20"/>
        </w:rPr>
      </w:pPr>
      <w:r>
        <w:rPr>
          <w:rFonts w:ascii="Times New Roman" w:hAnsi="Times New Roman"/>
          <w:b/>
          <w:sz w:val="20"/>
        </w:rPr>
        <w:t>1.77</w:t>
      </w:r>
      <w:r>
        <w:rPr>
          <w:rFonts w:ascii="Times New Roman" w:hAnsi="Times New Roman"/>
          <w:sz w:val="20"/>
        </w:rPr>
        <w:t xml:space="preserve"> “</w:t>
      </w:r>
      <w:r>
        <w:rPr>
          <w:rFonts w:ascii="Times New Roman" w:hAnsi="Times New Roman"/>
          <w:b/>
          <w:i/>
          <w:sz w:val="20"/>
        </w:rPr>
        <w:t>Regulatory Authority</w:t>
      </w:r>
      <w:r>
        <w:rPr>
          <w:rFonts w:ascii="Times New Roman" w:hAnsi="Times New Roman"/>
          <w:sz w:val="20"/>
        </w:rPr>
        <w:t xml:space="preserve">” means any Governmental Authority responsible for granting Regulatory Approvals. “Regulatory Authority” includes the FDA, NMPA and any corresponding national or regional regulatory authorities, and any successor agency of the foregoing. </w:t>
      </w:r>
    </w:p>
    <w:p>
      <w:pPr>
        <w:pStyle w:val="TextBody"/>
        <w:bidi w:val="0"/>
        <w:spacing w:before="240" w:after="0"/>
        <w:jc w:val="left"/>
        <w:rPr>
          <w:rFonts w:ascii="Times New Roman" w:hAnsi="Times New Roman"/>
          <w:sz w:val="20"/>
        </w:rPr>
      </w:pPr>
      <w:r>
        <w:rPr>
          <w:rFonts w:ascii="Times New Roman" w:hAnsi="Times New Roman"/>
          <w:b/>
          <w:sz w:val="20"/>
        </w:rPr>
        <w:t>1.78</w:t>
      </w:r>
      <w:r>
        <w:rPr>
          <w:rFonts w:ascii="Times New Roman" w:hAnsi="Times New Roman"/>
          <w:sz w:val="20"/>
        </w:rPr>
        <w:t xml:space="preserve"> “</w:t>
      </w:r>
      <w:r>
        <w:rPr>
          <w:rFonts w:ascii="Times New Roman" w:hAnsi="Times New Roman"/>
          <w:b/>
          <w:i/>
          <w:sz w:val="20"/>
        </w:rPr>
        <w:t>Regulatory Documents</w:t>
      </w:r>
      <w:r>
        <w:rPr>
          <w:rFonts w:ascii="Times New Roman" w:hAnsi="Times New Roman"/>
          <w:sz w:val="20"/>
        </w:rPr>
        <w:t xml:space="preserve">” means any filing, application or submission with any Regulatory Authority, including authorizations, approvals or clearances arising from the foregoing, including Regulatory Approvals, and all written correspondence or written communication with or from the relevant Regulatory Authority, as well as minutes of any material meetings, telephone conferences or discussions with the relevant Regulatory Authority, in each case, with respect to the Licensed Therapeutic or the Licensed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1.79</w:t>
      </w:r>
      <w:r>
        <w:rPr>
          <w:rFonts w:ascii="Times New Roman" w:hAnsi="Times New Roman"/>
          <w:sz w:val="20"/>
        </w:rPr>
        <w:t xml:space="preserve"> “</w:t>
      </w:r>
      <w:r>
        <w:rPr>
          <w:rFonts w:ascii="Times New Roman" w:hAnsi="Times New Roman"/>
          <w:b/>
          <w:i/>
          <w:sz w:val="20"/>
        </w:rPr>
        <w:t>Regulatory Exclusivity</w:t>
      </w:r>
      <w:r>
        <w:rPr>
          <w:rFonts w:ascii="Times New Roman" w:hAnsi="Times New Roman"/>
          <w:sz w:val="20"/>
        </w:rPr>
        <w:t xml:space="preserve">” means any exclusive marketing rights or data exclusivity rights (other than Patent Rights) conferred by any Regulatory Authority with respect to a pharmaceutical or medical product, including pediatric exclusivity and orphan drug exclusivity. </w:t>
      </w:r>
    </w:p>
    <w:p>
      <w:pPr>
        <w:pStyle w:val="TextBody"/>
        <w:bidi w:val="0"/>
        <w:spacing w:before="240" w:after="0"/>
        <w:jc w:val="left"/>
        <w:rPr>
          <w:rFonts w:ascii="Times New Roman" w:hAnsi="Times New Roman"/>
          <w:sz w:val="20"/>
        </w:rPr>
      </w:pPr>
      <w:r>
        <w:rPr>
          <w:rFonts w:ascii="Times New Roman" w:hAnsi="Times New Roman"/>
          <w:b/>
          <w:sz w:val="20"/>
        </w:rPr>
        <w:t>1.80</w:t>
      </w:r>
      <w:r>
        <w:rPr>
          <w:rFonts w:ascii="Times New Roman" w:hAnsi="Times New Roman"/>
          <w:sz w:val="20"/>
        </w:rPr>
        <w:t xml:space="preserve"> “</w:t>
      </w:r>
      <w:r>
        <w:rPr>
          <w:rFonts w:ascii="Times New Roman" w:hAnsi="Times New Roman"/>
          <w:b/>
          <w:i/>
          <w:sz w:val="20"/>
        </w:rPr>
        <w:t>Retained Territory</w:t>
      </w:r>
      <w:r>
        <w:rPr>
          <w:rFonts w:ascii="Times New Roman" w:hAnsi="Times New Roman"/>
          <w:sz w:val="20"/>
        </w:rPr>
        <w:t xml:space="preserve">” means greater China (which, for the purposes of clarity, means mainland China, Hong Kong, Macau, and Taiwan). </w:t>
      </w:r>
    </w:p>
    <w:p>
      <w:pPr>
        <w:pStyle w:val="TextBody"/>
        <w:bidi w:val="0"/>
        <w:spacing w:before="240" w:after="0"/>
        <w:jc w:val="left"/>
        <w:rPr>
          <w:rFonts w:ascii="Times New Roman" w:hAnsi="Times New Roman"/>
          <w:sz w:val="20"/>
        </w:rPr>
      </w:pPr>
      <w:r>
        <w:rPr>
          <w:rFonts w:ascii="Times New Roman" w:hAnsi="Times New Roman"/>
          <w:b/>
          <w:sz w:val="20"/>
        </w:rPr>
        <w:t>1.81</w:t>
      </w:r>
      <w:r>
        <w:rPr>
          <w:rFonts w:ascii="Times New Roman" w:hAnsi="Times New Roman"/>
          <w:sz w:val="20"/>
        </w:rPr>
        <w:t xml:space="preserve"> “</w:t>
      </w:r>
      <w:r>
        <w:rPr>
          <w:rFonts w:ascii="Times New Roman" w:hAnsi="Times New Roman"/>
          <w:b/>
          <w:i/>
          <w:sz w:val="20"/>
        </w:rPr>
        <w:t>Royalty Term</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b/>
          <w:sz w:val="20"/>
        </w:rPr>
        <w:t>1.82</w:t>
      </w:r>
      <w:r>
        <w:rPr>
          <w:rFonts w:ascii="Times New Roman" w:hAnsi="Times New Roman"/>
          <w:sz w:val="20"/>
        </w:rPr>
        <w:t xml:space="preserve"> “</w:t>
      </w:r>
      <w:r>
        <w:rPr>
          <w:rFonts w:ascii="Times New Roman" w:hAnsi="Times New Roman"/>
          <w:b/>
          <w:i/>
          <w:sz w:val="20"/>
        </w:rPr>
        <w:t>Sublicensee</w:t>
      </w:r>
      <w:r>
        <w:rPr>
          <w:rFonts w:ascii="Times New Roman" w:hAnsi="Times New Roman"/>
          <w:sz w:val="20"/>
        </w:rPr>
        <w:t xml:space="preserve">” means any Third Party, including a co-development, co-promotion or co-marketing partner, to whom Company or any of its Affiliates grants a sublicense of the license(s) pursuant to </w:t>
      </w:r>
      <w:r>
        <w:rPr>
          <w:rFonts w:ascii="Times New Roman" w:hAnsi="Times New Roman"/>
          <w:sz w:val="20"/>
          <w:u w:val="single"/>
        </w:rPr>
        <w:t>Section 2.2</w:t>
      </w:r>
      <w:r>
        <w:rPr>
          <w:rFonts w:ascii="Times New Roman" w:hAnsi="Times New Roman"/>
          <w:sz w:val="20"/>
        </w:rPr>
        <w:t xml:space="preserve">, but excluding service providers, CROs, CMOs, wholesalers, distributors or other Subcontractors. </w:t>
      </w:r>
    </w:p>
    <w:p>
      <w:pPr>
        <w:pStyle w:val="TextBody"/>
        <w:bidi w:val="0"/>
        <w:spacing w:before="240" w:after="0"/>
        <w:jc w:val="left"/>
        <w:rPr/>
      </w:pPr>
      <w:r>
        <w:rPr>
          <w:rFonts w:ascii="Times New Roman" w:hAnsi="Times New Roman"/>
          <w:b/>
          <w:sz w:val="20"/>
        </w:rPr>
        <w:t>1.83</w:t>
      </w:r>
      <w:r>
        <w:rPr>
          <w:rFonts w:ascii="Times New Roman" w:hAnsi="Times New Roman"/>
          <w:sz w:val="20"/>
        </w:rPr>
        <w:t xml:space="preserve"> “</w:t>
      </w:r>
      <w:r>
        <w:rPr>
          <w:rFonts w:ascii="Times New Roman" w:hAnsi="Times New Roman"/>
          <w:b/>
          <w:i/>
          <w:sz w:val="20"/>
        </w:rPr>
        <w:t>TAR Regulations</w:t>
      </w:r>
      <w:r>
        <w:rPr>
          <w:rFonts w:ascii="Times New Roman" w:hAnsi="Times New Roman"/>
          <w:sz w:val="20"/>
        </w:rPr>
        <w:t>” shall mean the Administrative Regulations of the People’s Republic of China on Technology Agreement Recognition and Registration (</w:t>
      </w:r>
      <w:r>
        <w:rPr>
          <w:rFonts w:eastAsia="PMingLiU"/>
          <w:sz w:val="20"/>
        </w:rPr>
        <w:t>《技术合同认定登记管理办法》</w:t>
      </w:r>
      <w:r>
        <w:rPr>
          <w:rFonts w:ascii="Times New Roman" w:hAnsi="Times New Roman"/>
          <w:sz w:val="20"/>
        </w:rPr>
        <w:t>) that were issued on February 16, 2000, as well as associated regulations, including the Technology Agreement Recognition Rules (</w:t>
      </w:r>
      <w:r>
        <w:rPr>
          <w:rFonts w:eastAsia="PMingLiU"/>
          <w:sz w:val="20"/>
        </w:rPr>
        <w:t>《技术合同认定规则》</w:t>
      </w:r>
      <w:r>
        <w:rPr>
          <w:rFonts w:ascii="Times New Roman" w:hAnsi="Times New Roman"/>
          <w:sz w:val="20"/>
        </w:rPr>
        <w:t xml:space="preserve">) issued on July 18, 2001, as may be amended from time to time. </w:t>
      </w:r>
    </w:p>
    <w:p>
      <w:pPr>
        <w:pStyle w:val="TextBody"/>
        <w:bidi w:val="0"/>
        <w:spacing w:before="240" w:after="0"/>
        <w:jc w:val="left"/>
        <w:rPr>
          <w:rFonts w:ascii="Times New Roman" w:hAnsi="Times New Roman"/>
          <w:sz w:val="20"/>
        </w:rPr>
      </w:pPr>
      <w:r>
        <w:rPr>
          <w:rFonts w:ascii="Times New Roman" w:hAnsi="Times New Roman"/>
          <w:b/>
          <w:sz w:val="20"/>
        </w:rPr>
        <w:t>1.84</w:t>
      </w:r>
      <w:r>
        <w:rPr>
          <w:rFonts w:ascii="Times New Roman" w:hAnsi="Times New Roman"/>
          <w:sz w:val="20"/>
        </w:rPr>
        <w:t xml:space="preserve"> “</w:t>
      </w:r>
      <w:r>
        <w:rPr>
          <w:rFonts w:ascii="Times New Roman" w:hAnsi="Times New Roman"/>
          <w:b/>
          <w:i/>
          <w:sz w:val="20"/>
        </w:rPr>
        <w:t>Tax</w:t>
      </w:r>
      <w:r>
        <w:rPr>
          <w:rFonts w:ascii="Times New Roman" w:hAnsi="Times New Roman"/>
          <w:sz w:val="20"/>
        </w:rPr>
        <w:t>” or “</w:t>
      </w:r>
      <w:r>
        <w:rPr>
          <w:rFonts w:ascii="Times New Roman" w:hAnsi="Times New Roman"/>
          <w:b/>
          <w:i/>
          <w:sz w:val="20"/>
        </w:rPr>
        <w:t>Taxes</w:t>
      </w:r>
      <w:r>
        <w:rPr>
          <w:rFonts w:ascii="Times New Roman" w:hAnsi="Times New Roman"/>
          <w:sz w:val="20"/>
        </w:rPr>
        <w:t xml:space="preserve">” means all forms of preliminary or finally imposed taxation, domestic and foreign taxes, fees, levies, duties and other assessments or charges of whatever kind (including sales, use, excise, stamp, transfer, property, value added, goods and services, withholding and franchise taxes) together with any interest, penalties or additions payable in connection with such taxes, fees, levies duties and other assessments or charges. </w:t>
      </w:r>
    </w:p>
    <w:p>
      <w:pPr>
        <w:pStyle w:val="TextBody"/>
        <w:bidi w:val="0"/>
        <w:spacing w:before="240" w:after="0"/>
        <w:jc w:val="left"/>
        <w:rPr>
          <w:rFonts w:ascii="Times New Roman" w:hAnsi="Times New Roman"/>
          <w:sz w:val="20"/>
        </w:rPr>
      </w:pPr>
      <w:r>
        <w:rPr>
          <w:rFonts w:ascii="Times New Roman" w:hAnsi="Times New Roman"/>
          <w:b/>
          <w:sz w:val="20"/>
        </w:rPr>
        <w:t>1.85</w:t>
      </w:r>
      <w:r>
        <w:rPr>
          <w:rFonts w:ascii="Times New Roman" w:hAnsi="Times New Roman"/>
          <w:sz w:val="20"/>
        </w:rPr>
        <w:t xml:space="preserve"> “</w:t>
      </w:r>
      <w:r>
        <w:rPr>
          <w:rFonts w:ascii="Times New Roman" w:hAnsi="Times New Roman"/>
          <w:b/>
          <w:i/>
          <w:sz w:val="20"/>
        </w:rPr>
        <w:t>Third Party</w:t>
      </w:r>
      <w:r>
        <w:rPr>
          <w:rFonts w:ascii="Times New Roman" w:hAnsi="Times New Roman"/>
          <w:sz w:val="20"/>
        </w:rPr>
        <w:t xml:space="preserve">” means any Person other than a Party or an Affiliate of a Party. </w:t>
      </w:r>
    </w:p>
    <w:p>
      <w:pPr>
        <w:pStyle w:val="TextBody"/>
        <w:bidi w:val="0"/>
        <w:spacing w:before="240" w:after="0"/>
        <w:jc w:val="left"/>
        <w:rPr>
          <w:rFonts w:ascii="Times New Roman" w:hAnsi="Times New Roman"/>
          <w:sz w:val="20"/>
        </w:rPr>
      </w:pPr>
      <w:r>
        <w:rPr>
          <w:rFonts w:ascii="Times New Roman" w:hAnsi="Times New Roman"/>
          <w:b/>
          <w:sz w:val="20"/>
        </w:rPr>
        <w:t>1.86</w:t>
      </w:r>
      <w:r>
        <w:rPr>
          <w:rFonts w:ascii="Times New Roman" w:hAnsi="Times New Roman"/>
          <w:sz w:val="20"/>
        </w:rPr>
        <w:t xml:space="preserve"> “</w:t>
      </w:r>
      <w:r>
        <w:rPr>
          <w:rFonts w:ascii="Times New Roman" w:hAnsi="Times New Roman"/>
          <w:b/>
          <w:i/>
          <w:sz w:val="20"/>
        </w:rPr>
        <w:t>Third Party Licensee</w:t>
      </w:r>
      <w:r>
        <w:rPr>
          <w:rFonts w:ascii="Times New Roman" w:hAnsi="Times New Roman"/>
          <w:sz w:val="20"/>
        </w:rPr>
        <w:t xml:space="preserve">” means any Third Party holding a license (whether exclusive or non-exclusive) under the Licensed Technology in the Field in the Retained Territory, but excluding service providers, CROs, CMOs, wholesalers, distributors or other subcontractors. </w:t>
      </w:r>
    </w:p>
    <w:p>
      <w:pPr>
        <w:pStyle w:val="TextBody"/>
        <w:bidi w:val="0"/>
        <w:spacing w:before="240" w:after="0"/>
        <w:jc w:val="left"/>
        <w:rPr/>
      </w:pPr>
      <w:r>
        <w:rPr>
          <w:rFonts w:ascii="Times New Roman" w:hAnsi="Times New Roman"/>
          <w:b/>
          <w:sz w:val="20"/>
        </w:rPr>
        <w:t>1.87</w:t>
      </w:r>
      <w:r>
        <w:rPr>
          <w:rFonts w:ascii="Times New Roman" w:hAnsi="Times New Roman"/>
          <w:sz w:val="20"/>
        </w:rPr>
        <w:t xml:space="preserve"> “</w:t>
      </w:r>
      <w:r>
        <w:rPr>
          <w:rFonts w:ascii="Times New Roman" w:hAnsi="Times New Roman"/>
          <w:b/>
          <w:i/>
          <w:sz w:val="20"/>
        </w:rPr>
        <w:t>TIELR Regulations</w:t>
      </w:r>
      <w:r>
        <w:rPr>
          <w:rFonts w:ascii="Times New Roman" w:hAnsi="Times New Roman"/>
          <w:sz w:val="20"/>
        </w:rPr>
        <w:t>” means the Administrative Regulations of the People’s Republic of China on Technology Import and Export (</w:t>
      </w:r>
      <w:r>
        <w:rPr>
          <w:rFonts w:eastAsia="PMingLiU"/>
          <w:sz w:val="20"/>
        </w:rPr>
        <w:t>《中华人民共和国技术进出口管理条例》</w:t>
      </w:r>
      <w:r>
        <w:rPr>
          <w:rFonts w:ascii="Times New Roman" w:hAnsi="Times New Roman"/>
          <w:sz w:val="20"/>
        </w:rPr>
        <w:t xml:space="preserve">) (Revised in 2020), as may be amended from time to time. </w:t>
      </w:r>
    </w:p>
    <w:p>
      <w:pPr>
        <w:pStyle w:val="TextBody"/>
        <w:bidi w:val="0"/>
        <w:spacing w:before="240" w:after="0"/>
        <w:jc w:val="left"/>
        <w:rPr>
          <w:rFonts w:ascii="Times New Roman" w:hAnsi="Times New Roman"/>
          <w:sz w:val="20"/>
        </w:rPr>
      </w:pPr>
      <w:r>
        <w:rPr>
          <w:rFonts w:ascii="Times New Roman" w:hAnsi="Times New Roman"/>
          <w:b/>
          <w:sz w:val="20"/>
        </w:rPr>
        <w:t>1.88</w:t>
      </w:r>
      <w:r>
        <w:rPr>
          <w:rFonts w:ascii="Times New Roman" w:hAnsi="Times New Roman"/>
          <w:sz w:val="20"/>
        </w:rPr>
        <w:t xml:space="preserve"> “</w:t>
      </w:r>
      <w:r>
        <w:rPr>
          <w:rFonts w:ascii="Times New Roman" w:hAnsi="Times New Roman"/>
          <w:b/>
          <w:i/>
          <w:sz w:val="20"/>
        </w:rPr>
        <w:t>Transaction Revenue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 </w:t>
      </w:r>
    </w:p>
    <w:p>
      <w:pPr>
        <w:pStyle w:val="TextBody"/>
        <w:bidi w:val="0"/>
        <w:spacing w:before="240" w:after="0"/>
        <w:jc w:val="left"/>
        <w:rPr>
          <w:rFonts w:ascii="Times New Roman" w:hAnsi="Times New Roman"/>
          <w:sz w:val="20"/>
        </w:rPr>
      </w:pPr>
      <w:r>
        <w:rPr>
          <w:rFonts w:ascii="Times New Roman" w:hAnsi="Times New Roman"/>
          <w:sz w:val="20"/>
        </w:rPr>
        <w:t xml:space="preserve">(b) [***]. For the avoidance of doubt, in the event this Agreement is terminated prior to a Change of Control transaction, no payments received by Company in connection with such Change of Control transaction shall constitute Transaction Revenue. To the extent Company is Developing or Commercializing more than one program at the time of a Change of Control transaction, the portion of the total consideration received in such Change of Control transaction that is attributable or reasonably allocable to the Licensed Product shall be determined by the Parties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1.89</w:t>
      </w:r>
      <w:r>
        <w:rPr>
          <w:rFonts w:ascii="Times New Roman" w:hAnsi="Times New Roman"/>
          <w:sz w:val="20"/>
        </w:rPr>
        <w:t xml:space="preserve"> “</w:t>
      </w:r>
      <w:r>
        <w:rPr>
          <w:rFonts w:ascii="Times New Roman" w:hAnsi="Times New Roman"/>
          <w:b/>
          <w:i/>
          <w:sz w:val="20"/>
        </w:rPr>
        <w:t>United States</w:t>
      </w:r>
      <w:r>
        <w:rPr>
          <w:rFonts w:ascii="Times New Roman" w:hAnsi="Times New Roman"/>
          <w:sz w:val="20"/>
        </w:rPr>
        <w:t xml:space="preserve">” means the United States of America. </w:t>
      </w:r>
    </w:p>
    <w:p>
      <w:pPr>
        <w:pStyle w:val="TextBody"/>
        <w:bidi w:val="0"/>
        <w:spacing w:before="240" w:after="0"/>
        <w:jc w:val="left"/>
        <w:rPr>
          <w:rFonts w:ascii="Times New Roman" w:hAnsi="Times New Roman"/>
          <w:sz w:val="20"/>
        </w:rPr>
      </w:pPr>
      <w:r>
        <w:rPr>
          <w:rFonts w:ascii="Times New Roman" w:hAnsi="Times New Roman"/>
          <w:b/>
          <w:sz w:val="20"/>
        </w:rPr>
        <w:t>1.90</w:t>
      </w:r>
      <w:r>
        <w:rPr>
          <w:rFonts w:ascii="Times New Roman" w:hAnsi="Times New Roman"/>
          <w:sz w:val="20"/>
        </w:rPr>
        <w:t xml:space="preserve"> “</w:t>
      </w:r>
      <w:r>
        <w:rPr>
          <w:rFonts w:ascii="Times New Roman" w:hAnsi="Times New Roman"/>
          <w:b/>
          <w:i/>
          <w:sz w:val="20"/>
        </w:rPr>
        <w:t>U.S. Bulk Data Final Rule</w:t>
      </w:r>
      <w:r>
        <w:rPr>
          <w:rFonts w:ascii="Times New Roman" w:hAnsi="Times New Roman"/>
          <w:sz w:val="20"/>
        </w:rPr>
        <w:t xml:space="preserve">” means the Final Rule Implementing Executive Order 14117 of February 28, 2024 (Preventing Access to Americans’ Bulk Sensitive Personal Data and United States Government-Related Data by Countries of Concern), 90 Fed. Reg. 1636. </w:t>
      </w:r>
    </w:p>
    <w:p>
      <w:pPr>
        <w:pStyle w:val="TextBody"/>
        <w:bidi w:val="0"/>
        <w:spacing w:before="240" w:after="0"/>
        <w:jc w:val="left"/>
        <w:rPr>
          <w:rFonts w:ascii="Times New Roman" w:hAnsi="Times New Roman"/>
          <w:sz w:val="20"/>
        </w:rPr>
      </w:pPr>
      <w:r>
        <w:rPr>
          <w:rFonts w:ascii="Times New Roman" w:hAnsi="Times New Roman"/>
          <w:b/>
          <w:sz w:val="20"/>
        </w:rPr>
        <w:t>1.91</w:t>
      </w:r>
      <w:r>
        <w:rPr>
          <w:rFonts w:ascii="Times New Roman" w:hAnsi="Times New Roman"/>
          <w:sz w:val="20"/>
        </w:rPr>
        <w:t xml:space="preserve"> “</w:t>
      </w:r>
      <w:r>
        <w:rPr>
          <w:rFonts w:ascii="Times New Roman" w:hAnsi="Times New Roman"/>
          <w:b/>
          <w:i/>
          <w:sz w:val="20"/>
        </w:rPr>
        <w:t>Valid Claim</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 xml:space="preserve">Additional Definitions. The following table identifies the location of additional definitions set forth in various Sections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9"/>
        <w:gridCol w:w="123"/>
        <w:gridCol w:w="4823"/>
      </w:tblGrid>
      <w:tr>
        <w:trPr/>
        <w:tc>
          <w:tcPr>
            <w:tcW w:w="525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23" w:type="dxa"/>
            <w:tcBorders/>
            <w:vAlign w:val="center"/>
          </w:tcPr>
          <w:p>
            <w:pPr>
              <w:pStyle w:val="TableContents"/>
              <w:bidi w:val="0"/>
              <w:spacing w:before="0" w:after="283"/>
              <w:jc w:val="left"/>
              <w:rPr>
                <w:sz w:val="4"/>
                <w:szCs w:val="4"/>
              </w:rPr>
            </w:pPr>
            <w:r>
              <w:rPr>
                <w:sz w:val="4"/>
                <w:szCs w:val="4"/>
              </w:rPr>
            </w:r>
          </w:p>
        </w:tc>
      </w:tr>
      <w:tr>
        <w:trPr/>
        <w:tc>
          <w:tcPr>
            <w:tcW w:w="52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123" w:type="dxa"/>
            <w:tcBorders/>
            <w:vAlign w:val="bottom"/>
          </w:tcPr>
          <w:p>
            <w:pPr>
              <w:pStyle w:val="TableContents"/>
              <w:bidi w:val="0"/>
              <w:spacing w:before="0" w:after="283"/>
              <w:jc w:val="left"/>
              <w:rPr/>
            </w:pPr>
            <w:r>
              <w:rPr/>
              <w:t>  </w:t>
            </w:r>
          </w:p>
        </w:tc>
        <w:tc>
          <w:tcPr>
            <w:tcW w:w="48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59" w:type="dxa"/>
            <w:tcBorders/>
          </w:tcPr>
          <w:p>
            <w:pPr>
              <w:pStyle w:val="TableContents"/>
              <w:bidi w:val="0"/>
              <w:spacing w:before="0" w:after="283"/>
              <w:jc w:val="left"/>
              <w:rPr>
                <w:b/>
                <w:i/>
              </w:rPr>
            </w:pPr>
            <w:r>
              <w:rPr>
                <w:b/>
                <w:i/>
              </w:rPr>
              <w:t>Additional Cure Period</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12.2(b)(ii)</w:t>
            </w:r>
          </w:p>
        </w:tc>
      </w:tr>
      <w:tr>
        <w:trPr/>
        <w:tc>
          <w:tcPr>
            <w:tcW w:w="5259" w:type="dxa"/>
            <w:tcBorders/>
          </w:tcPr>
          <w:p>
            <w:pPr>
              <w:pStyle w:val="TableContents"/>
              <w:bidi w:val="0"/>
              <w:spacing w:before="0" w:after="283"/>
              <w:jc w:val="left"/>
              <w:rPr>
                <w:b/>
                <w:i/>
              </w:rPr>
            </w:pPr>
            <w:r>
              <w:rPr>
                <w:b/>
                <w:i/>
              </w:rPr>
              <w:t>Agreement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Preamble</w:t>
            </w:r>
          </w:p>
        </w:tc>
      </w:tr>
      <w:tr>
        <w:trPr/>
        <w:tc>
          <w:tcPr>
            <w:tcW w:w="5259" w:type="dxa"/>
            <w:tcBorders/>
          </w:tcPr>
          <w:p>
            <w:pPr>
              <w:pStyle w:val="TableContents"/>
              <w:bidi w:val="0"/>
              <w:spacing w:before="0" w:after="283"/>
              <w:jc w:val="left"/>
              <w:rPr>
                <w:b/>
                <w:i/>
              </w:rPr>
            </w:pPr>
            <w:r>
              <w:rPr>
                <w:b/>
                <w:i/>
              </w:rPr>
              <w:t>Auditor</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7.13</w:t>
            </w:r>
          </w:p>
        </w:tc>
      </w:tr>
      <w:tr>
        <w:trPr/>
        <w:tc>
          <w:tcPr>
            <w:tcW w:w="5259" w:type="dxa"/>
            <w:tcBorders/>
          </w:tcPr>
          <w:p>
            <w:pPr>
              <w:pStyle w:val="TableContents"/>
              <w:bidi w:val="0"/>
              <w:spacing w:before="0" w:after="283"/>
              <w:jc w:val="left"/>
              <w:rPr>
                <w:b/>
                <w:i/>
              </w:rPr>
            </w:pPr>
            <w:r>
              <w:rPr>
                <w:b/>
                <w:i/>
              </w:rPr>
              <w:t>Bankruptcy Code</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12.4</w:t>
            </w:r>
          </w:p>
        </w:tc>
      </w:tr>
      <w:tr>
        <w:trPr/>
        <w:tc>
          <w:tcPr>
            <w:tcW w:w="5259" w:type="dxa"/>
            <w:tcBorders/>
          </w:tcPr>
          <w:p>
            <w:pPr>
              <w:pStyle w:val="TableContents"/>
              <w:bidi w:val="0"/>
              <w:spacing w:before="0" w:after="283"/>
              <w:jc w:val="left"/>
              <w:rPr>
                <w:b/>
                <w:i/>
              </w:rPr>
            </w:pPr>
            <w:r>
              <w:rPr>
                <w:b/>
                <w:i/>
              </w:rPr>
              <w:t>Biosimilar Application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11.3(c)</w:t>
            </w:r>
          </w:p>
        </w:tc>
      </w:tr>
      <w:tr>
        <w:trPr/>
        <w:tc>
          <w:tcPr>
            <w:tcW w:w="5259" w:type="dxa"/>
            <w:tcBorders/>
          </w:tcPr>
          <w:p>
            <w:pPr>
              <w:pStyle w:val="TableContents"/>
              <w:bidi w:val="0"/>
              <w:spacing w:before="0" w:after="283"/>
              <w:jc w:val="left"/>
              <w:rPr>
                <w:b/>
                <w:i/>
              </w:rPr>
            </w:pPr>
            <w:r>
              <w:rPr>
                <w:b/>
                <w:i/>
              </w:rPr>
              <w:t>Combination Product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1.64</w:t>
            </w:r>
          </w:p>
        </w:tc>
      </w:tr>
      <w:tr>
        <w:trPr/>
        <w:tc>
          <w:tcPr>
            <w:tcW w:w="5259" w:type="dxa"/>
            <w:tcBorders/>
          </w:tcPr>
          <w:p>
            <w:pPr>
              <w:pStyle w:val="TableContents"/>
              <w:bidi w:val="0"/>
              <w:spacing w:before="0" w:after="283"/>
              <w:jc w:val="left"/>
              <w:rPr>
                <w:b/>
                <w:i/>
              </w:rPr>
            </w:pPr>
            <w:r>
              <w:rPr>
                <w:b/>
                <w:i/>
              </w:rPr>
              <w:t>Company Indemnitees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10.2</w:t>
            </w:r>
          </w:p>
        </w:tc>
      </w:tr>
      <w:tr>
        <w:trPr/>
        <w:tc>
          <w:tcPr>
            <w:tcW w:w="5259" w:type="dxa"/>
            <w:tcBorders/>
          </w:tcPr>
          <w:p>
            <w:pPr>
              <w:pStyle w:val="TableContents"/>
              <w:bidi w:val="0"/>
              <w:spacing w:before="0" w:after="283"/>
              <w:jc w:val="left"/>
              <w:rPr>
                <w:b/>
                <w:i/>
              </w:rPr>
            </w:pPr>
            <w:r>
              <w:rPr>
                <w:b/>
                <w:i/>
              </w:rPr>
              <w:t>Confidential Information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8.1</w:t>
            </w:r>
          </w:p>
        </w:tc>
      </w:tr>
      <w:tr>
        <w:trPr/>
        <w:tc>
          <w:tcPr>
            <w:tcW w:w="5259" w:type="dxa"/>
            <w:tcBorders/>
          </w:tcPr>
          <w:p>
            <w:pPr>
              <w:pStyle w:val="TableContents"/>
              <w:bidi w:val="0"/>
              <w:spacing w:before="0" w:after="283"/>
              <w:jc w:val="left"/>
              <w:rPr>
                <w:b/>
                <w:i/>
              </w:rPr>
            </w:pPr>
            <w:r>
              <w:rPr>
                <w:b/>
                <w:i/>
              </w:rPr>
              <w:t>Data Breach</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9.6(c)</w:t>
            </w:r>
          </w:p>
        </w:tc>
      </w:tr>
      <w:tr>
        <w:trPr/>
        <w:tc>
          <w:tcPr>
            <w:tcW w:w="5259" w:type="dxa"/>
            <w:tcBorders/>
          </w:tcPr>
          <w:p>
            <w:pPr>
              <w:pStyle w:val="TableContents"/>
              <w:bidi w:val="0"/>
              <w:spacing w:before="0" w:after="283"/>
              <w:jc w:val="left"/>
              <w:rPr>
                <w:b/>
                <w:i/>
              </w:rPr>
            </w:pPr>
            <w:r>
              <w:rPr>
                <w:b/>
                <w:i/>
              </w:rPr>
              <w:t>Defaulting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12.2(b)(ii)</w:t>
            </w:r>
          </w:p>
        </w:tc>
      </w:tr>
      <w:tr>
        <w:trPr/>
        <w:tc>
          <w:tcPr>
            <w:tcW w:w="5259" w:type="dxa"/>
            <w:tcBorders/>
          </w:tcPr>
          <w:p>
            <w:pPr>
              <w:pStyle w:val="TableContents"/>
              <w:bidi w:val="0"/>
              <w:spacing w:before="0" w:after="283"/>
              <w:jc w:val="left"/>
              <w:rPr>
                <w:b/>
                <w:i/>
              </w:rPr>
            </w:pPr>
            <w:r>
              <w:rPr>
                <w:b/>
                <w:i/>
              </w:rPr>
              <w:t>Development Milestone Event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7.3</w:t>
            </w:r>
          </w:p>
        </w:tc>
      </w:tr>
      <w:tr>
        <w:trPr/>
        <w:tc>
          <w:tcPr>
            <w:tcW w:w="5259" w:type="dxa"/>
            <w:tcBorders/>
          </w:tcPr>
          <w:p>
            <w:pPr>
              <w:pStyle w:val="TableContents"/>
              <w:bidi w:val="0"/>
              <w:spacing w:before="0" w:after="283"/>
              <w:jc w:val="left"/>
              <w:rPr>
                <w:b/>
                <w:i/>
              </w:rPr>
            </w:pPr>
            <w:r>
              <w:rPr>
                <w:b/>
                <w:i/>
              </w:rPr>
              <w:t>Development Milestone Payment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7.3</w:t>
            </w:r>
          </w:p>
        </w:tc>
      </w:tr>
      <w:tr>
        <w:trPr/>
        <w:tc>
          <w:tcPr>
            <w:tcW w:w="5259" w:type="dxa"/>
            <w:tcBorders/>
          </w:tcPr>
          <w:p>
            <w:pPr>
              <w:pStyle w:val="TableContents"/>
              <w:bidi w:val="0"/>
              <w:spacing w:before="0" w:after="283"/>
              <w:jc w:val="left"/>
              <w:rPr>
                <w:b/>
                <w:i/>
              </w:rPr>
            </w:pPr>
            <w:r>
              <w:rPr>
                <w:b/>
                <w:i/>
              </w:rPr>
              <w:t>Disclosing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8.1</w:t>
            </w:r>
          </w:p>
        </w:tc>
      </w:tr>
      <w:tr>
        <w:trPr/>
        <w:tc>
          <w:tcPr>
            <w:tcW w:w="5259" w:type="dxa"/>
            <w:tcBorders/>
          </w:tcPr>
          <w:p>
            <w:pPr>
              <w:pStyle w:val="TableContents"/>
              <w:bidi w:val="0"/>
              <w:spacing w:before="0" w:after="283"/>
              <w:jc w:val="left"/>
              <w:rPr>
                <w:b/>
                <w:i/>
              </w:rPr>
            </w:pPr>
            <w:r>
              <w:rPr>
                <w:b/>
                <w:i/>
              </w:rPr>
              <w:t>Excluded Claims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13.7(e)</w:t>
            </w:r>
          </w:p>
        </w:tc>
      </w:tr>
      <w:tr>
        <w:trPr/>
        <w:tc>
          <w:tcPr>
            <w:tcW w:w="5259" w:type="dxa"/>
            <w:tcBorders/>
          </w:tcPr>
          <w:p>
            <w:pPr>
              <w:pStyle w:val="TableContents"/>
              <w:bidi w:val="0"/>
              <w:spacing w:before="0" w:after="283"/>
              <w:jc w:val="left"/>
              <w:rPr>
                <w:b/>
                <w:i/>
              </w:rPr>
            </w:pPr>
            <w:r>
              <w:rPr>
                <w:b/>
                <w:i/>
              </w:rPr>
              <w:t>Grace Period</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2.7(b)</w:t>
            </w:r>
          </w:p>
        </w:tc>
      </w:tr>
      <w:tr>
        <w:trPr/>
        <w:tc>
          <w:tcPr>
            <w:tcW w:w="5259" w:type="dxa"/>
            <w:tcBorders/>
          </w:tcPr>
          <w:p>
            <w:pPr>
              <w:pStyle w:val="TableContents"/>
              <w:bidi w:val="0"/>
              <w:spacing w:before="0" w:after="283"/>
              <w:jc w:val="left"/>
              <w:rPr>
                <w:b/>
                <w:i/>
              </w:rPr>
            </w:pPr>
            <w:r>
              <w:rPr>
                <w:b/>
                <w:i/>
              </w:rPr>
              <w:t>Indemnification Claim Notice</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10.3</w:t>
            </w:r>
          </w:p>
        </w:tc>
      </w:tr>
      <w:tr>
        <w:trPr/>
        <w:tc>
          <w:tcPr>
            <w:tcW w:w="5259" w:type="dxa"/>
            <w:tcBorders/>
          </w:tcPr>
          <w:p>
            <w:pPr>
              <w:pStyle w:val="TableContents"/>
              <w:bidi w:val="0"/>
              <w:spacing w:before="0" w:after="283"/>
              <w:jc w:val="left"/>
              <w:rPr>
                <w:b/>
                <w:i/>
              </w:rPr>
            </w:pPr>
            <w:r>
              <w:rPr>
                <w:b/>
                <w:i/>
              </w:rPr>
              <w:t>Indemnified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10.3</w:t>
            </w:r>
          </w:p>
        </w:tc>
      </w:tr>
      <w:tr>
        <w:trPr/>
        <w:tc>
          <w:tcPr>
            <w:tcW w:w="5259" w:type="dxa"/>
            <w:tcBorders/>
          </w:tcPr>
          <w:p>
            <w:pPr>
              <w:pStyle w:val="TableContents"/>
              <w:bidi w:val="0"/>
              <w:spacing w:before="0" w:after="283"/>
              <w:jc w:val="left"/>
              <w:rPr>
                <w:b/>
                <w:i/>
              </w:rPr>
            </w:pPr>
            <w:r>
              <w:rPr>
                <w:b/>
                <w:i/>
              </w:rPr>
              <w:t>Indemnifying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10.3</w:t>
            </w:r>
          </w:p>
        </w:tc>
      </w:tr>
      <w:tr>
        <w:trPr/>
        <w:tc>
          <w:tcPr>
            <w:tcW w:w="5259" w:type="dxa"/>
            <w:tcBorders/>
          </w:tcPr>
          <w:p>
            <w:pPr>
              <w:pStyle w:val="TableContents"/>
              <w:bidi w:val="0"/>
              <w:spacing w:before="0" w:after="283"/>
              <w:jc w:val="left"/>
              <w:rPr>
                <w:b/>
                <w:i/>
              </w:rPr>
            </w:pPr>
            <w:r>
              <w:rPr>
                <w:b/>
                <w:i/>
              </w:rPr>
              <w:t>Initial Technology Transfer Plan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2.4(a)</w:t>
            </w:r>
          </w:p>
        </w:tc>
      </w:tr>
      <w:tr>
        <w:trPr/>
        <w:tc>
          <w:tcPr>
            <w:tcW w:w="5259" w:type="dxa"/>
            <w:tcBorders/>
          </w:tcPr>
          <w:p>
            <w:pPr>
              <w:pStyle w:val="TableContents"/>
              <w:bidi w:val="0"/>
              <w:spacing w:before="0" w:after="283"/>
              <w:jc w:val="left"/>
              <w:rPr>
                <w:b/>
                <w:i/>
              </w:rPr>
            </w:pPr>
            <w:r>
              <w:rPr>
                <w:b/>
                <w:i/>
              </w:rPr>
              <w:t>Insolvency Event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12.2(c)</w:t>
            </w:r>
          </w:p>
        </w:tc>
      </w:tr>
      <w:tr>
        <w:trPr/>
        <w:tc>
          <w:tcPr>
            <w:tcW w:w="5259" w:type="dxa"/>
            <w:tcBorders/>
          </w:tcPr>
          <w:p>
            <w:pPr>
              <w:pStyle w:val="TableContents"/>
              <w:bidi w:val="0"/>
              <w:spacing w:before="0" w:after="283"/>
              <w:jc w:val="left"/>
              <w:rPr>
                <w:b/>
                <w:i/>
              </w:rPr>
            </w:pPr>
            <w:r>
              <w:rPr>
                <w:b/>
                <w:i/>
              </w:rPr>
              <w:t>JSC</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3.1(a)</w:t>
            </w:r>
          </w:p>
        </w:tc>
      </w:tr>
      <w:tr>
        <w:trPr/>
        <w:tc>
          <w:tcPr>
            <w:tcW w:w="5259" w:type="dxa"/>
            <w:tcBorders/>
          </w:tcPr>
          <w:p>
            <w:pPr>
              <w:pStyle w:val="TableContents"/>
              <w:bidi w:val="0"/>
              <w:spacing w:before="0" w:after="283"/>
              <w:jc w:val="left"/>
              <w:rPr>
                <w:b/>
                <w:i/>
              </w:rPr>
            </w:pPr>
            <w:r>
              <w:rPr>
                <w:b/>
                <w:i/>
              </w:rPr>
              <w:t>Lead Licensed Therapeutic</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1.60</w:t>
            </w:r>
          </w:p>
        </w:tc>
      </w:tr>
      <w:tr>
        <w:trPr/>
        <w:tc>
          <w:tcPr>
            <w:tcW w:w="5259" w:type="dxa"/>
            <w:tcBorders/>
          </w:tcPr>
          <w:p>
            <w:pPr>
              <w:pStyle w:val="TableContents"/>
              <w:bidi w:val="0"/>
              <w:spacing w:before="0" w:after="283"/>
              <w:jc w:val="left"/>
              <w:rPr>
                <w:b/>
                <w:i/>
              </w:rPr>
            </w:pPr>
            <w:r>
              <w:rPr>
                <w:b/>
                <w:i/>
              </w:rPr>
              <w:t>Licensor Indemnitees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10.1</w:t>
            </w:r>
          </w:p>
        </w:tc>
      </w:tr>
      <w:tr>
        <w:trPr/>
        <w:tc>
          <w:tcPr>
            <w:tcW w:w="5259" w:type="dxa"/>
            <w:tcBorders/>
          </w:tcPr>
          <w:p>
            <w:pPr>
              <w:pStyle w:val="TableContents"/>
              <w:bidi w:val="0"/>
              <w:spacing w:before="0" w:after="283"/>
              <w:jc w:val="left"/>
              <w:rPr>
                <w:b/>
                <w:i/>
              </w:rPr>
            </w:pPr>
            <w:r>
              <w:rPr>
                <w:b/>
                <w:i/>
              </w:rPr>
              <w:t>Losses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10.1</w:t>
            </w:r>
          </w:p>
        </w:tc>
      </w:tr>
      <w:tr>
        <w:trPr/>
        <w:tc>
          <w:tcPr>
            <w:tcW w:w="5259" w:type="dxa"/>
            <w:tcBorders/>
          </w:tcPr>
          <w:p>
            <w:pPr>
              <w:pStyle w:val="TableContents"/>
              <w:bidi w:val="0"/>
              <w:spacing w:before="0" w:after="283"/>
              <w:jc w:val="left"/>
              <w:rPr>
                <w:b/>
                <w:i/>
              </w:rPr>
            </w:pPr>
            <w:r>
              <w:rPr>
                <w:b/>
                <w:i/>
              </w:rPr>
              <w:t>Manufacturing Technology Transfer</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5.4</w:t>
            </w:r>
          </w:p>
        </w:tc>
      </w:tr>
      <w:tr>
        <w:trPr/>
        <w:tc>
          <w:tcPr>
            <w:tcW w:w="5259" w:type="dxa"/>
            <w:tcBorders/>
          </w:tcPr>
          <w:p>
            <w:pPr>
              <w:pStyle w:val="TableContents"/>
              <w:bidi w:val="0"/>
              <w:spacing w:before="0" w:after="283"/>
              <w:jc w:val="left"/>
              <w:rPr>
                <w:b/>
                <w:i/>
              </w:rPr>
            </w:pPr>
            <w:r>
              <w:rPr>
                <w:b/>
                <w:i/>
              </w:rPr>
              <w:t>Manufacturing Technology Transfer Plan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5.4</w:t>
            </w:r>
          </w:p>
        </w:tc>
      </w:tr>
      <w:tr>
        <w:trPr/>
        <w:tc>
          <w:tcPr>
            <w:tcW w:w="5259" w:type="dxa"/>
            <w:tcBorders/>
          </w:tcPr>
          <w:p>
            <w:pPr>
              <w:pStyle w:val="TableContents"/>
              <w:bidi w:val="0"/>
              <w:spacing w:before="0" w:after="283"/>
              <w:jc w:val="left"/>
              <w:rPr>
                <w:b/>
                <w:i/>
              </w:rPr>
            </w:pPr>
            <w:r>
              <w:rPr>
                <w:b/>
                <w:i/>
              </w:rPr>
              <w:t>New License Agreement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12.3(b)</w:t>
            </w:r>
          </w:p>
        </w:tc>
      </w:tr>
      <w:tr>
        <w:trPr/>
        <w:tc>
          <w:tcPr>
            <w:tcW w:w="5259" w:type="dxa"/>
            <w:tcBorders/>
          </w:tcPr>
          <w:p>
            <w:pPr>
              <w:pStyle w:val="TableContents"/>
              <w:bidi w:val="0"/>
              <w:spacing w:before="0" w:after="283"/>
              <w:jc w:val="left"/>
              <w:rPr>
                <w:b/>
                <w:i/>
              </w:rPr>
            </w:pPr>
            <w:r>
              <w:rPr>
                <w:b/>
                <w:i/>
              </w:rPr>
              <w:t>Non-Defaulting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12.2(b)(ii)</w:t>
            </w:r>
          </w:p>
        </w:tc>
      </w:tr>
      <w:tr>
        <w:trPr/>
        <w:tc>
          <w:tcPr>
            <w:tcW w:w="5259" w:type="dxa"/>
            <w:tcBorders/>
          </w:tcPr>
          <w:p>
            <w:pPr>
              <w:pStyle w:val="TableContents"/>
              <w:bidi w:val="0"/>
              <w:spacing w:before="0" w:after="283"/>
              <w:jc w:val="left"/>
              <w:rPr>
                <w:b/>
                <w:i/>
              </w:rPr>
            </w:pPr>
            <w:r>
              <w:rPr>
                <w:b/>
                <w:i/>
              </w:rPr>
              <w:t>Other Component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1.64</w:t>
            </w:r>
          </w:p>
        </w:tc>
      </w:tr>
      <w:tr>
        <w:trPr/>
        <w:tc>
          <w:tcPr>
            <w:tcW w:w="5259" w:type="dxa"/>
            <w:tcBorders/>
          </w:tcPr>
          <w:p>
            <w:pPr>
              <w:pStyle w:val="TableContents"/>
              <w:bidi w:val="0"/>
              <w:spacing w:before="0" w:after="283"/>
              <w:jc w:val="left"/>
              <w:rPr>
                <w:b/>
                <w:i/>
              </w:rPr>
            </w:pPr>
            <w:r>
              <w:rPr>
                <w:b/>
                <w:i/>
              </w:rPr>
              <w:t>Other Program</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2.7(b)</w:t>
            </w:r>
          </w:p>
        </w:tc>
      </w:tr>
      <w:tr>
        <w:trPr/>
        <w:tc>
          <w:tcPr>
            <w:tcW w:w="5259" w:type="dxa"/>
            <w:tcBorders/>
          </w:tcPr>
          <w:p>
            <w:pPr>
              <w:pStyle w:val="TableContents"/>
              <w:bidi w:val="0"/>
              <w:spacing w:before="0" w:after="283"/>
              <w:jc w:val="left"/>
              <w:rPr>
                <w:b/>
                <w:i/>
              </w:rPr>
            </w:pPr>
            <w:r>
              <w:rPr>
                <w:b/>
                <w:i/>
              </w:rPr>
              <w:t>Other Recipients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8.4(d)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4"/>
        <w:gridCol w:w="120"/>
        <w:gridCol w:w="4791"/>
      </w:tblGrid>
      <w:tr>
        <w:trPr/>
        <w:tc>
          <w:tcPr>
            <w:tcW w:w="52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91" w:type="dxa"/>
            <w:tcBorders/>
            <w:vAlign w:val="center"/>
          </w:tcPr>
          <w:p>
            <w:pPr>
              <w:pStyle w:val="TableContents"/>
              <w:bidi w:val="0"/>
              <w:spacing w:before="0" w:after="283"/>
              <w:jc w:val="left"/>
              <w:rPr>
                <w:sz w:val="4"/>
                <w:szCs w:val="4"/>
              </w:rPr>
            </w:pPr>
            <w:r>
              <w:rPr>
                <w:sz w:val="4"/>
                <w:szCs w:val="4"/>
              </w:rPr>
            </w:r>
          </w:p>
        </w:tc>
      </w:tr>
      <w:tr>
        <w:trPr/>
        <w:tc>
          <w:tcPr>
            <w:tcW w:w="52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94" w:type="dxa"/>
            <w:tcBorders/>
          </w:tcPr>
          <w:p>
            <w:pPr>
              <w:pStyle w:val="TableContents"/>
              <w:bidi w:val="0"/>
              <w:spacing w:before="0" w:after="283"/>
              <w:jc w:val="left"/>
              <w:rPr>
                <w:b/>
                <w:i/>
              </w:rPr>
            </w:pPr>
            <w:r>
              <w:rPr>
                <w:b/>
                <w:i/>
              </w:rPr>
              <w:t>Patent Challenge</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12.2(d)</w:t>
            </w:r>
          </w:p>
        </w:tc>
      </w:tr>
      <w:tr>
        <w:trPr/>
        <w:tc>
          <w:tcPr>
            <w:tcW w:w="5294" w:type="dxa"/>
            <w:tcBorders/>
          </w:tcPr>
          <w:p>
            <w:pPr>
              <w:pStyle w:val="TableContents"/>
              <w:bidi w:val="0"/>
              <w:spacing w:before="0" w:after="283"/>
              <w:jc w:val="left"/>
              <w:rPr>
                <w:b/>
                <w:i/>
              </w:rPr>
            </w:pPr>
            <w:r>
              <w:rPr>
                <w:b/>
                <w:i/>
              </w:rPr>
              <w:t>PHSA</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1.6</w:t>
            </w:r>
          </w:p>
        </w:tc>
      </w:tr>
      <w:tr>
        <w:trPr/>
        <w:tc>
          <w:tcPr>
            <w:tcW w:w="5294" w:type="dxa"/>
            <w:tcBorders/>
          </w:tcPr>
          <w:p>
            <w:pPr>
              <w:pStyle w:val="TableContents"/>
              <w:bidi w:val="0"/>
              <w:spacing w:before="0" w:after="283"/>
              <w:jc w:val="left"/>
              <w:rPr>
                <w:b/>
                <w:i/>
              </w:rPr>
            </w:pPr>
            <w:r>
              <w:rPr>
                <w:b/>
                <w:i/>
              </w:rPr>
              <w:t>Product Infringement</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11.3(a)</w:t>
            </w:r>
          </w:p>
        </w:tc>
      </w:tr>
      <w:tr>
        <w:trPr/>
        <w:tc>
          <w:tcPr>
            <w:tcW w:w="5294" w:type="dxa"/>
            <w:tcBorders/>
          </w:tcPr>
          <w:p>
            <w:pPr>
              <w:pStyle w:val="TableContents"/>
              <w:bidi w:val="0"/>
              <w:spacing w:before="0" w:after="283"/>
              <w:jc w:val="left"/>
              <w:rPr>
                <w:b/>
                <w:i/>
              </w:rPr>
            </w:pPr>
            <w:r>
              <w:rPr>
                <w:b/>
                <w:i/>
              </w:rPr>
              <w:t>Product-Specific Licensed Patents</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11.2(a)(i)</w:t>
            </w:r>
          </w:p>
        </w:tc>
      </w:tr>
      <w:tr>
        <w:trPr/>
        <w:tc>
          <w:tcPr>
            <w:tcW w:w="5294" w:type="dxa"/>
            <w:tcBorders/>
          </w:tcPr>
          <w:p>
            <w:pPr>
              <w:pStyle w:val="TableContents"/>
              <w:bidi w:val="0"/>
              <w:spacing w:before="0" w:after="283"/>
              <w:jc w:val="left"/>
              <w:rPr>
                <w:b/>
                <w:i/>
              </w:rPr>
            </w:pPr>
            <w:r>
              <w:rPr>
                <w:b/>
                <w:i/>
              </w:rPr>
              <w:t>Proposed Publication</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8.7</w:t>
            </w:r>
          </w:p>
        </w:tc>
      </w:tr>
      <w:tr>
        <w:trPr/>
        <w:tc>
          <w:tcPr>
            <w:tcW w:w="5294" w:type="dxa"/>
            <w:tcBorders/>
          </w:tcPr>
          <w:p>
            <w:pPr>
              <w:pStyle w:val="TableContents"/>
              <w:bidi w:val="0"/>
              <w:spacing w:before="0" w:after="283"/>
              <w:jc w:val="left"/>
              <w:rPr>
                <w:b/>
                <w:i/>
              </w:rPr>
            </w:pPr>
            <w:r>
              <w:rPr>
                <w:b/>
                <w:i/>
              </w:rPr>
              <w:t>Receiving Party</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8.1</w:t>
            </w:r>
          </w:p>
        </w:tc>
      </w:tr>
      <w:tr>
        <w:trPr/>
        <w:tc>
          <w:tcPr>
            <w:tcW w:w="5294" w:type="dxa"/>
            <w:tcBorders/>
          </w:tcPr>
          <w:p>
            <w:pPr>
              <w:pStyle w:val="TableContents"/>
              <w:bidi w:val="0"/>
              <w:spacing w:before="0" w:after="283"/>
              <w:jc w:val="left"/>
              <w:rPr>
                <w:b/>
                <w:i/>
              </w:rPr>
            </w:pPr>
            <w:r>
              <w:rPr>
                <w:b/>
                <w:i/>
              </w:rPr>
              <w:t>Royalty Floor</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7.8</w:t>
            </w:r>
          </w:p>
        </w:tc>
      </w:tr>
      <w:tr>
        <w:trPr/>
        <w:tc>
          <w:tcPr>
            <w:tcW w:w="5294" w:type="dxa"/>
            <w:tcBorders/>
          </w:tcPr>
          <w:p>
            <w:pPr>
              <w:pStyle w:val="TableContents"/>
              <w:bidi w:val="0"/>
              <w:spacing w:before="0" w:after="283"/>
              <w:jc w:val="left"/>
              <w:rPr>
                <w:b/>
                <w:i/>
              </w:rPr>
            </w:pPr>
            <w:r>
              <w:rPr>
                <w:b/>
                <w:i/>
              </w:rPr>
              <w:t>Sales Milestone Event</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7.4</w:t>
            </w:r>
          </w:p>
        </w:tc>
      </w:tr>
      <w:tr>
        <w:trPr/>
        <w:tc>
          <w:tcPr>
            <w:tcW w:w="5294" w:type="dxa"/>
            <w:tcBorders/>
          </w:tcPr>
          <w:p>
            <w:pPr>
              <w:pStyle w:val="TableContents"/>
              <w:bidi w:val="0"/>
              <w:spacing w:before="0" w:after="283"/>
              <w:jc w:val="left"/>
              <w:rPr>
                <w:b/>
                <w:i/>
              </w:rPr>
            </w:pPr>
            <w:r>
              <w:rPr>
                <w:b/>
                <w:i/>
              </w:rPr>
              <w:t>Sales Milestone Payment</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7.4</w:t>
            </w:r>
          </w:p>
        </w:tc>
      </w:tr>
      <w:tr>
        <w:trPr/>
        <w:tc>
          <w:tcPr>
            <w:tcW w:w="5294" w:type="dxa"/>
            <w:tcBorders/>
          </w:tcPr>
          <w:p>
            <w:pPr>
              <w:pStyle w:val="TableContents"/>
              <w:bidi w:val="0"/>
              <w:spacing w:before="0" w:after="283"/>
              <w:jc w:val="left"/>
              <w:rPr>
                <w:b/>
                <w:i/>
              </w:rPr>
            </w:pPr>
            <w:r>
              <w:rPr>
                <w:b/>
                <w:i/>
              </w:rPr>
              <w:t>Selling Party</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1.64</w:t>
            </w:r>
          </w:p>
        </w:tc>
      </w:tr>
      <w:tr>
        <w:trPr/>
        <w:tc>
          <w:tcPr>
            <w:tcW w:w="5294" w:type="dxa"/>
            <w:tcBorders/>
          </w:tcPr>
          <w:p>
            <w:pPr>
              <w:pStyle w:val="TableContents"/>
              <w:bidi w:val="0"/>
              <w:spacing w:before="0" w:after="283"/>
              <w:jc w:val="left"/>
              <w:rPr>
                <w:b/>
                <w:i/>
              </w:rPr>
            </w:pPr>
            <w:r>
              <w:rPr>
                <w:b/>
                <w:i/>
              </w:rPr>
              <w:t>Subcontractor</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2.3</w:t>
            </w:r>
          </w:p>
        </w:tc>
      </w:tr>
      <w:tr>
        <w:trPr/>
        <w:tc>
          <w:tcPr>
            <w:tcW w:w="5294" w:type="dxa"/>
            <w:tcBorders/>
          </w:tcPr>
          <w:p>
            <w:pPr>
              <w:pStyle w:val="TableContents"/>
              <w:bidi w:val="0"/>
              <w:spacing w:before="0" w:after="283"/>
              <w:jc w:val="left"/>
              <w:rPr>
                <w:b/>
                <w:i/>
              </w:rPr>
            </w:pPr>
            <w:r>
              <w:rPr>
                <w:b/>
                <w:i/>
              </w:rPr>
              <w:t>Supply Wind-Down Period</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5.4</w:t>
            </w:r>
          </w:p>
        </w:tc>
      </w:tr>
      <w:tr>
        <w:trPr/>
        <w:tc>
          <w:tcPr>
            <w:tcW w:w="5294" w:type="dxa"/>
            <w:tcBorders/>
          </w:tcPr>
          <w:p>
            <w:pPr>
              <w:pStyle w:val="TableContents"/>
              <w:bidi w:val="0"/>
              <w:spacing w:before="0" w:after="283"/>
              <w:jc w:val="left"/>
              <w:rPr>
                <w:b/>
                <w:i/>
              </w:rPr>
            </w:pPr>
            <w:r>
              <w:rPr>
                <w:b/>
                <w:i/>
              </w:rPr>
              <w:t>Term</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12.1</w:t>
            </w:r>
          </w:p>
        </w:tc>
      </w:tr>
      <w:tr>
        <w:trPr/>
        <w:tc>
          <w:tcPr>
            <w:tcW w:w="5294" w:type="dxa"/>
            <w:tcBorders/>
          </w:tcPr>
          <w:p>
            <w:pPr>
              <w:pStyle w:val="TableContents"/>
              <w:bidi w:val="0"/>
              <w:spacing w:before="0" w:after="283"/>
              <w:jc w:val="left"/>
              <w:rPr>
                <w:b/>
                <w:i/>
              </w:rPr>
            </w:pPr>
            <w:r>
              <w:rPr>
                <w:b/>
                <w:i/>
              </w:rPr>
              <w:t>Third Party Acquisition</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2.7(b)</w:t>
            </w:r>
          </w:p>
        </w:tc>
      </w:tr>
      <w:tr>
        <w:trPr/>
        <w:tc>
          <w:tcPr>
            <w:tcW w:w="5294" w:type="dxa"/>
            <w:tcBorders/>
          </w:tcPr>
          <w:p>
            <w:pPr>
              <w:pStyle w:val="TableContents"/>
              <w:bidi w:val="0"/>
              <w:spacing w:before="0" w:after="283"/>
              <w:jc w:val="left"/>
              <w:rPr>
                <w:b/>
                <w:i/>
              </w:rPr>
            </w:pPr>
            <w:r>
              <w:rPr>
                <w:b/>
                <w:i/>
              </w:rPr>
              <w:t>Third Party Claims</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10.1</w:t>
            </w:r>
          </w:p>
        </w:tc>
      </w:tr>
      <w:tr>
        <w:trPr/>
        <w:tc>
          <w:tcPr>
            <w:tcW w:w="5294" w:type="dxa"/>
            <w:tcBorders/>
          </w:tcPr>
          <w:p>
            <w:pPr>
              <w:pStyle w:val="TableContents"/>
              <w:bidi w:val="0"/>
              <w:spacing w:before="0" w:after="283"/>
              <w:jc w:val="left"/>
              <w:rPr>
                <w:b/>
                <w:i/>
              </w:rPr>
            </w:pPr>
            <w:r>
              <w:rPr>
                <w:b/>
                <w:i/>
              </w:rPr>
              <w:t>Third Party Obligation</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7.7(b)</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LICENSE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License Grants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Exclusive License Grant to Company</w:t>
      </w:r>
      <w:r>
        <w:rPr>
          <w:rFonts w:ascii="Times New Roman" w:hAnsi="Times New Roman"/>
          <w:sz w:val="20"/>
        </w:rPr>
        <w:t xml:space="preserve">. Subject to the terms and conditions of this Agreement, Licensor hereby grants to Company an exclusive (even as to Licensor and its Affiliates), royalty-bearing, non-transferable (except in accordance with </w:t>
      </w:r>
      <w:r>
        <w:rPr>
          <w:rFonts w:ascii="Times New Roman" w:hAnsi="Times New Roman"/>
          <w:sz w:val="20"/>
          <w:u w:val="single"/>
        </w:rPr>
        <w:t>Section 13.3</w:t>
      </w:r>
      <w:r>
        <w:rPr>
          <w:rFonts w:ascii="Times New Roman" w:hAnsi="Times New Roman"/>
          <w:sz w:val="20"/>
        </w:rPr>
        <w:t xml:space="preserve">) license, with the right to grant sublicenses through multiple tiers (subject to </w:t>
      </w:r>
      <w:r>
        <w:rPr>
          <w:rFonts w:ascii="Times New Roman" w:hAnsi="Times New Roman"/>
          <w:sz w:val="20"/>
          <w:u w:val="single"/>
        </w:rPr>
        <w:t>Section 2.2</w:t>
      </w:r>
      <w:r>
        <w:rPr>
          <w:rFonts w:ascii="Times New Roman" w:hAnsi="Times New Roman"/>
          <w:sz w:val="20"/>
        </w:rPr>
        <w:t xml:space="preserve">), under the Licensed Technology and Licensor’s right and interest in any Joint Foreground Know-How and Joint Foreground Patents, to Develop, Manufacture, Commercialize, and otherwise Exploit any Licensed Therapeutics and Licensed Products in the Field in the Licensed Territory. Notwithstanding the foregoing, (A) Licensor retains the right (on behalf of itself, its Affiliates and its licensees, other than Company) under the Licensed Technology, with the right to grant licenses and sublicenses through multiple tiers, solely to Manufacture and have Manufactured the Licensed Therapeutics and Licensed Products anywhere in the world for obtaining Regulatory Approval of Licensed Products in any indications in the Retained Territory and Commercializing Licensed Products in any indications in the Retained Territory, and (B) for the avoidance of doubt, the license granted to Company under this </w:t>
      </w:r>
      <w:r>
        <w:rPr>
          <w:rFonts w:ascii="Times New Roman" w:hAnsi="Times New Roman"/>
          <w:sz w:val="20"/>
          <w:u w:val="single"/>
        </w:rPr>
        <w:t>Section 2.1(a)</w:t>
      </w:r>
      <w:r>
        <w:rPr>
          <w:rFonts w:ascii="Times New Roman" w:hAnsi="Times New Roman"/>
          <w:sz w:val="20"/>
        </w:rPr>
        <w:t xml:space="preserve"> does not grant Company any right of access to, or license under, any Licensor Platform.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Non-Exclusive License Grant to Company</w:t>
      </w:r>
      <w:r>
        <w:rPr>
          <w:rFonts w:ascii="Times New Roman" w:hAnsi="Times New Roman"/>
          <w:sz w:val="20"/>
        </w:rPr>
        <w:t xml:space="preserve">. Subject to the terms and conditions of this Agreement, Licensor grants to Company a non-exclusive, royalty-free, non-transferable (except in accordance with </w:t>
      </w:r>
      <w:r>
        <w:rPr>
          <w:rFonts w:ascii="Times New Roman" w:hAnsi="Times New Roman"/>
          <w:sz w:val="20"/>
          <w:u w:val="single"/>
        </w:rPr>
        <w:t>Section 13.3</w:t>
      </w:r>
      <w:r>
        <w:rPr>
          <w:rFonts w:ascii="Times New Roman" w:hAnsi="Times New Roman"/>
          <w:sz w:val="20"/>
        </w:rPr>
        <w:t xml:space="preserve">) license, with the right to grant sublicenses through multiple tiers (subject to </w:t>
      </w:r>
      <w:r>
        <w:rPr>
          <w:rFonts w:ascii="Times New Roman" w:hAnsi="Times New Roman"/>
          <w:sz w:val="20"/>
          <w:u w:val="single"/>
        </w:rPr>
        <w:t>Section 2.2</w:t>
      </w:r>
      <w:r>
        <w:rPr>
          <w:rFonts w:ascii="Times New Roman" w:hAnsi="Times New Roman"/>
          <w:sz w:val="20"/>
        </w:rPr>
        <w:t xml:space="preserve">), under the Licensed Technology and Licensor’s right and interest in any Joint Foreground Know-How and Joint Foreground Patents, to Manufacture any Licensed Therapeutics and Licensed Products in the Field in the Retained Territory, solely for the purpose of Exploiting the Licensed Therapeutic and Licensed Products in the Field in the Licensed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Sublicenses to Third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rest of this </w:t>
      </w:r>
      <w:r>
        <w:rPr>
          <w:rFonts w:ascii="Times New Roman" w:hAnsi="Times New Roman"/>
          <w:sz w:val="20"/>
          <w:u w:val="single"/>
        </w:rPr>
        <w:t>Section 2.2,</w:t>
      </w:r>
      <w:r>
        <w:rPr>
          <w:rFonts w:ascii="Times New Roman" w:hAnsi="Times New Roman"/>
          <w:sz w:val="20"/>
        </w:rPr>
        <w:t xml:space="preserve"> Company shall have the right to grant sublicenses of the licenses granted under </w:t>
      </w:r>
      <w:r>
        <w:rPr>
          <w:rFonts w:ascii="Times New Roman" w:hAnsi="Times New Roman"/>
          <w:sz w:val="20"/>
          <w:u w:val="single"/>
        </w:rPr>
        <w:t>Section 2.1</w:t>
      </w:r>
      <w:r>
        <w:rPr>
          <w:rFonts w:ascii="Times New Roman" w:hAnsi="Times New Roman"/>
          <w:sz w:val="20"/>
        </w:rPr>
        <w:t xml:space="preserve"> to Sublicensees, through multiple tiers, without the prior consent of Licensor. </w:t>
      </w:r>
    </w:p>
    <w:p>
      <w:pPr>
        <w:pStyle w:val="TextBody"/>
        <w:bidi w:val="0"/>
        <w:spacing w:before="240" w:after="0"/>
        <w:jc w:val="left"/>
        <w:rPr>
          <w:rFonts w:ascii="Times New Roman" w:hAnsi="Times New Roman"/>
          <w:sz w:val="20"/>
        </w:rPr>
      </w:pPr>
      <w:r>
        <w:rPr>
          <w:rFonts w:ascii="Times New Roman" w:hAnsi="Times New Roman"/>
          <w:sz w:val="20"/>
        </w:rPr>
        <w:t xml:space="preserve">(b) Each sublicense granted pursuant to this </w:t>
      </w:r>
      <w:r>
        <w:rPr>
          <w:rFonts w:ascii="Times New Roman" w:hAnsi="Times New Roman"/>
          <w:sz w:val="20"/>
          <w:u w:val="single"/>
        </w:rPr>
        <w:t>Section 2.2</w:t>
      </w:r>
      <w:r>
        <w:rPr>
          <w:rFonts w:ascii="Times New Roman" w:hAnsi="Times New Roman"/>
          <w:sz w:val="20"/>
        </w:rPr>
        <w:t xml:space="preserve"> shall be subject to a written agreement that is consistent with the terms and conditions of this Agreement, including (i) confidentiality and non-use provisions at least as restrictive or protective of the Parties as those set forth in this Agreement (but may be for shorter duration, if customary) and (ii) appropriate intellectual property assignment and license provisions to give effect of the intellectual property ownership and license provisions in this Agreement. Notwithstanding any such sublicense, Company will remain directly responsible for all of its obligations under this Agreement. Notwithstanding the foregoing, Company shall not be deemed to be in breach of this Agreement if such breach is caused by a Sublicensee, and Company (A) continues to use [***] to cause the Sublicensee to cure such breach in accordance with the applicable sublicense Agreement, and (B) if such breach is not cured within the applicable cure period set forth herein, terminates the applicable sublicense agreement with the Sublicensee and uses [***] to pursue remedies from such Sublicensee for such breach. Company shall provide Licensor with a copy of each executed sublicense agreement with any Sublicensee within [***] after the execution thereof; </w:t>
      </w:r>
      <w:r>
        <w:rPr>
          <w:rFonts w:ascii="Times New Roman" w:hAnsi="Times New Roman"/>
          <w:sz w:val="20"/>
          <w:u w:val="single"/>
        </w:rPr>
        <w:t>provided</w:t>
      </w:r>
      <w:r>
        <w:rPr>
          <w:rFonts w:ascii="Times New Roman" w:hAnsi="Times New Roman"/>
          <w:sz w:val="20"/>
        </w:rPr>
        <w:t xml:space="preserve"> that, Company may redact any terms of any such sublicense agreement not necessary for Licensor to verify that Company or such sublicense agreement complies with the requirements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Right to Subcontract</w:t>
      </w:r>
      <w:r>
        <w:rPr>
          <w:rFonts w:ascii="Times New Roman" w:hAnsi="Times New Roman"/>
          <w:sz w:val="20"/>
        </w:rPr>
        <w:t>. Company shall have the right to engage CROs, CMOs, distributors and other Third Parties to perform its activities under this Agreement (each, a “</w:t>
      </w:r>
      <w:r>
        <w:rPr>
          <w:rFonts w:ascii="Times New Roman" w:hAnsi="Times New Roman"/>
          <w:b/>
          <w:i/>
          <w:sz w:val="20"/>
        </w:rPr>
        <w:t>Subcontractor</w:t>
      </w:r>
      <w:r>
        <w:rPr>
          <w:rFonts w:ascii="Times New Roman" w:hAnsi="Times New Roman"/>
          <w:sz w:val="20"/>
        </w:rPr>
        <w:t xml:space="preserve">”), and to grant sublicenses of the licenses granted under </w:t>
      </w:r>
      <w:r>
        <w:rPr>
          <w:rFonts w:ascii="Times New Roman" w:hAnsi="Times New Roman"/>
          <w:sz w:val="20"/>
          <w:u w:val="single"/>
        </w:rPr>
        <w:t>Section 2.1</w:t>
      </w:r>
      <w:r>
        <w:rPr>
          <w:rFonts w:ascii="Times New Roman" w:hAnsi="Times New Roman"/>
          <w:sz w:val="20"/>
        </w:rPr>
        <w:t xml:space="preserve"> to any such Subcontractor, </w:t>
      </w:r>
      <w:r>
        <w:rPr>
          <w:rFonts w:ascii="Times New Roman" w:hAnsi="Times New Roman"/>
          <w:sz w:val="20"/>
          <w:u w:val="single"/>
        </w:rPr>
        <w:t>provided</w:t>
      </w:r>
      <w:r>
        <w:rPr>
          <w:rFonts w:ascii="Times New Roman" w:hAnsi="Times New Roman"/>
          <w:sz w:val="20"/>
        </w:rPr>
        <w:t xml:space="preserve"> that (i) Company shall cause its Subcontractors to be bound by written obligations of confidentiality and non-use at least as restrictive as those set forth in this Agreement, and (ii) Company shall remain directly responsible for any obligations that have been subcontracted to a Subcontractor.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Disclosure of the Licensed Technology and Transfer of Licensed Know-How.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Within [***] after the Effective Date, the Parties shall agree on an initial technology transfer plan which shall set forth each Party’s respective responsibilities and the timelines for the transfer to Company of all Regulatory Documents and Licensed Know-How existing as of the Effective Date (the “</w:t>
      </w:r>
      <w:r>
        <w:rPr>
          <w:rFonts w:ascii="Times New Roman" w:hAnsi="Times New Roman"/>
          <w:b/>
          <w:i/>
          <w:sz w:val="20"/>
        </w:rPr>
        <w:t>Initial Technology Transfer Plan</w:t>
      </w:r>
      <w:r>
        <w:rPr>
          <w:rFonts w:ascii="Times New Roman" w:hAnsi="Times New Roman"/>
          <w:sz w:val="20"/>
        </w:rPr>
        <w:t xml:space="preserve">”). The Initial Technology Transfer Plan shall serve as the governing framework for the orderly and efficient transfer of such Regulatory Documents and Licensed Know-How from Licensor to Company and may be amended by [***]. The Initial Technology Transfer Plan shall include a complete list of all Regulatory Documents and all Licensed Know-How existing as of the Effective Date, which Licensor shall, [***], transfer to Company in their original language via electronic records. Upon [***], Licensor shall use [***] to provide all additional technical and regulatory assistance [***] to enable Company to file an IND in the Licensed Territory or to effect the transfer or assignment of Licensor’s Existing IND to Company, in each case subject to Company’s reimbursement of [***] and [***] incurred by Licensor in providing such assistance. </w:t>
      </w:r>
    </w:p>
    <w:p>
      <w:pPr>
        <w:pStyle w:val="TextBody"/>
        <w:bidi w:val="0"/>
        <w:spacing w:before="240" w:after="0"/>
        <w:jc w:val="left"/>
        <w:rPr>
          <w:rFonts w:ascii="Times New Roman" w:hAnsi="Times New Roman"/>
          <w:sz w:val="20"/>
        </w:rPr>
      </w:pPr>
      <w:r>
        <w:rPr>
          <w:rFonts w:ascii="Times New Roman" w:hAnsi="Times New Roman"/>
          <w:sz w:val="20"/>
        </w:rPr>
        <w:t xml:space="preserve">(b) Following completion of the initial technology transfer described in </w:t>
      </w:r>
      <w:r>
        <w:rPr>
          <w:rFonts w:ascii="Times New Roman" w:hAnsi="Times New Roman"/>
          <w:sz w:val="20"/>
          <w:u w:val="single"/>
        </w:rPr>
        <w:t>Section 2.4(a)</w:t>
      </w:r>
      <w:r>
        <w:rPr>
          <w:rFonts w:ascii="Times New Roman" w:hAnsi="Times New Roman"/>
          <w:sz w:val="20"/>
        </w:rPr>
        <w:t xml:space="preserve"> and on a [***]-basis, each Party shall, without additional costs to the other Party, provide updates to such other Party regarding any Licensed Know-How, if such Party is Licensor, or Company IP, if such Party is Company (in each case, including Regulatory Documents and Data) that comes into the Control or possession of such Party or any of its Affiliates during the Term, and, upon such other Party’s request, [***] transfer to such other Party, in such format as such other Party may [***] request, true, accurate and complete copies of all documentation or other embodiments of such Licensed Know-How or Company IP,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License Grants</w:t>
      </w:r>
      <w:r>
        <w:rPr>
          <w:rFonts w:ascii="Times New Roman" w:hAnsi="Times New Roman"/>
          <w:sz w:val="20"/>
        </w:rPr>
        <w:t xml:space="preserve"> </w:t>
      </w:r>
      <w:r>
        <w:rPr>
          <w:rFonts w:ascii="Times New Roman" w:hAnsi="Times New Roman"/>
          <w:b/>
          <w:sz w:val="20"/>
        </w:rPr>
        <w:t>to Licensor</w:t>
      </w:r>
      <w:r>
        <w:rPr>
          <w:rFonts w:ascii="Times New Roman" w:hAnsi="Times New Roman"/>
          <w:sz w:val="20"/>
        </w:rPr>
        <w:t xml:space="preserve">. Company hereby grants to Licensor a non-exclusive, fully paid-up, royalty-free, non-transferable (except in accordance with </w:t>
      </w:r>
      <w:r>
        <w:rPr>
          <w:rFonts w:ascii="Times New Roman" w:hAnsi="Times New Roman"/>
          <w:sz w:val="20"/>
          <w:u w:val="single"/>
        </w:rPr>
        <w:t>Section 13.3</w:t>
      </w:r>
      <w:r>
        <w:rPr>
          <w:rFonts w:ascii="Times New Roman" w:hAnsi="Times New Roman"/>
          <w:sz w:val="20"/>
        </w:rPr>
        <w:t xml:space="preserve">) license, with the right to grant sublicenses through multiple tiers (in accordance with </w:t>
      </w:r>
      <w:r>
        <w:rPr>
          <w:rFonts w:ascii="Times New Roman" w:hAnsi="Times New Roman"/>
          <w:sz w:val="20"/>
          <w:u w:val="single"/>
        </w:rPr>
        <w:t>Section 2.6</w:t>
      </w:r>
      <w:r>
        <w:rPr>
          <w:rFonts w:ascii="Times New Roman" w:hAnsi="Times New Roman"/>
          <w:sz w:val="20"/>
        </w:rPr>
        <w:t xml:space="preserve">), under the Company IP and Company’s right and interest in any Joint Foreground Know-How and Joint Foreground Patents, solely to (a) Develop and Commercialize the Licensed Therapeutic and Licensed Products in the Field in the Retained Territory and (b) Manufacture and have Manufactured the Licensed Therapeutics and Licensed Products anywhere in the world solely for obtaining Regulatory Approval of Licensed Products in any indications in the Retained Territory and Commercializing Licensed Products in any indications in the Retained Territory.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Sublicensing in Retained Territory</w:t>
      </w:r>
      <w:r>
        <w:rPr>
          <w:rFonts w:ascii="Times New Roman" w:hAnsi="Times New Roman"/>
          <w:sz w:val="20"/>
        </w:rPr>
        <w:t xml:space="preserve">. Licensor may grant sublicenses under the license granted by Company under </w:t>
      </w:r>
      <w:r>
        <w:rPr>
          <w:rFonts w:ascii="Times New Roman" w:hAnsi="Times New Roman"/>
          <w:sz w:val="20"/>
          <w:u w:val="single"/>
        </w:rPr>
        <w:t>Section 2.5</w:t>
      </w:r>
      <w:r>
        <w:rPr>
          <w:rFonts w:ascii="Times New Roman" w:hAnsi="Times New Roman"/>
          <w:sz w:val="20"/>
        </w:rPr>
        <w:t xml:space="preserve"> to a Third Party Licensee, in multiple tiers, </w:t>
      </w:r>
      <w:r>
        <w:rPr>
          <w:rFonts w:ascii="Times New Roman" w:hAnsi="Times New Roman"/>
          <w:sz w:val="20"/>
          <w:u w:val="single"/>
        </w:rPr>
        <w:t>provided</w:t>
      </w:r>
      <w:r>
        <w:rPr>
          <w:rFonts w:ascii="Times New Roman" w:hAnsi="Times New Roman"/>
          <w:sz w:val="20"/>
        </w:rPr>
        <w:t xml:space="preserve"> that each such sublicense shall be granted in writing and consistent with the terms and conditions of this Agreement, including (a) confidentiality and non-use provisions at least as restrictive or protective of the Parties as those set forth in this Agreement (but may be for shorter duration, if customary) and (b) appropriate intellectual property assignment and license provisions to give effect to the intellectual property ownership and license provisions in this Agreement, including allowing Licensor to retain Control of all Patent Rights or Know-How developed by any Third Party Licensee under this Agreement. Licensor shall be solely responsible for the activities and conduct of its Third Party Licensee and ensure its Third Party Licensee complies with the applicable terms of this Agreement.</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Non-Compete.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Term, each Party shall not, and shall ensure its Affiliates do not, independently or for or with any Third Party, including by grant of any rights to any Third Party, directly or indirectly, research, Develop or Commercialize any Competing Product.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2.7(a)</w:t>
      </w:r>
      <w:r>
        <w:rPr>
          <w:rFonts w:ascii="Times New Roman" w:hAnsi="Times New Roman"/>
          <w:sz w:val="20"/>
        </w:rPr>
        <w:t xml:space="preserve">, in the event that [***], such Party shall not be in breach of </w:t>
      </w:r>
      <w:r>
        <w:rPr>
          <w:rFonts w:ascii="Times New Roman" w:hAnsi="Times New Roman"/>
          <w:sz w:val="20"/>
          <w:u w:val="single"/>
        </w:rPr>
        <w:t>Section 2.7(a)</w:t>
      </w:r>
      <w:r>
        <w:rPr>
          <w:rFonts w:ascii="Times New Roman" w:hAnsi="Times New Roman"/>
          <w:sz w:val="20"/>
        </w:rPr>
        <w:t xml:space="preserve"> to the extent such Party, [***].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 the exclusivity obligations of such Party set forth in </w:t>
      </w:r>
      <w:r>
        <w:rPr>
          <w:rFonts w:ascii="Times New Roman" w:hAnsi="Times New Roman"/>
          <w:sz w:val="20"/>
          <w:u w:val="single"/>
        </w:rPr>
        <w:t>Section 2.7(a)</w:t>
      </w:r>
      <w:r>
        <w:rPr>
          <w:rFonts w:ascii="Times New Roman" w:hAnsi="Times New Roman"/>
          <w:sz w:val="20"/>
        </w:rPr>
        <w:t xml:space="preserve">, as applicable, shall not apply to [***].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w:t>
      </w:r>
      <w:r>
        <w:rPr>
          <w:rFonts w:ascii="Times New Roman" w:hAnsi="Times New Roman"/>
          <w:sz w:val="20"/>
          <w:u w:val="single"/>
        </w:rPr>
        <w:t>Section 2.7(b)</w:t>
      </w:r>
      <w:r>
        <w:rPr>
          <w:rFonts w:ascii="Times New Roman" w:hAnsi="Times New Roman"/>
          <w:sz w:val="20"/>
        </w:rPr>
        <w:t xml:space="preserve"> or </w:t>
      </w:r>
      <w:r>
        <w:rPr>
          <w:rFonts w:ascii="Times New Roman" w:hAnsi="Times New Roman"/>
          <w:sz w:val="20"/>
          <w:u w:val="single"/>
        </w:rPr>
        <w:t>2.7(c)</w:t>
      </w:r>
      <w:r>
        <w:rPr>
          <w:rFonts w:ascii="Times New Roman" w:hAnsi="Times New Roman"/>
          <w:sz w:val="20"/>
        </w:rPr>
        <w:t xml:space="preserve">, such Party and its Affiliates (including the applicable Acquiror) shall (i) adopt [***] procedures (which include [***]) to segregate and prevent the disclosure and use of any Confidential Information of either Party relating to the Licensed Therapeutics or Licensed Products or any Licensed Technology, Company IP or Foreground Know-How, in each case, in a manner that is not in compliance with </w:t>
      </w:r>
      <w:r>
        <w:rPr>
          <w:rFonts w:ascii="Times New Roman" w:hAnsi="Times New Roman"/>
          <w:sz w:val="20"/>
          <w:u w:val="single"/>
        </w:rPr>
        <w:t>Section 2.7(b)</w:t>
      </w:r>
      <w:r>
        <w:rPr>
          <w:rFonts w:ascii="Times New Roman" w:hAnsi="Times New Roman"/>
          <w:sz w:val="20"/>
        </w:rPr>
        <w:t xml:space="preserve"> or </w:t>
      </w:r>
      <w:r>
        <w:rPr>
          <w:rFonts w:ascii="Times New Roman" w:hAnsi="Times New Roman"/>
          <w:sz w:val="20"/>
          <w:u w:val="single"/>
        </w:rPr>
        <w:t>2.7(c)</w:t>
      </w:r>
      <w:r>
        <w:rPr>
          <w:rFonts w:ascii="Times New Roman" w:hAnsi="Times New Roman"/>
          <w:sz w:val="20"/>
        </w:rPr>
        <w:t xml:space="preserve">, (ii) ensure that no personnel who were employees or consultants of such Third Party at any time prior to or after such Third Party Acquisition or Change of Control, as applicable, conduct any activities under this Agreement, and (iii) create effective information barriers between the personnel working on such Other Program and the personnel working on the Licensed Therapeutic and the Licensed Product or having access to data from activities performed under this Agreement or Confidential Information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No Implied Licenses.</w:t>
      </w:r>
      <w:r>
        <w:rPr>
          <w:rFonts w:ascii="Times New Roman" w:hAnsi="Times New Roman"/>
          <w:sz w:val="20"/>
        </w:rPr>
        <w:t xml:space="preserve"> Except as expressly set forth herein, neither Party shall acquire any license or other intellectual property interest, by implication or otherwise, under any Patent Rights, Know-How, trademarks, or other intellectual property rights of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GOVERNANCE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Joint Steering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 after the Effective Date, the Parties shall establish a joint steering committee (the “</w:t>
      </w:r>
      <w:r>
        <w:rPr>
          <w:rFonts w:ascii="Times New Roman" w:hAnsi="Times New Roman"/>
          <w:b/>
          <w:sz w:val="20"/>
        </w:rPr>
        <w:t>JSC</w:t>
      </w:r>
      <w:r>
        <w:rPr>
          <w:rFonts w:ascii="Times New Roman" w:hAnsi="Times New Roman"/>
          <w:sz w:val="20"/>
        </w:rPr>
        <w:t xml:space="preserve">”), composed of [***] representatives of each Party. Each Party may replace its representatives on the JSC on [***] notice to the other Party, but each Party shall strive to maintain continuity in the representation of its JSC members. [***] shall appoint [***] of its representatives on the JSC to act as a chairperson of the JSC. The chairperson of the JSC shall be responsible for (i) calling JSC meetings on no less than [***] notice, unless exigent circumstances require shorter notice, and (ii) preparing and circulating minutes of each JSC meeting within [***] after the meeting for review and approval of the Parties, and shall have no additional right or authority at the JSC. </w:t>
      </w:r>
    </w:p>
    <w:p>
      <w:pPr>
        <w:pStyle w:val="TextBody"/>
        <w:bidi w:val="0"/>
        <w:spacing w:before="240" w:after="0"/>
        <w:jc w:val="left"/>
        <w:rPr>
          <w:rFonts w:ascii="Times New Roman" w:hAnsi="Times New Roman"/>
          <w:sz w:val="20"/>
        </w:rPr>
      </w:pPr>
      <w:r>
        <w:rPr>
          <w:rFonts w:ascii="Times New Roman" w:hAnsi="Times New Roman"/>
          <w:sz w:val="20"/>
        </w:rPr>
        <w:t xml:space="preserve">(b) The JSC shall hold meetings at such times as it elects to do so, but in no event shall such meetings be held less frequently than [***], unless otherwise agreed by the Parties. JSC meetings may be held in person or by audio or video teleconference. [***] shall be solely responsible for the costs and expenses incurred by [***] in attending any JSC meeting. No action taken or decision made at any JSC meeting shall be effective unless at least [***] representative of each Party is participating. </w:t>
      </w:r>
    </w:p>
    <w:p>
      <w:pPr>
        <w:pStyle w:val="TextBody"/>
        <w:bidi w:val="0"/>
        <w:spacing w:before="240" w:after="0"/>
        <w:jc w:val="left"/>
        <w:rPr>
          <w:rFonts w:ascii="Times New Roman" w:hAnsi="Times New Roman"/>
          <w:sz w:val="20"/>
        </w:rPr>
      </w:pPr>
      <w:r>
        <w:rPr>
          <w:rFonts w:ascii="Times New Roman" w:hAnsi="Times New Roman"/>
          <w:sz w:val="20"/>
        </w:rPr>
        <w:t xml:space="preserve">(c) Each Party may from time to time invite [***] number of participants, in addition to its representatives, to attend the JSC meetings in a non-voting capacity; </w:t>
      </w:r>
      <w:r>
        <w:rPr>
          <w:rFonts w:ascii="Times New Roman" w:hAnsi="Times New Roman"/>
          <w:sz w:val="20"/>
          <w:u w:val="single"/>
        </w:rPr>
        <w:t>provided</w:t>
      </w:r>
      <w:r>
        <w:rPr>
          <w:rFonts w:ascii="Times New Roman" w:hAnsi="Times New Roman"/>
          <w:sz w:val="20"/>
        </w:rPr>
        <w:t xml:space="preserve">, that if either Party intends to have any Third Party attend such a meeting, then such Party shall provide at least [***] notice to the other Party and obtain the other Party’s approval for such Third Party to attend such meeting, which approval shall not be unreasonably withheld, conditioned, or delayed. Such Party shall ensure that such Third Party is bound by confidentiality and non-use obligations substantially similar to the terms of this Agreement prior to attending such meeting (but for shorter duration if customary). </w:t>
      </w:r>
    </w:p>
    <w:p>
      <w:pPr>
        <w:pStyle w:val="TextBody"/>
        <w:bidi w:val="0"/>
        <w:spacing w:before="240" w:after="0"/>
        <w:jc w:val="left"/>
        <w:rPr>
          <w:rFonts w:ascii="Times New Roman" w:hAnsi="Times New Roman"/>
          <w:sz w:val="20"/>
        </w:rPr>
      </w:pPr>
      <w:r>
        <w:rPr>
          <w:rFonts w:ascii="Times New Roman" w:hAnsi="Times New Roman"/>
          <w:sz w:val="20"/>
        </w:rPr>
        <w:t xml:space="preserve">(d) The JSC shall: </w:t>
      </w:r>
    </w:p>
    <w:p>
      <w:pPr>
        <w:pStyle w:val="TextBody"/>
        <w:bidi w:val="0"/>
        <w:spacing w:before="120" w:after="0"/>
        <w:jc w:val="left"/>
        <w:rPr>
          <w:rFonts w:ascii="Times New Roman" w:hAnsi="Times New Roman"/>
          <w:sz w:val="20"/>
        </w:rPr>
      </w:pPr>
      <w:r>
        <w:rPr>
          <w:rFonts w:ascii="Times New Roman" w:hAnsi="Times New Roman"/>
          <w:sz w:val="20"/>
        </w:rPr>
        <w:t xml:space="preserve">(i) coordinate and oversee the transfer and transition activities undertaken pursuant to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coordinate and facilitate information sharing and other communications with respect to the transition plan for the transfer of the IND in accordance with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review, discuss and approve the Manufacturing Technology Transfer Plan pursuant to </w:t>
      </w:r>
      <w:r>
        <w:rPr>
          <w:rFonts w:ascii="Times New Roman" w:hAnsi="Times New Roman"/>
          <w:sz w:val="20"/>
          <w:u w:val="single"/>
        </w:rPr>
        <w:t>Section 5.4</w:t>
      </w:r>
      <w:r>
        <w:rPr>
          <w:rFonts w:ascii="Times New Roman" w:hAnsi="Times New Roman"/>
          <w:sz w:val="20"/>
        </w:rPr>
        <w:t xml:space="preserve">, and coordinate and oversee the Manufacturing Technology Transfer in accordance with the Manufacturing Technology Transfer Plan; </w:t>
      </w:r>
    </w:p>
    <w:p>
      <w:pPr>
        <w:pStyle w:val="TextBody"/>
        <w:bidi w:val="0"/>
        <w:spacing w:before="240" w:after="0"/>
        <w:jc w:val="left"/>
        <w:rPr>
          <w:rFonts w:ascii="Times New Roman" w:hAnsi="Times New Roman"/>
          <w:sz w:val="20"/>
        </w:rPr>
      </w:pPr>
      <w:r>
        <w:rPr>
          <w:rFonts w:ascii="Times New Roman" w:hAnsi="Times New Roman"/>
          <w:sz w:val="20"/>
        </w:rPr>
        <w:t xml:space="preserve">(iv) coordinate and facilitate Data sharing and other communications on the Development activities for the Licensed Product in the Licensed Territory and the Retained Territory; and </w:t>
      </w:r>
    </w:p>
    <w:p>
      <w:pPr>
        <w:pStyle w:val="TextBody"/>
        <w:bidi w:val="0"/>
        <w:spacing w:before="240" w:after="0"/>
        <w:jc w:val="left"/>
        <w:rPr>
          <w:rFonts w:ascii="Times New Roman" w:hAnsi="Times New Roman"/>
          <w:sz w:val="20"/>
        </w:rPr>
      </w:pPr>
      <w:r>
        <w:rPr>
          <w:rFonts w:ascii="Times New Roman" w:hAnsi="Times New Roman"/>
          <w:sz w:val="20"/>
        </w:rPr>
        <w:t xml:space="preserve">(v) perform such other functions as are assigned to it in this Agreement or as appropriate to further the purposes of this Agreement to the extent agreed in writing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JSC shall have authority to establish joint subcommittees as it deems necessary or advisable to further the purposes of this Agreement, composed of [***] of each Party. Unless otherwise agreed by the Parties, each such joint subcommittee shall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 Unless the Parties mutually agree to disband and no longer participate in the JSC, or [***] elects [***] to disband the JSC upon [***] notice to [***], the JSC shall continue to exist until [***].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JSC Decision-Making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decisions within the decision-making authority of the JSC shall be made by [***] vote, with each Party’s representatives collectively having [***] vote. If the JSC is unable to reach agreement as to a particular matter within its jurisdiction, within [***] after such matter has been brought to the JSC for resolution, then such disagreement shall be referred to the Executive Officers of the Parties for resolution. </w:t>
      </w:r>
    </w:p>
    <w:p>
      <w:pPr>
        <w:pStyle w:val="TextBody"/>
        <w:bidi w:val="0"/>
        <w:spacing w:before="240" w:after="0"/>
        <w:jc w:val="left"/>
        <w:rPr>
          <w:rFonts w:ascii="Times New Roman" w:hAnsi="Times New Roman"/>
          <w:sz w:val="20"/>
        </w:rPr>
      </w:pPr>
      <w:r>
        <w:rPr>
          <w:rFonts w:ascii="Times New Roman" w:hAnsi="Times New Roman"/>
          <w:sz w:val="20"/>
        </w:rPr>
        <w:t xml:space="preserve">(b) If the Executive Officers do not fully resolve any matter within the JSC’s authority and referred to them under </w:t>
      </w:r>
      <w:r>
        <w:rPr>
          <w:rFonts w:ascii="Times New Roman" w:hAnsi="Times New Roman"/>
          <w:sz w:val="20"/>
          <w:u w:val="single"/>
        </w:rPr>
        <w:t>Section 3.2(a)</w:t>
      </w:r>
      <w:r>
        <w:rPr>
          <w:rFonts w:ascii="Times New Roman" w:hAnsi="Times New Roman"/>
          <w:sz w:val="20"/>
        </w:rPr>
        <w:t xml:space="preserve"> [***] of the matter being referred to them, then, the following shall apply: </w:t>
      </w:r>
    </w:p>
    <w:p>
      <w:pPr>
        <w:pStyle w:val="TextBody"/>
        <w:bidi w:val="0"/>
        <w:spacing w:before="120" w:after="0"/>
        <w:jc w:val="left"/>
        <w:rPr>
          <w:rFonts w:ascii="Times New Roman" w:hAnsi="Times New Roman"/>
          <w:sz w:val="20"/>
        </w:rPr>
      </w:pPr>
      <w:r>
        <w:rPr>
          <w:rFonts w:ascii="Times New Roman" w:hAnsi="Times New Roman"/>
          <w:sz w:val="20"/>
        </w:rPr>
        <w:t xml:space="preserve">(i) Company shall have final decision-making authority with respect to any such matter to the extent relating to the [***], </w:t>
      </w:r>
      <w:r>
        <w:rPr>
          <w:rFonts w:ascii="Times New Roman" w:hAnsi="Times New Roman"/>
          <w:sz w:val="20"/>
          <w:u w:val="single"/>
        </w:rPr>
        <w:t>provided</w:t>
      </w:r>
      <w:r>
        <w:rPr>
          <w:rFonts w:ascii="Times New Roman" w:hAnsi="Times New Roman"/>
          <w:sz w:val="20"/>
        </w:rPr>
        <w:t xml:space="preserve"> that Company shall not make any such decision that would [***] affect (1) [***], or (2) [***]; and </w:t>
      </w:r>
    </w:p>
    <w:p>
      <w:pPr>
        <w:pStyle w:val="TextBody"/>
        <w:bidi w:val="0"/>
        <w:spacing w:before="240" w:after="0"/>
        <w:jc w:val="left"/>
        <w:rPr>
          <w:rFonts w:ascii="Times New Roman" w:hAnsi="Times New Roman"/>
          <w:sz w:val="20"/>
        </w:rPr>
      </w:pPr>
      <w:r>
        <w:rPr>
          <w:rFonts w:ascii="Times New Roman" w:hAnsi="Times New Roman"/>
          <w:sz w:val="20"/>
        </w:rPr>
        <w:t xml:space="preserve">(ii) Licensor shall have final decision-making authority solely with respect to matters exclusively relating to the [***], </w:t>
      </w:r>
      <w:r>
        <w:rPr>
          <w:rFonts w:ascii="Times New Roman" w:hAnsi="Times New Roman"/>
          <w:sz w:val="20"/>
          <w:u w:val="single"/>
        </w:rPr>
        <w:t>provided</w:t>
      </w:r>
      <w:r>
        <w:rPr>
          <w:rFonts w:ascii="Times New Roman" w:hAnsi="Times New Roman"/>
          <w:sz w:val="20"/>
        </w:rPr>
        <w:t xml:space="preserve"> that Licensor shall not make any such decision that would [***] affect [***]. </w:t>
      </w:r>
    </w:p>
    <w:p>
      <w:pPr>
        <w:pStyle w:val="TextBody"/>
        <w:bidi w:val="0"/>
        <w:spacing w:before="240" w:after="0"/>
        <w:jc w:val="left"/>
        <w:rPr>
          <w:rFonts w:ascii="Times New Roman" w:hAnsi="Times New Roman"/>
          <w:sz w:val="20"/>
        </w:rPr>
      </w:pPr>
      <w:r>
        <w:rPr>
          <w:rFonts w:ascii="Times New Roman" w:hAnsi="Times New Roman"/>
          <w:sz w:val="20"/>
        </w:rPr>
        <w:t xml:space="preserve">(c) The JSC shall only have the powers expressly assigned to it in this </w:t>
      </w:r>
      <w:r>
        <w:rPr>
          <w:rFonts w:ascii="Times New Roman" w:hAnsi="Times New Roman"/>
          <w:sz w:val="20"/>
          <w:u w:val="single"/>
        </w:rPr>
        <w:t>Section 3.2</w:t>
      </w:r>
      <w:r>
        <w:rPr>
          <w:rFonts w:ascii="Times New Roman" w:hAnsi="Times New Roman"/>
          <w:sz w:val="20"/>
        </w:rPr>
        <w:t xml:space="preserve"> and elsewhere in this Agreement and shall not have the authority to: (i) modify or amend the terms and conditions of this Agreement; (ii) waive, determine or interpret either Party’s compliance with the terms and conditions of this Agreement; or (iii) make any decision that could [***] be expected to require the other Party to take any action that such other Party [***] believes would (A) require such other Party to violate any Applicable Law or any agreement with any Third Party entered into by such other Party or (B) require such other Party to infringe or misappropriate any intellectual property rights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w:t>
      </w:r>
      <w:r>
        <w:rPr>
          <w:rFonts w:ascii="Times New Roman" w:hAnsi="Times New Roman"/>
          <w:sz w:val="20"/>
        </w:rPr>
        <w:t xml:space="preserve">. In conducting themselves on the JSC and any subcommittees, and in exercising the Parties’ rights under this </w:t>
      </w:r>
      <w:r>
        <w:rPr>
          <w:rFonts w:ascii="Times New Roman" w:hAnsi="Times New Roman"/>
          <w:sz w:val="20"/>
          <w:u w:val="single"/>
        </w:rPr>
        <w:t>Article 3</w:t>
      </w:r>
      <w:r>
        <w:rPr>
          <w:rFonts w:ascii="Times New Roman" w:hAnsi="Times New Roman"/>
          <w:sz w:val="20"/>
        </w:rPr>
        <w:t xml:space="preserve">, all representatives of both Parties shall consider [***] all input received from the other Party, and shall use [***] to reach consensus on all matters before the JSC or any subcommittees. In exercising any decision-making authority granted to it under this </w:t>
      </w:r>
      <w:r>
        <w:rPr>
          <w:rFonts w:ascii="Times New Roman" w:hAnsi="Times New Roman"/>
          <w:sz w:val="20"/>
          <w:u w:val="single"/>
        </w:rPr>
        <w:t>Article 3</w:t>
      </w:r>
      <w:r>
        <w:rPr>
          <w:rFonts w:ascii="Times New Roman" w:hAnsi="Times New Roman"/>
          <w:sz w:val="20"/>
        </w:rPr>
        <w:t xml:space="preserve">, each Party shall act based on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DEVELOPMENT AND REGULATORY MATTERS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Company Development</w:t>
      </w:r>
      <w:r>
        <w:rPr>
          <w:rFonts w:ascii="Times New Roman" w:hAnsi="Times New Roman"/>
          <w:sz w:val="20"/>
        </w:rPr>
        <w:t xml:space="preserve">. Company, itself or through its Affiliates or Sublicensees, shall use [***] to Develop and seek Regulatory Approval for at least [***] Licensed Product in the United States. As between the Parties, Company shall have the sole right and responsibility to conduct Development activities with respect to the Licensed Therapeutics and the Licensed Products in the Licensed Territory in its sole discretion and at [***]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Licensor Development</w:t>
      </w:r>
      <w:r>
        <w:rPr>
          <w:rFonts w:ascii="Times New Roman" w:hAnsi="Times New Roman"/>
          <w:sz w:val="20"/>
        </w:rPr>
        <w:t xml:space="preserve">. Licensor, itself or through its Affiliates or sublicensees, shall be responsible for all research, Development, and regulatory activities, and the associated costs of such activities for the Licensed Therapeutics and Licensed Products in the Retained Territory. For clarity, Licensor is not obligated to conduct any such research, Development, and regulatory activity in the Retained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Development Updates</w:t>
      </w:r>
      <w:r>
        <w:rPr>
          <w:rFonts w:ascii="Times New Roman" w:hAnsi="Times New Roman"/>
          <w:sz w:val="20"/>
        </w:rPr>
        <w:t xml:space="preserve">. No less frequently than [***] during the Term, each Party shall provide the JSC with a [***] update summarizing its Development of Licensed Products, including [***]. Each Party shall also establish a secure link that includes adequate encryption safeguards to provide the other Party with electronic access to such information. Such updates shall be the Confidential Information of the Party providing the update pursuant to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Regulatory Activities</w:t>
      </w:r>
      <w:r>
        <w:rPr>
          <w:rFonts w:ascii="Times New Roman" w:hAnsi="Times New Roman"/>
          <w:sz w:val="20"/>
        </w:rPr>
        <w:t xml:space="preserve"> </w:t>
      </w:r>
      <w:r>
        <w:rPr>
          <w:rFonts w:ascii="Times New Roman" w:hAnsi="Times New Roman"/>
          <w:b/>
          <w:sz w:val="20"/>
        </w:rPr>
        <w:t>in the Licensed Territory.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w:t>
      </w:r>
      <w:r>
        <w:rPr>
          <w:rFonts w:ascii="Times New Roman" w:hAnsi="Times New Roman"/>
          <w:sz w:val="20"/>
          <w:u w:val="single"/>
        </w:rPr>
        <w:t>Section 4.4(b)</w:t>
      </w:r>
      <w:r>
        <w:rPr>
          <w:rFonts w:ascii="Times New Roman" w:hAnsi="Times New Roman"/>
          <w:sz w:val="20"/>
        </w:rPr>
        <w:t xml:space="preserve">, Company shall have the sole right and responsibility, at [***] cost and expense, for all regulatory activities leading up to and including the obtaining, holding and maintaining of Regulatory Approvals and any pricing or reimbursement approvals, as applicable, for Licensed Products from Regulatory Authorities in the Licensed Territory. Company or its designee shall own all Regulatory Approvals and other Regulatory Documents with respect to the Licensed Products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(b) Licensor shall [***] cooperate with Company in obtaining, holding and maintaining any IND and other Regulatory Documents for a Licensed Product in the Licensed Territory by providing, to the extent Controlled by Licensor, access to Regulatory Documents for the Licensed Therapeutic and Licensed Products (to the extent not already transferred to Company pursuant to </w:t>
      </w:r>
      <w:r>
        <w:rPr>
          <w:rFonts w:ascii="Times New Roman" w:hAnsi="Times New Roman"/>
          <w:sz w:val="20"/>
          <w:u w:val="single"/>
        </w:rPr>
        <w:t>Section 2.4)</w:t>
      </w:r>
      <w:r>
        <w:rPr>
          <w:rFonts w:ascii="Times New Roman" w:hAnsi="Times New Roman"/>
          <w:sz w:val="20"/>
        </w:rPr>
        <w:t xml:space="preserve"> and access to and a copy of any and all Data (including raw Data and records) with respect to the Licensed Therapeutic and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rPr>
        <w:t>Right of Reference and Use of Data</w:t>
      </w:r>
      <w:r>
        <w:rPr>
          <w:rFonts w:ascii="Times New Roman" w:hAnsi="Times New Roman"/>
          <w:sz w:val="20"/>
        </w:rPr>
        <w:t xml:space="preserve">. Licensor hereby grants to Company a right of reference to all Regulatory Documents pertaining to Licensed Products in the Field submitted by or on behalf of Licensor, its Affiliates and, its Third Party Licensees, for the purpose of seeking, obtaining and maintaining Regulatory Approval and any pricing or reimbursement approvals, as applicable, of Licensed Products in the Field in the Licensed Territory. Company hereby grants to Licensor a right of reference to all Regulatory Documents pertaining to Licensed Products in the Field submitted by or on behalf of Company, its Affiliates and, its Sublicensees, for the purpose of seeking, obtaining and maintaining Regulatory Approval and any pricing or reimbursement approvals, as applicable, of Licensed Products in the Field in the Retained Territory. If requested by either Party, the other Party will provide a signed statement to this effect in accordance with Applicable Laws. Subject to the terms and conditions of this Agreement and Applicable Law and in addition to its adverse event and safety data reporting obligations pursuant to </w:t>
      </w:r>
      <w:r>
        <w:rPr>
          <w:rFonts w:ascii="Times New Roman" w:hAnsi="Times New Roman"/>
          <w:sz w:val="20"/>
          <w:u w:val="single"/>
        </w:rPr>
        <w:t>Section 4.7</w:t>
      </w:r>
      <w:r>
        <w:rPr>
          <w:rFonts w:ascii="Times New Roman" w:hAnsi="Times New Roman"/>
          <w:sz w:val="20"/>
        </w:rPr>
        <w:t xml:space="preserve">, each Party shall [***] provide the other Party with copies of all Data, results and all supporting documentation (e.g., protocols, CRFs, analysis plans) generated from its Development of a Licensed Product in the Field in the Applicable Territory of such Party, and each Party shall have the right to use the Data, results and all supporting documentation (e.g., protocols, CRFs, analysis plans) provided by the other Party for the purpose of Developing, seeking, obtaining and maintaining Regulatory Approval for, and Commercializing the Licensed Therapeutics and Licensed Products in the Field in the Applicable Territory of such Party.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rPr>
        <w:t>Transfer of IND</w:t>
      </w:r>
      <w:r>
        <w:rPr>
          <w:rFonts w:ascii="Times New Roman" w:hAnsi="Times New Roman"/>
          <w:sz w:val="20"/>
        </w:rPr>
        <w:t xml:space="preserve">. [***] following the Effective Date, Licensor shall transfer to Company Licensor’s Existing IND and related filings, for the Licensed Product in the United States and shall provide Company with the complete and up-to-date files or copies of all Regulatory Documentation, with respect to the Licensed Product in the United States (to the extent not already transferred to Company pursuant to </w:t>
      </w:r>
      <w:r>
        <w:rPr>
          <w:rFonts w:ascii="Times New Roman" w:hAnsi="Times New Roman"/>
          <w:sz w:val="20"/>
          <w:u w:val="single"/>
        </w:rPr>
        <w:t>Section 2.4</w:t>
      </w:r>
      <w:r>
        <w:rPr>
          <w:rFonts w:ascii="Times New Roman" w:hAnsi="Times New Roman"/>
          <w:sz w:val="20"/>
        </w:rPr>
        <w:t xml:space="preserve">), as set forth in more detail in a transition plan entered into by the Parties to effect the foregoing transfer of the IND. All filings, letters and other documentation necessary to effect such assignment and transfer of such IND will be provided by Licensor. The Parties shall follow guidance of the FDA guideline for the transfer of the IND to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rPr>
        <w:t>Adverse Events and Safety Data Reporting</w:t>
      </w:r>
      <w:r>
        <w:rPr>
          <w:rFonts w:ascii="Times New Roman" w:hAnsi="Times New Roman"/>
          <w:sz w:val="20"/>
        </w:rPr>
        <w:t xml:space="preserve">. Upon a Party’s request, the other Party shall, on a [***] basis [***] provide to the requesting Party (or its Affiliates or Sublicensees (with respect to Company) or Third Party Licensees (with respect to Licensor)) safety Data and information concerning adverse events or any other safety issue of any significance and product quality and product complaints involving adverse events, in each case with respect to Licensed Products in its Applicable Territory, including such information provided to the non-requesting Party by its Sublicensees (with respect to Company) or Third Party Licensees (with respect to Licensor), in each case, sufficient for the requesting Party, its Affiliates and Sublicensees (with respect to Company) or Third Party Licensees (with respect to Licensor) to comply with Applicable Laws and requirements from Regulatory Authorities in its Applicable Territory. If required by the applicable Regulatory Authorities or otherwise requested by Company [***], the Parties will negotiate [***] and enter into a safety data exchange agreement for a Licensed Product and as between the Parties, Company (or its Affiliates or Sublicensees) shall control the global safety database for the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rPr>
        <w:t>Notice of Regulatory Action</w:t>
      </w:r>
      <w:r>
        <w:rPr>
          <w:rFonts w:ascii="Times New Roman" w:hAnsi="Times New Roman"/>
          <w:sz w:val="20"/>
        </w:rPr>
        <w:t xml:space="preserve">. Each Party shall [***], notify the other Party of any information that it receives regarding any threatened or pending action, inspection or communication by or from a Governmental Authority or Regulatory Authority that would [***] affect the Exploitation of the Licensed Therapeutic or Licensed Products in the Licensed Territory or the Retained Territory.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MANUFACTURE AND SUPPLY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Company Manufacturing</w:t>
      </w:r>
      <w:r>
        <w:rPr>
          <w:rFonts w:ascii="Times New Roman" w:hAnsi="Times New Roman"/>
          <w:sz w:val="20"/>
        </w:rPr>
        <w:t xml:space="preserve">. Subject to the rest of this </w:t>
      </w:r>
      <w:r>
        <w:rPr>
          <w:rFonts w:ascii="Times New Roman" w:hAnsi="Times New Roman"/>
          <w:sz w:val="20"/>
          <w:u w:val="single"/>
        </w:rPr>
        <w:t>Article 5</w:t>
      </w:r>
      <w:r>
        <w:rPr>
          <w:rFonts w:ascii="Times New Roman" w:hAnsi="Times New Roman"/>
          <w:sz w:val="20"/>
        </w:rPr>
        <w:t xml:space="preserve">, as between the Parties, Company shall have the sole right and responsibility to, in its sole discretion and at [***] cost and expense, conduct Manufacturing activities with respect to the Licensed Therapeutics and the Licensed Products for the purpose of Exploiting the Licensed Therapeutic and Licensed Products in the Field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Clinical Supply</w:t>
      </w:r>
      <w:r>
        <w:rPr>
          <w:rFonts w:ascii="Times New Roman" w:hAnsi="Times New Roman"/>
          <w:sz w:val="20"/>
        </w:rPr>
        <w:t xml:space="preserve">. Within [***] following the Effective Date, Licensor (or an Affiliate of Licensor) and Company shall use [***] to enter into a mutually agreeable clinical supply agreement (and associated quality agreement) pursuant to which Licensor, its Affiliate or CMO will Manufacture and supply to Company and its Affiliates and its or their Sublicensees Licensed Therapeutics or Licensed Product for use in Clinical Trials in the Licensed Territory at [***].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Commercial Supply</w:t>
      </w:r>
      <w:r>
        <w:rPr>
          <w:rFonts w:ascii="Times New Roman" w:hAnsi="Times New Roman"/>
          <w:sz w:val="20"/>
        </w:rPr>
        <w:t xml:space="preserve">. Within [***] prior to the date Company anticipates its First Commercial Sale in the Licensed Territory, Licensor (or an Affiliate of Licensor) and Company shall enter into a mutually agreeable commercial supply agreement (and associated quality agreement) pursuant to which Licensor, its Affiliate or CMO will Manufacture and supply to Company and its Affiliates and its or their Sublicensees Licensed Therapeutics or Licensed Product for commercial use in the Licensed Territory, unless otherwise agreed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Manufacturing Technology Transfer</w:t>
      </w:r>
      <w:r>
        <w:rPr>
          <w:rFonts w:ascii="Times New Roman" w:hAnsi="Times New Roman"/>
          <w:sz w:val="20"/>
        </w:rPr>
        <w:t>. [***], the Parties, through the JSC, shall enter into a technology transfer plan approved by the JSC (such plan, the “</w:t>
      </w:r>
      <w:r>
        <w:rPr>
          <w:rFonts w:ascii="Times New Roman" w:hAnsi="Times New Roman"/>
          <w:b/>
          <w:i/>
          <w:sz w:val="20"/>
        </w:rPr>
        <w:t>Manufacturing Technology Transfer Plan</w:t>
      </w:r>
      <w:r>
        <w:rPr>
          <w:rFonts w:ascii="Times New Roman" w:hAnsi="Times New Roman"/>
          <w:sz w:val="20"/>
        </w:rPr>
        <w:t xml:space="preserve">”) designed to enable Company or its designee to independently Manufacture the Licensed Therapeutic and Licensed Products in a manner substantially consistent with Licensor’s then-current Manufacturing processes and applicable regulatory requirements. Pursuant to the Manufacturing Technology Transfer Plan, Licensor shall, and shall use [***] to cause its Affiliate(s) or CMO(s) to, as applicable, transfer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Company or its designee any Licensed Know-How Controlled by Licensor or its Affiliates or CMO(s) that is [***] or [***] to enable Company or its designee to Manufacture the Licensed Therapeutic and Licensed Products, including all Manufacturing processes, CMC data, specifications, analytical methods, validation data, batch records, standard operating procedures, and other relevant technical and regulatory documentation, in each case, as practiced by or on behalf of Licensor or any of its Affiliates or CMO(s) for the Manufacturing of the Licensed Therapeutic and Licensed Products (the “</w:t>
      </w:r>
      <w:r>
        <w:rPr>
          <w:rFonts w:ascii="Times New Roman" w:hAnsi="Times New Roman"/>
          <w:b/>
          <w:i/>
          <w:sz w:val="20"/>
        </w:rPr>
        <w:t>Manufacturing Technology Transfer</w:t>
      </w:r>
      <w:r>
        <w:rPr>
          <w:rFonts w:ascii="Times New Roman" w:hAnsi="Times New Roman"/>
          <w:sz w:val="20"/>
        </w:rPr>
        <w:t xml:space="preserve">”). Company shall reimburse Licensor for [***] by Licensor in providing the Manufacturing Technology Transfer. The Manufacturing Technology Transfer Plan shall include a detailed list of all documents, materials, data, and other information to be transferred, as well as a timeline and defined activities (including reasonable technical assistance, training, and consultation) sufficient to enable a successful and complete transfer of the Manufacturing Technology Transfer. Company may, [***] elect to assume Manufacturing. Upon such election, Licensor shall [***] initiate and use [***] to complete the Manufacturing Technology Transfer Plan. If, during the Term following such initial request, Licensor develops any additional Manufacturing-related Licensed Know-How, Licensor shall provide such additional Manufacturing-related Licensed Know-How to Company in accordance with </w:t>
      </w:r>
      <w:r>
        <w:rPr>
          <w:rFonts w:ascii="Times New Roman" w:hAnsi="Times New Roman"/>
          <w:sz w:val="20"/>
          <w:u w:val="single"/>
        </w:rPr>
        <w:t>Section 2.4(b)</w:t>
      </w:r>
      <w:r>
        <w:rPr>
          <w:rFonts w:ascii="Times New Roman" w:hAnsi="Times New Roman"/>
          <w:sz w:val="20"/>
        </w:rPr>
        <w:t xml:space="preserve">. Upon completion of the Manufacturing Technology Transfer, the clinical and commercial supply agreements entered into between the Parties under </w:t>
      </w:r>
      <w:r>
        <w:rPr>
          <w:rFonts w:ascii="Times New Roman" w:hAnsi="Times New Roman"/>
          <w:sz w:val="20"/>
          <w:u w:val="single"/>
        </w:rPr>
        <w:t>Section 5.2</w:t>
      </w:r>
      <w:r>
        <w:rPr>
          <w:rFonts w:ascii="Times New Roman" w:hAnsi="Times New Roman"/>
          <w:sz w:val="20"/>
        </w:rPr>
        <w:t xml:space="preserve"> and </w:t>
      </w:r>
      <w:r>
        <w:rPr>
          <w:rFonts w:ascii="Times New Roman" w:hAnsi="Times New Roman"/>
          <w:sz w:val="20"/>
          <w:u w:val="single"/>
        </w:rPr>
        <w:t>Section 5.3</w:t>
      </w:r>
      <w:r>
        <w:rPr>
          <w:rFonts w:ascii="Times New Roman" w:hAnsi="Times New Roman"/>
          <w:sz w:val="20"/>
        </w:rPr>
        <w:t xml:space="preserve"> shall not automatically terminate but shall instead remain in effect for a transition period of [***] following the date of such completion (the “</w:t>
      </w:r>
      <w:r>
        <w:rPr>
          <w:rFonts w:ascii="Times New Roman" w:hAnsi="Times New Roman"/>
          <w:b/>
          <w:i/>
          <w:sz w:val="20"/>
        </w:rPr>
        <w:t>Supply Wind-Down Period</w:t>
      </w:r>
      <w:r>
        <w:rPr>
          <w:rFonts w:ascii="Times New Roman" w:hAnsi="Times New Roman"/>
          <w:sz w:val="20"/>
        </w:rPr>
        <w:t xml:space="preserve">”), during which Licensor shall continue to supply Licensed Therapeutics and Licensed Product to Company, its Affiliates, and its or their Sublicensees in accordance with the terms of such agreements. Upon expiration of the Supply Wind-Down Period, the clinical and commercial supply agreements shall terminate, and Licensor shall have no further obligation to supply to Company and its Affiliates and its or their Sublicensees any Licensed Therapeutics or Licensed Product;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purchase orders accepted by Licensor prior to the expiration of the Supply Wind-Down Period shall be fulfilled in accordance with their terms notwithstanding such expiration.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rPr>
        <w:t>Cooperation and Assistance</w:t>
      </w:r>
      <w:r>
        <w:rPr>
          <w:rFonts w:ascii="Times New Roman" w:hAnsi="Times New Roman"/>
          <w:sz w:val="20"/>
        </w:rPr>
        <w:t xml:space="preserve">. At [***] request and at [***] cost and expense, Licensor will provide Company and its designees [***] assistance with respect to the Manufacturing Technology Transfer, including by providing Company and its designees with [***] access by teleconference or videoconference (or, to the extent requested by Company, in-person meetings) to personnel of Licensor, its Affiliates or any of its CMO(s) involved in Development or Manufacturing matters related to the Licensed Know-How, as applied to Licensed Therapeutics and Licensed Products, to provide a [***] level of technical assistance and consultation in connection with such Manufacturing Technology Transfer.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Commercialization Activities</w:t>
      </w:r>
      <w:r>
        <w:rPr>
          <w:rFonts w:ascii="Times New Roman" w:hAnsi="Times New Roman"/>
          <w:sz w:val="20"/>
        </w:rPr>
        <w:t xml:space="preserve">. Company (and its Affiliates and Sublicensees) shall have the sole right and responsibility, at [***] cost and expense, to conduct Commercialization activities with respect to the Licensed Therapeutic and the Licensed Products in the Licensed Territory in its sole discretion. Company shall use [***] to achieve First Commercial Sale of a Licensed Product in the Field in the United States where Regulatory Approval for such Licensed Product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Diversion</w:t>
      </w:r>
      <w:r>
        <w:rPr>
          <w:rFonts w:ascii="Times New Roman" w:hAnsi="Times New Roman"/>
          <w:sz w:val="20"/>
        </w:rPr>
        <w:t xml:space="preserve">. Each Party covenants and agrees that it shall not, and shall ensure that its Affiliates, Third Party Licensees (with respect to Licensor) and Sublicensees (with respect to Company) do not, either directly or indirectly, promote, market, distribute, import, sell or have sold any Licensed Products, including via the Internet or mail order, to any Third Party or to any address or Internet Protocol address or the like in the other Party’s Applicable Territory; </w:t>
      </w:r>
      <w:r>
        <w:rPr>
          <w:rFonts w:ascii="Times New Roman" w:hAnsi="Times New Roman"/>
          <w:sz w:val="20"/>
          <w:u w:val="single"/>
        </w:rPr>
        <w:t>provided</w:t>
      </w:r>
      <w:r>
        <w:rPr>
          <w:rFonts w:ascii="Times New Roman" w:hAnsi="Times New Roman"/>
          <w:sz w:val="20"/>
        </w:rPr>
        <w:t xml:space="preserve"> that each Party shall have the right to attend conferences and meetings of congresses in the other Party’s Applicable Territory and to promote and market, for their Applicable Territory, Licensed Products to Third Party attendees at such conferences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meetings, subject to this </w:t>
      </w:r>
      <w:r>
        <w:rPr>
          <w:rFonts w:ascii="Times New Roman" w:hAnsi="Times New Roman"/>
          <w:sz w:val="20"/>
          <w:u w:val="single"/>
        </w:rPr>
        <w:t>Section 6.2</w:t>
      </w:r>
      <w:r>
        <w:rPr>
          <w:rFonts w:ascii="Times New Roman" w:hAnsi="Times New Roman"/>
          <w:sz w:val="20"/>
        </w:rPr>
        <w:t xml:space="preserve">. Neither Party shall engage, or shall permit its Affiliates, Third Party Licensees (with respect to Licensor) or Sublicensees (with respect to Company) to engage, in any advertising or promotional activities relating to any Licensed Products for use directed primarily to customers or other buyers or users of Licensed Products located in any country, jurisdiction or region in the other Party’s Applicable Territory, or solicit orders from any prospective purchaser located in any country, jurisdiction or region in the other Party’s Applicable Territory. If a Party or any of its Affiliates, Third Party Licensees (with respect to Licensor) or Sublicensees (with respect to Company) receives any order for Licensed Products for use from a prospective purchaser located in a country, jurisdiction or region in the other Party’s Applicable Territory, then such Party shall [***], but in any event within [***], refer that order to such other Party and shall not accept any such orders. Neither Party shall, or shall permit its Affiliates, Third Party Licensees (with respect to Licensor) or Sublicensees (with respect to Company) to, deliver or tender (or cause or knowingly permit to be delivered or tendered) any Licensed Products for use in the other Party’s Applicable Territory.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PAYMENTS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Upfront Payment</w:t>
      </w:r>
      <w:r>
        <w:rPr>
          <w:rFonts w:ascii="Times New Roman" w:hAnsi="Times New Roman"/>
          <w:sz w:val="20"/>
        </w:rPr>
        <w:t xml:space="preserve">. As part of the consideration for the licenses and rights granted hereunder, Company shall pay to Licensor a one-time, non-refundable and non-creditable upfront payment of Eighty-Five Million Dollars ($85,000,000) within [***]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Equity Investment</w:t>
      </w:r>
      <w:r>
        <w:rPr>
          <w:rFonts w:ascii="Times New Roman" w:hAnsi="Times New Roman"/>
          <w:sz w:val="20"/>
        </w:rPr>
        <w:t xml:space="preserve">. As part of the consideration for the licenses and rights granted hereunder, on the Effective Date, the Parties will enter into certain Equity Documents, pursuant to which Company shall issue to Licensor a warrant to purchase such amount of the shares of non-voting (except as otherwise provided in the Equity Documents) Series A-1 preferred stock of the Company equal to nineteen point nine percent (19.9%) of the Company’s fully-diluted capitalization as of immediately after the completion of the Series A financing of the Company. The equity to be received by Licensor is subject to anti-dilution provisions as set forth in the Equity Documents to maintain Licensor’s shareholding percentage at 19.9% (without additional cost on the part of Licensor) during the Anti-Dilution Period (as defined in the Equity Documents). Licensor shall receive other customary investor rights as held by the Company’s other Series A investors as set forth in the Equity Documents.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Development and Regulatory Milestones</w:t>
      </w:r>
      <w:r>
        <w:rPr>
          <w:rFonts w:ascii="Times New Roman" w:hAnsi="Times New Roman"/>
          <w:sz w:val="20"/>
        </w:rPr>
        <w:t xml:space="preserve">. Upon the first achievement by Company, its Affiliate or Sublicensee of a development </w:t>
      </w:r>
      <w:r>
        <w:rPr>
          <w:rFonts w:ascii="Times New Roman" w:hAnsi="Times New Roman"/>
          <w:sz w:val="20"/>
          <w:u w:val="single"/>
        </w:rPr>
        <w:t>milestone</w:t>
      </w:r>
      <w:r>
        <w:rPr>
          <w:rFonts w:ascii="Times New Roman" w:hAnsi="Times New Roman"/>
          <w:sz w:val="20"/>
        </w:rPr>
        <w:t xml:space="preserve"> event set forth in the table below (each a “</w:t>
      </w:r>
      <w:r>
        <w:rPr>
          <w:rFonts w:ascii="Times New Roman" w:hAnsi="Times New Roman"/>
          <w:b/>
          <w:i/>
          <w:sz w:val="20"/>
        </w:rPr>
        <w:t>Development Milestone Event</w:t>
      </w:r>
      <w:r>
        <w:rPr>
          <w:rFonts w:ascii="Times New Roman" w:hAnsi="Times New Roman"/>
          <w:sz w:val="20"/>
        </w:rPr>
        <w:t>”), Company shall make the corresponding one-time, non-refundable and non-creditable payment (each a “</w:t>
      </w:r>
      <w:r>
        <w:rPr>
          <w:rFonts w:ascii="Times New Roman" w:hAnsi="Times New Roman"/>
          <w:b/>
          <w:i/>
          <w:sz w:val="20"/>
        </w:rPr>
        <w:t>Development Milestone Payment</w:t>
      </w:r>
      <w:r>
        <w:rPr>
          <w:rFonts w:ascii="Times New Roman" w:hAnsi="Times New Roman"/>
          <w:sz w:val="20"/>
        </w:rPr>
        <w:t xml:space="preserve">”) to Licensor. Each of the Development Milestone Payments shall be payable only once upon the first achievement of the corresponding Development Milestone Event, and the maximum amount of Development Milestone Payments payable to Licensor shall be One Hundred Sixty-Seven Million Dollars ($167,000,000).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89"/>
        <w:gridCol w:w="1040"/>
        <w:gridCol w:w="3085"/>
        <w:gridCol w:w="1040"/>
        <w:gridCol w:w="2401"/>
      </w:tblGrid>
      <w:tr>
        <w:trPr/>
        <w:tc>
          <w:tcPr>
            <w:tcW w:w="189" w:type="dxa"/>
            <w:tcBorders/>
            <w:vAlign w:val="center"/>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040" w:type="dxa"/>
            <w:tcBorders/>
            <w:vAlign w:val="bottom"/>
          </w:tcPr>
          <w:p>
            <w:pPr>
              <w:pStyle w:val="TableContents"/>
              <w:bidi w:val="0"/>
              <w:spacing w:before="0" w:after="283"/>
              <w:jc w:val="left"/>
              <w:rPr/>
            </w:pPr>
            <w:r>
              <w:rPr/>
              <w:t>  </w:t>
            </w:r>
          </w:p>
        </w:tc>
        <w:tc>
          <w:tcPr>
            <w:tcW w:w="3085" w:type="dxa"/>
            <w:tcBorders>
              <w:bottom w:val="single" w:sz="8" w:space="0" w:color="000000"/>
            </w:tcBorders>
            <w:tcMar>
              <w:bottom w:w="28" w:type="dxa"/>
            </w:tcMar>
            <w:vAlign w:val="bottom"/>
          </w:tcPr>
          <w:p>
            <w:pPr>
              <w:pStyle w:val="TableContents"/>
              <w:bidi w:val="0"/>
              <w:spacing w:before="0" w:after="283"/>
              <w:jc w:val="center"/>
              <w:rPr>
                <w:b/>
              </w:rPr>
            </w:pPr>
            <w:r>
              <w:rPr>
                <w:b/>
              </w:rPr>
              <w:t>Development Milestone Event</w:t>
            </w:r>
          </w:p>
        </w:tc>
        <w:tc>
          <w:tcPr>
            <w:tcW w:w="1040" w:type="dxa"/>
            <w:tcBorders/>
            <w:vAlign w:val="bottom"/>
          </w:tcPr>
          <w:p>
            <w:pPr>
              <w:pStyle w:val="TableContents"/>
              <w:bidi w:val="0"/>
              <w:spacing w:before="0" w:after="283"/>
              <w:jc w:val="left"/>
              <w:rPr/>
            </w:pPr>
            <w:r>
              <w:rPr/>
              <w:t>  </w:t>
            </w:r>
          </w:p>
        </w:tc>
        <w:tc>
          <w:tcPr>
            <w:tcW w:w="2401" w:type="dxa"/>
            <w:tcBorders>
              <w:bottom w:val="single" w:sz="8" w:space="0" w:color="000000"/>
            </w:tcBorders>
            <w:tcMar>
              <w:bottom w:w="28" w:type="dxa"/>
            </w:tcMar>
            <w:vAlign w:val="bottom"/>
          </w:tcPr>
          <w:p>
            <w:pPr>
              <w:pStyle w:val="TableContents"/>
              <w:bidi w:val="0"/>
              <w:spacing w:before="0" w:after="283"/>
              <w:jc w:val="center"/>
              <w:rPr>
                <w:b/>
              </w:rPr>
            </w:pPr>
            <w:r>
              <w:rPr>
                <w:b/>
              </w:rPr>
              <w:t>Development Milestone</w:t>
              <w:br/>
              <w:t>Payment (USD)</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pPr>
            <w:r>
              <w:rPr/>
              <w:t>[***]</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pPr>
            <w:r>
              <w:rPr/>
              <w:t>[***]</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pPr>
            <w:r>
              <w:rPr/>
              <w:t>[***]</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pBdr>
                <w:top w:val="single" w:sz="2" w:space="1" w:color="000000"/>
              </w:pBdr>
              <w:bidi w:val="0"/>
              <w:spacing w:before="0" w:after="0"/>
              <w:jc w:val="left"/>
              <w:rPr/>
            </w:pPr>
            <w:r>
              <w:rPr/>
              <w:t> </w:t>
            </w:r>
          </w:p>
        </w:tc>
      </w:tr>
      <w:tr>
        <w:trPr/>
        <w:tc>
          <w:tcPr>
            <w:tcW w:w="189" w:type="dxa"/>
            <w:tcBorders/>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b/>
              </w:rPr>
            </w:pPr>
            <w:r>
              <w:rPr>
                <w:b/>
              </w:rPr>
              <w:t>Total</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b/>
              </w:rPr>
            </w:pPr>
            <w:r>
              <w:rPr>
                <w:b/>
              </w:rPr>
              <w:t>$167,000,000</w:t>
            </w:r>
          </w:p>
        </w:tc>
      </w:tr>
      <w:tr>
        <w:trPr/>
        <w:tc>
          <w:tcPr>
            <w:tcW w:w="189"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 </w:t>
      </w:r>
    </w:p>
    <w:p>
      <w:pPr>
        <w:pStyle w:val="TextBody"/>
        <w:bidi w:val="0"/>
        <w:spacing w:before="240" w:after="0"/>
        <w:jc w:val="left"/>
        <w:rPr>
          <w:rFonts w:ascii="Times New Roman" w:hAnsi="Times New Roman"/>
          <w:sz w:val="20"/>
        </w:rPr>
      </w:pPr>
      <w:r>
        <w:rPr>
          <w:rFonts w:ascii="Times New Roman" w:hAnsi="Times New Roman"/>
          <w:sz w:val="20"/>
        </w:rPr>
        <w:t xml:space="preserve">(b) Company shall provide Licensor with [***] notice of the achievement of each Development Milestone Event within [***] after such Development Milestone Event has been achieved. Following receipt of such notification, Licensor shall invoice Company for the amount of the applicable Development Milestone Payment, and Company shall make the corresponding Development Milestone Payment within [***] after receipt of such invoice. Notwithstanding the foregoing, if a Development Milestone Event is achieved by a Sublicensee or a successor of Company, then each of such notification and payment periods shall be extended by [***].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Sales Milestones</w:t>
      </w:r>
      <w:r>
        <w:rPr>
          <w:rFonts w:ascii="Times New Roman" w:hAnsi="Times New Roman"/>
          <w:sz w:val="20"/>
        </w:rPr>
        <w:t xml:space="preserve">. Following the First Commercial Sale of the first Licensed Product, upon the first achievement of each sales-based </w:t>
      </w:r>
      <w:r>
        <w:rPr>
          <w:rFonts w:ascii="Times New Roman" w:hAnsi="Times New Roman"/>
          <w:sz w:val="20"/>
          <w:u w:val="single"/>
        </w:rPr>
        <w:t>milestone</w:t>
      </w:r>
      <w:r>
        <w:rPr>
          <w:rFonts w:ascii="Times New Roman" w:hAnsi="Times New Roman"/>
          <w:sz w:val="20"/>
        </w:rPr>
        <w:t xml:space="preserve"> event for all Licensed Product set forth in the table below (each a “</w:t>
      </w:r>
      <w:r>
        <w:rPr>
          <w:rFonts w:ascii="Times New Roman" w:hAnsi="Times New Roman"/>
          <w:b/>
          <w:i/>
          <w:sz w:val="20"/>
        </w:rPr>
        <w:t>Sales Milestone Event</w:t>
      </w:r>
      <w:r>
        <w:rPr>
          <w:rFonts w:ascii="Times New Roman" w:hAnsi="Times New Roman"/>
          <w:sz w:val="20"/>
        </w:rPr>
        <w:t>”), Company shall make the corresponding one-time, non-refundable and non-creditable payment (each a “</w:t>
      </w:r>
      <w:r>
        <w:rPr>
          <w:rFonts w:ascii="Times New Roman" w:hAnsi="Times New Roman"/>
          <w:b/>
          <w:i/>
          <w:sz w:val="20"/>
        </w:rPr>
        <w:t>Sales Milestone Payment</w:t>
      </w:r>
      <w:r>
        <w:rPr>
          <w:rFonts w:ascii="Times New Roman" w:hAnsi="Times New Roman"/>
          <w:sz w:val="20"/>
        </w:rPr>
        <w:t xml:space="preserve">”) to Licensor. For clarity, each of the Sales Milestone Payment shall be payable only once upon the first achievement of the corresponding Sales Milestone Event, and the maximum amount of Sales Milestone Payments payable to Licensor shall be One Billion Eight Hundred Eighty Million dollars ($1,880,000,000). Company shall provide Licensor with written notice of the achievement of each Sales Milestone Event within [***] after the end of the Calendar Quarter in which such Sales Milestone Event has been achieved. Following receipt of such notification, Licensor shall invoice Company for the amount of the applicable Sales Milestone Payment, and Company shall make the corresponding Sales Milestone Payment within [***] after receipt of such invoice.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05"/>
        <w:gridCol w:w="599"/>
        <w:gridCol w:w="2535"/>
      </w:tblGrid>
      <w:tr>
        <w:trPr/>
        <w:tc>
          <w:tcPr>
            <w:tcW w:w="380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r>
      <w:tr>
        <w:trPr/>
        <w:tc>
          <w:tcPr>
            <w:tcW w:w="38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Sales Milestone Event</w:t>
            </w:r>
          </w:p>
        </w:tc>
        <w:tc>
          <w:tcPr>
            <w:tcW w:w="599" w:type="dxa"/>
            <w:tcBorders/>
            <w:vAlign w:val="bottom"/>
          </w:tcPr>
          <w:p>
            <w:pPr>
              <w:pStyle w:val="TableContents"/>
              <w:bidi w:val="0"/>
              <w:spacing w:before="0" w:after="283"/>
              <w:jc w:val="left"/>
              <w:rPr/>
            </w:pPr>
            <w:r>
              <w:rPr/>
              <w:t>  </w:t>
            </w:r>
          </w:p>
        </w:tc>
        <w:tc>
          <w:tcPr>
            <w:tcW w:w="2535" w:type="dxa"/>
            <w:tcBorders>
              <w:bottom w:val="single" w:sz="8" w:space="0" w:color="000000"/>
            </w:tcBorders>
            <w:tcMar>
              <w:bottom w:w="28" w:type="dxa"/>
            </w:tcMar>
            <w:vAlign w:val="bottom"/>
          </w:tcPr>
          <w:p>
            <w:pPr>
              <w:pStyle w:val="TableContents"/>
              <w:bidi w:val="0"/>
              <w:spacing w:before="0" w:after="283"/>
              <w:jc w:val="center"/>
              <w:rPr/>
            </w:pPr>
            <w:r>
              <w:rPr>
                <w:b/>
              </w:rPr>
              <w:t>Sales Milestone Payment</w:t>
            </w:r>
            <w:r>
              <w:rPr/>
              <w:br/>
            </w:r>
            <w:r>
              <w:rPr>
                <w:b/>
              </w:rPr>
              <w:t>(USD)</w:t>
            </w:r>
          </w:p>
        </w:tc>
      </w:tr>
      <w:tr>
        <w:trPr/>
        <w:tc>
          <w:tcPr>
            <w:tcW w:w="38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bidi w:val="0"/>
              <w:spacing w:before="0" w:after="283"/>
              <w:jc w:val="center"/>
              <w:rPr/>
            </w:pPr>
            <w:r>
              <w:rPr/>
              <w:t>[***]</w:t>
            </w:r>
          </w:p>
        </w:tc>
      </w:tr>
      <w:tr>
        <w:trPr/>
        <w:tc>
          <w:tcPr>
            <w:tcW w:w="38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bidi w:val="0"/>
              <w:spacing w:before="0" w:after="283"/>
              <w:jc w:val="center"/>
              <w:rPr/>
            </w:pPr>
            <w:r>
              <w:rPr/>
              <w:t>[***]</w:t>
            </w:r>
          </w:p>
        </w:tc>
      </w:tr>
      <w:tr>
        <w:trPr/>
        <w:tc>
          <w:tcPr>
            <w:tcW w:w="38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pBdr>
                <w:top w:val="single" w:sz="2" w:space="1" w:color="000000"/>
              </w:pBdr>
              <w:bidi w:val="0"/>
              <w:spacing w:before="0" w:after="0"/>
              <w:jc w:val="left"/>
              <w:rPr/>
            </w:pPr>
            <w:r>
              <w:rPr/>
              <w:t> </w:t>
            </w:r>
          </w:p>
        </w:tc>
      </w:tr>
      <w:tr>
        <w:trPr/>
        <w:tc>
          <w:tcPr>
            <w:tcW w:w="38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b/>
              </w:rPr>
            </w:pPr>
            <w:r>
              <w:rPr>
                <w:b/>
              </w:rPr>
              <w:t>$1,880,000,000</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the event that more than one Sales Milestone Events are achieved in a given Calendar Year, Company shall pay Licensor all Sales Milestone Payments associated with the Sales Milestone Events achieved during such Calendar Year.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Royalty Payments to Licensor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Royalty Payments and Rates</w:t>
      </w:r>
      <w:r>
        <w:rPr>
          <w:rFonts w:ascii="Times New Roman" w:hAnsi="Times New Roman"/>
          <w:sz w:val="20"/>
        </w:rPr>
        <w:t xml:space="preserve">. Subject to the remainder of this </w:t>
      </w:r>
      <w:r>
        <w:rPr>
          <w:rFonts w:ascii="Times New Roman" w:hAnsi="Times New Roman"/>
          <w:sz w:val="20"/>
          <w:u w:val="single"/>
        </w:rPr>
        <w:t>Section 7.5</w:t>
      </w:r>
      <w:r>
        <w:rPr>
          <w:rFonts w:ascii="Times New Roman" w:hAnsi="Times New Roman"/>
          <w:sz w:val="20"/>
        </w:rPr>
        <w:t xml:space="preserve">, </w:t>
      </w:r>
      <w:r>
        <w:rPr>
          <w:rFonts w:ascii="Times New Roman" w:hAnsi="Times New Roman"/>
          <w:sz w:val="20"/>
          <w:u w:val="single"/>
        </w:rPr>
        <w:t>Section 7.7</w:t>
      </w:r>
      <w:r>
        <w:rPr>
          <w:rFonts w:ascii="Times New Roman" w:hAnsi="Times New Roman"/>
          <w:sz w:val="20"/>
        </w:rPr>
        <w:t xml:space="preserve"> and </w:t>
      </w:r>
      <w:r>
        <w:rPr>
          <w:rFonts w:ascii="Times New Roman" w:hAnsi="Times New Roman"/>
          <w:sz w:val="20"/>
          <w:u w:val="single"/>
        </w:rPr>
        <w:t>Section 7.8</w:t>
      </w:r>
      <w:r>
        <w:rPr>
          <w:rFonts w:ascii="Times New Roman" w:hAnsi="Times New Roman"/>
          <w:sz w:val="20"/>
        </w:rPr>
        <w:t xml:space="preserve">, on a Licensed Product-by-Licensed Product basis, during the Royalty Term for such Licensed Product in a country, Company shall pay Licensor royalties on aggregate annual Net Sales of such Licensed Product in the Licensed Territory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5"/>
        <w:gridCol w:w="255"/>
        <w:gridCol w:w="103"/>
        <w:gridCol w:w="1254"/>
        <w:gridCol w:w="62"/>
      </w:tblGrid>
      <w:tr>
        <w:trPr/>
        <w:tc>
          <w:tcPr>
            <w:tcW w:w="526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6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Aggregate Annual Net Sales in the Licensed Territory</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per Licensed Product</w:t>
            </w:r>
          </w:p>
        </w:tc>
        <w:tc>
          <w:tcPr>
            <w:tcW w:w="255"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Royalty Rate</w:t>
            </w:r>
          </w:p>
        </w:tc>
        <w:tc>
          <w:tcPr>
            <w:tcW w:w="62"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Royalty Termination Date</w:t>
      </w:r>
      <w:r>
        <w:rPr>
          <w:rFonts w:ascii="Times New Roman" w:hAnsi="Times New Roman"/>
          <w:sz w:val="20"/>
        </w:rPr>
        <w:t xml:space="preserve">. Following expiration of the Royalty Term for a given Licensed Product in a country in the Licensed Territory, (i) no further royalties shall be payable in respect of sales of such Licensed Product in such country, (ii) the sales of such Licensed Product in such country will be excluded from Net Sales for purposes of determining the royalties due hereunder (including that Net Sales of such Licensed Product in such country shall not be considered when determining the allocation of Net Sales among the royalty tiers set forth above) and Sales Milestone Events, and (iii) the licenses granted to Company under </w:t>
      </w:r>
      <w:r>
        <w:rPr>
          <w:rFonts w:ascii="Times New Roman" w:hAnsi="Times New Roman"/>
          <w:sz w:val="20"/>
          <w:u w:val="single"/>
        </w:rPr>
        <w:t>Section 2.1</w:t>
      </w:r>
      <w:r>
        <w:rPr>
          <w:rFonts w:ascii="Times New Roman" w:hAnsi="Times New Roman"/>
          <w:sz w:val="20"/>
        </w:rPr>
        <w:t xml:space="preserve"> with respect to such Licensed Product in such country shall automatically become fully paid-up, perpetual, irrevocable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Royalty Reductions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Valid Claim Expiration</w:t>
      </w:r>
      <w:r>
        <w:rPr>
          <w:rFonts w:ascii="Times New Roman" w:hAnsi="Times New Roman"/>
          <w:sz w:val="20"/>
        </w:rPr>
        <w:t xml:space="preserve">. If, in any [***] during the Royalty Term for a Licensed Product in a country in the Licensed Territory, (x) there are no Valid Claims within the Licensed Patents that Cover [***] such Licensed Product in such country, then the royalty rates under </w:t>
      </w:r>
      <w:r>
        <w:rPr>
          <w:rFonts w:ascii="Times New Roman" w:hAnsi="Times New Roman"/>
          <w:sz w:val="20"/>
          <w:u w:val="single"/>
        </w:rPr>
        <w:t>Section 7.5(a)</w:t>
      </w:r>
      <w:r>
        <w:rPr>
          <w:rFonts w:ascii="Times New Roman" w:hAnsi="Times New Roman"/>
          <w:sz w:val="20"/>
        </w:rPr>
        <w:t xml:space="preserve"> shall be reduced by [***] in such [***] for such Licensed Product in such country, and (y) there are no Valid Claims within the Licensed Patents that Cover [***] of such Licensed Product in such country (but there are Valid Claims within the Licensed Patents that Cover the method of making such Licensed Product in such country), then the royalty rates under </w:t>
      </w:r>
      <w:r>
        <w:rPr>
          <w:rFonts w:ascii="Times New Roman" w:hAnsi="Times New Roman"/>
          <w:sz w:val="20"/>
          <w:u w:val="single"/>
        </w:rPr>
        <w:t>Section 7.5(a)</w:t>
      </w:r>
      <w:r>
        <w:rPr>
          <w:rFonts w:ascii="Times New Roman" w:hAnsi="Times New Roman"/>
          <w:sz w:val="20"/>
        </w:rPr>
        <w:t xml:space="preserve"> shall be reduced by [***] in such [***] for such Licensed Product in such country. For clarity, the reductions described in clauses (x) and (y) above shall not apply cumulatively.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Biosimilar Competition</w:t>
      </w:r>
      <w:r>
        <w:rPr>
          <w:rFonts w:ascii="Times New Roman" w:hAnsi="Times New Roman"/>
          <w:sz w:val="20"/>
        </w:rPr>
        <w:t xml:space="preserve">. If, in any [***] during the Royalty Term for a Licensed Product in a country in the Licensed Territory, a Biosimilar Product is sold by a Third Party in such country for a Licensed Product and such Biosimilar Product constitutes [***] or more [***] sold in such country during such [***] (as published by [***]), then the royalty rates under </w:t>
      </w:r>
      <w:r>
        <w:rPr>
          <w:rFonts w:ascii="Times New Roman" w:hAnsi="Times New Roman"/>
          <w:sz w:val="20"/>
          <w:u w:val="single"/>
        </w:rPr>
        <w:t>Section 7.5(a)</w:t>
      </w:r>
      <w:r>
        <w:rPr>
          <w:rFonts w:ascii="Times New Roman" w:hAnsi="Times New Roman"/>
          <w:sz w:val="20"/>
        </w:rPr>
        <w:t xml:space="preserve"> for such Licensed Product shall be reduced by [***] in such country for the remainder of the Royalty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Inflation Reduction Act Royalty Adjustments/MFN Pricing.</w:t>
      </w:r>
      <w:r>
        <w:rPr>
          <w:rFonts w:ascii="Times New Roman" w:hAnsi="Times New Roman"/>
          <w:sz w:val="20"/>
        </w:rPr>
        <w:t xml:space="preserve"> If, during the Royalty Term for a Licensed Product, such Licensed Product is designated as a “selected drug” by the Secretary of the U.S. Department of Health and Human Services, and Company (or its Affiliate or Sublicensee) is required to negotiate a maximum fair price that shall apply to sales of such Licensed Product during the price applicability period as specified in the Inflation Reduction Act, or provisions of United States’ Applicable Laws that restrict the price chargeable in the United States (or any state thereof) with reference to prices charged in other countries, then the applicable royalty rates set forth in </w:t>
      </w:r>
      <w:r>
        <w:rPr>
          <w:rFonts w:ascii="Times New Roman" w:hAnsi="Times New Roman"/>
          <w:sz w:val="20"/>
          <w:u w:val="single"/>
        </w:rPr>
        <w:t>Section 7.5(a)</w:t>
      </w:r>
      <w:r>
        <w:rPr>
          <w:rFonts w:ascii="Times New Roman" w:hAnsi="Times New Roman"/>
          <w:sz w:val="20"/>
        </w:rPr>
        <w:t xml:space="preserve"> for the Net Sales of such Licensed Product in the United States shall be reduced by a [***] by which the price of such Licensed Product is decreased as a result of such selection and the ensuing price negotiation pursuant to the Inflation Reduction Act or the United States’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Compulsory Licenses for Licensed Product</w:t>
      </w:r>
      <w:r>
        <w:rPr>
          <w:rFonts w:ascii="Times New Roman" w:hAnsi="Times New Roman"/>
          <w:sz w:val="20"/>
        </w:rPr>
        <w:t xml:space="preserve">. In the event that a Governmental Authority requires Company or any of its Affiliates or Sublicensees to grant a compulsory license to a Third Party that permits such Third Party to make, sell, or otherwise commercially exploit a Licensed Product in a country in the Licensed Territory, then the applicable royalty rates set forth in </w:t>
      </w:r>
      <w:r>
        <w:rPr>
          <w:rFonts w:ascii="Times New Roman" w:hAnsi="Times New Roman"/>
          <w:sz w:val="20"/>
          <w:u w:val="single"/>
        </w:rPr>
        <w:t>Section 7.5(a)</w:t>
      </w:r>
      <w:r>
        <w:rPr>
          <w:rFonts w:ascii="Times New Roman" w:hAnsi="Times New Roman"/>
          <w:sz w:val="20"/>
        </w:rPr>
        <w:t xml:space="preserve"> for the Net Sales of such Licensed Product sold in that country by such compulsory licensee shall be reduced to [***].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b/>
          <w:sz w:val="20"/>
        </w:rPr>
        <w:t>Royalty Reports and Payments</w:t>
      </w:r>
      <w:r>
        <w:rPr>
          <w:rFonts w:ascii="Times New Roman" w:hAnsi="Times New Roman"/>
          <w:sz w:val="20"/>
        </w:rPr>
        <w:t xml:space="preserve">. Within [***] after the end of each [***], commencing with the [***] of the First Commercial Sale of the first Licensed Product in the Licensed Territory, Company shall provide Licensor with a report that contains the following information for the applicable [***], on a Licensed Product-by-Licensed Product basis: (i) Net Sales for each Licensed Product on a Licensed Product-by-Licensed Product basis, (ii) calculation of the Net Sales during such [***] showing each deduction permitted under </w:t>
      </w:r>
      <w:r>
        <w:rPr>
          <w:rFonts w:ascii="Times New Roman" w:hAnsi="Times New Roman"/>
          <w:sz w:val="20"/>
          <w:u w:val="single"/>
        </w:rPr>
        <w:t>Section 1.64</w:t>
      </w:r>
      <w:r>
        <w:rPr>
          <w:rFonts w:ascii="Times New Roman" w:hAnsi="Times New Roman"/>
          <w:sz w:val="20"/>
        </w:rPr>
        <w:t xml:space="preserve">, and (iii) the royalties payable under this </w:t>
      </w:r>
      <w:r>
        <w:rPr>
          <w:rFonts w:ascii="Times New Roman" w:hAnsi="Times New Roman"/>
          <w:sz w:val="20"/>
          <w:u w:val="single"/>
        </w:rPr>
        <w:t>Section 7.5</w:t>
      </w:r>
      <w:r>
        <w:rPr>
          <w:rFonts w:ascii="Times New Roman" w:hAnsi="Times New Roman"/>
          <w:sz w:val="20"/>
        </w:rPr>
        <w:t xml:space="preserve"> (including [***] detail for any deductions to such royalties taken pursuant to </w:t>
      </w:r>
      <w:r>
        <w:rPr>
          <w:rFonts w:ascii="Times New Roman" w:hAnsi="Times New Roman"/>
          <w:sz w:val="20"/>
          <w:u w:val="single"/>
        </w:rPr>
        <w:t>Section 7.5(c)</w:t>
      </w:r>
      <w:r>
        <w:rPr>
          <w:rFonts w:ascii="Times New Roman" w:hAnsi="Times New Roman"/>
          <w:sz w:val="20"/>
        </w:rPr>
        <w:t xml:space="preserve"> and </w:t>
      </w:r>
      <w:r>
        <w:rPr>
          <w:rFonts w:ascii="Times New Roman" w:hAnsi="Times New Roman"/>
          <w:sz w:val="20"/>
          <w:u w:val="single"/>
        </w:rPr>
        <w:t>Section 7.7</w:t>
      </w:r>
      <w:r>
        <w:rPr>
          <w:rFonts w:ascii="Times New Roman" w:hAnsi="Times New Roman"/>
          <w:sz w:val="20"/>
        </w:rPr>
        <w:t xml:space="preserve">, subject in each case to </w:t>
      </w:r>
      <w:r>
        <w:rPr>
          <w:rFonts w:ascii="Times New Roman" w:hAnsi="Times New Roman"/>
          <w:sz w:val="20"/>
          <w:u w:val="single"/>
        </w:rPr>
        <w:t>Section 7.8</w:t>
      </w:r>
      <w:r>
        <w:rPr>
          <w:rFonts w:ascii="Times New Roman" w:hAnsi="Times New Roman"/>
          <w:sz w:val="20"/>
        </w:rPr>
        <w:t xml:space="preserve">) for such [***]. Following receipt of such reports, Licensor shall invoice Company for the amount of the applicable royalty payments, and Company shall make the royalty payments within [***] after receipt of such invoice.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b/>
          <w:sz w:val="20"/>
        </w:rPr>
        <w:t>Third Party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1.20</w:t>
      </w:r>
      <w:r>
        <w:rPr>
          <w:rFonts w:ascii="Times New Roman" w:hAnsi="Times New Roman"/>
          <w:sz w:val="20"/>
        </w:rPr>
        <w:t xml:space="preserve">, each Party shall be solely responsible for making all payments owed by it to Third Parties under any agreement entered into by such Party (or its Affiliates) and the Third Parties, and neither Party shall have any obligation to make any such payments on behalf of the other Party. </w:t>
      </w:r>
    </w:p>
    <w:p>
      <w:pPr>
        <w:pStyle w:val="TextBody"/>
        <w:bidi w:val="0"/>
        <w:spacing w:before="240" w:after="0"/>
        <w:jc w:val="left"/>
        <w:rPr>
          <w:rFonts w:ascii="Times New Roman" w:hAnsi="Times New Roman"/>
          <w:sz w:val="20"/>
        </w:rPr>
      </w:pPr>
      <w:r>
        <w:rPr>
          <w:rFonts w:ascii="Times New Roman" w:hAnsi="Times New Roman"/>
          <w:sz w:val="20"/>
        </w:rPr>
        <w:t>(b) If Company (or any of its Affiliates or Sublicensees) (i) enters into any agreement with a Third Party on arm’s length terms (including any settlement agreement) to obtain rights under any Patent Rights (including any Know-How licensed therewith that is necessary to Exploit the Licensed Therapeutic or Licensed Products), that are necessary to (A) practice, have practiced, use, have used, develop, have developed, manufacture, have manufactured, commercialize, have commercialized, or otherwise exploit or have exploited the Licensed Technology as provided by Licensor as of the Effective Date or (B) Exploit the Licensed Therapeutic or Licensed Products, or (ii) is subject to a final court or other binding order or ruling that the Exploitation of any Licensed Product by or on behalf of Company, its Affiliates or its Sublicensees under this Agreement infringes, misappropriates or otherwise violates any Third Party Patent Rights (each of (i) and (ii), a “</w:t>
      </w:r>
      <w:r>
        <w:rPr>
          <w:rFonts w:ascii="Times New Roman" w:hAnsi="Times New Roman"/>
          <w:b/>
          <w:i/>
          <w:sz w:val="20"/>
        </w:rPr>
        <w:t>Third Party Obligation</w:t>
      </w:r>
      <w:r>
        <w:rPr>
          <w:rFonts w:ascii="Times New Roman" w:hAnsi="Times New Roman"/>
          <w:sz w:val="20"/>
        </w:rPr>
        <w:t xml:space="preserve">”), then, subject to </w:t>
      </w:r>
      <w:r>
        <w:rPr>
          <w:rFonts w:ascii="Times New Roman" w:hAnsi="Times New Roman"/>
          <w:sz w:val="20"/>
          <w:u w:val="single"/>
        </w:rPr>
        <w:t>Section 7.8</w:t>
      </w:r>
      <w:r>
        <w:rPr>
          <w:rFonts w:ascii="Times New Roman" w:hAnsi="Times New Roman"/>
          <w:sz w:val="20"/>
        </w:rPr>
        <w:t xml:space="preserve">, Company may offset [***] of the amount [***] made by Company, its Affiliates or Sublicensees pursuant to any Third Party Obligations to the extent related to the Exploitation of such Licensed Product [***], against any amount payable to Licensor under </w:t>
      </w:r>
      <w:r>
        <w:rPr>
          <w:rFonts w:ascii="Times New Roman" w:hAnsi="Times New Roman"/>
          <w:sz w:val="20"/>
          <w:u w:val="single"/>
        </w:rPr>
        <w:t>Section 7.5(a)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7.8 </w:t>
      </w:r>
      <w:r>
        <w:rPr>
          <w:rFonts w:ascii="Times New Roman" w:hAnsi="Times New Roman"/>
          <w:b/>
          <w:sz w:val="20"/>
        </w:rPr>
        <w:t>Floor on Royalty Reductions</w:t>
      </w:r>
      <w:r>
        <w:rPr>
          <w:rFonts w:ascii="Times New Roman" w:hAnsi="Times New Roman"/>
          <w:sz w:val="20"/>
        </w:rPr>
        <w:t xml:space="preserve">. The royalty reductions and offsets set forth in each of subclauses (i) through (iv) of </w:t>
      </w:r>
      <w:r>
        <w:rPr>
          <w:rFonts w:ascii="Times New Roman" w:hAnsi="Times New Roman"/>
          <w:sz w:val="20"/>
          <w:u w:val="single"/>
        </w:rPr>
        <w:t>Section 7.5(c)</w:t>
      </w:r>
      <w:r>
        <w:rPr>
          <w:rFonts w:ascii="Times New Roman" w:hAnsi="Times New Roman"/>
          <w:sz w:val="20"/>
        </w:rPr>
        <w:t xml:space="preserve"> and in </w:t>
      </w:r>
      <w:r>
        <w:rPr>
          <w:rFonts w:ascii="Times New Roman" w:hAnsi="Times New Roman"/>
          <w:sz w:val="20"/>
          <w:u w:val="single"/>
        </w:rPr>
        <w:t>Section 7.7(b)</w:t>
      </w:r>
      <w:r>
        <w:rPr>
          <w:rFonts w:ascii="Times New Roman" w:hAnsi="Times New Roman"/>
          <w:sz w:val="20"/>
        </w:rPr>
        <w:t xml:space="preserve"> shall be cumulative during any [***] for each applicable Licensed Product in the applicable country in the Licensed Territory;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 provision to the contrary in this Agreement, in no event shall the royalties payable to Licensor in accordance with </w:t>
      </w:r>
      <w:r>
        <w:rPr>
          <w:rFonts w:ascii="Times New Roman" w:hAnsi="Times New Roman"/>
          <w:sz w:val="20"/>
          <w:u w:val="single"/>
        </w:rPr>
        <w:t>Section 7.5(a)</w:t>
      </w:r>
      <w:r>
        <w:rPr>
          <w:rFonts w:ascii="Times New Roman" w:hAnsi="Times New Roman"/>
          <w:sz w:val="20"/>
        </w:rPr>
        <w:t xml:space="preserve"> in any country in any [***] for any Licensed Product be reduced, pursuant to </w:t>
      </w:r>
      <w:r>
        <w:rPr>
          <w:rFonts w:ascii="Times New Roman" w:hAnsi="Times New Roman"/>
          <w:sz w:val="20"/>
          <w:u w:val="single"/>
        </w:rPr>
        <w:t>Section 7.5(c)</w:t>
      </w:r>
      <w:r>
        <w:rPr>
          <w:rFonts w:ascii="Times New Roman" w:hAnsi="Times New Roman"/>
          <w:sz w:val="20"/>
        </w:rPr>
        <w:t xml:space="preserve"> or </w:t>
      </w:r>
      <w:r>
        <w:rPr>
          <w:rFonts w:ascii="Times New Roman" w:hAnsi="Times New Roman"/>
          <w:sz w:val="20"/>
          <w:u w:val="single"/>
        </w:rPr>
        <w:t>Section 7.7</w:t>
      </w:r>
      <w:r>
        <w:rPr>
          <w:rFonts w:ascii="Times New Roman" w:hAnsi="Times New Roman"/>
          <w:sz w:val="20"/>
        </w:rPr>
        <w:t xml:space="preserve"> to less than [***] of the amount that would otherwise be payable to Licensor in accordance with </w:t>
      </w:r>
      <w:r>
        <w:rPr>
          <w:rFonts w:ascii="Times New Roman" w:hAnsi="Times New Roman"/>
          <w:sz w:val="20"/>
          <w:u w:val="single"/>
        </w:rPr>
        <w:t>Section 7.5(a)</w:t>
      </w:r>
      <w:r>
        <w:rPr>
          <w:rFonts w:ascii="Times New Roman" w:hAnsi="Times New Roman"/>
          <w:sz w:val="20"/>
        </w:rPr>
        <w:t xml:space="preserve"> in such country in such [***] for such Licensed Product (the “</w:t>
      </w:r>
      <w:r>
        <w:rPr>
          <w:rFonts w:ascii="Times New Roman" w:hAnsi="Times New Roman"/>
          <w:b/>
          <w:i/>
          <w:sz w:val="20"/>
        </w:rPr>
        <w:t>Royalty Floor</w:t>
      </w:r>
      <w:r>
        <w:rPr>
          <w:rFonts w:ascii="Times New Roman" w:hAnsi="Times New Roman"/>
          <w:sz w:val="20"/>
        </w:rPr>
        <w:t xml:space="preserve">”). If Company is precluded from taking a reduction or offset in a [***] by operation of the Royalty Floor, then Company shall be entitled to carry forward the amount of the reduction or offset that Company was unable to take during such [***] with respect to such Licensed Product and apply such amount to future [***] for such Licensed Product (subject to the Royalty Floor) until Company has taken the full amount of such reduction.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b/>
          <w:sz w:val="20"/>
        </w:rPr>
        <w:t>Downstream Transaction Revenue Share</w:t>
      </w:r>
      <w:r>
        <w:rPr>
          <w:rFonts w:ascii="Times New Roman" w:hAnsi="Times New Roman"/>
          <w:sz w:val="20"/>
        </w:rPr>
        <w:t xml:space="preserve">. If Company (a) enters into a sublicense agreement with a Sublicensee pursuant to </w:t>
      </w:r>
      <w:r>
        <w:rPr>
          <w:rFonts w:ascii="Times New Roman" w:hAnsi="Times New Roman"/>
          <w:sz w:val="20"/>
          <w:u w:val="single"/>
        </w:rPr>
        <w:t>Section 2.2</w:t>
      </w:r>
      <w:r>
        <w:rPr>
          <w:rFonts w:ascii="Times New Roman" w:hAnsi="Times New Roman"/>
          <w:sz w:val="20"/>
        </w:rPr>
        <w:t xml:space="preserve"> or (b) closes a Change of Control transaction, excluding transactions that are financing in nature such as private financings, IPO, or a reverse merger pursuant to which Company’s shares become publicly traded, in each case (a) and (b), prior to the events listed in the table below, Company shall pay to Licensor the corresponding share of all Transaction Revenue actually received by or for Company under such transaction within [***] of the date that such consideration is received by Company: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75"/>
        <w:gridCol w:w="507"/>
        <w:gridCol w:w="2757"/>
      </w:tblGrid>
      <w:tr>
        <w:trPr/>
        <w:tc>
          <w:tcPr>
            <w:tcW w:w="3675"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36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Downstream Transaction Timing</w:t>
            </w:r>
          </w:p>
        </w:tc>
        <w:tc>
          <w:tcPr>
            <w:tcW w:w="507" w:type="dxa"/>
            <w:tcBorders/>
            <w:vAlign w:val="bottom"/>
          </w:tcPr>
          <w:p>
            <w:pPr>
              <w:pStyle w:val="TableContents"/>
              <w:bidi w:val="0"/>
              <w:spacing w:before="0" w:after="283"/>
              <w:jc w:val="left"/>
              <w:rPr/>
            </w:pPr>
            <w:r>
              <w:rPr/>
              <w:t>  </w:t>
            </w:r>
          </w:p>
        </w:tc>
        <w:tc>
          <w:tcPr>
            <w:tcW w:w="2757" w:type="dxa"/>
            <w:tcBorders>
              <w:bottom w:val="single" w:sz="8" w:space="0" w:color="000000"/>
            </w:tcBorders>
            <w:tcMar>
              <w:bottom w:w="28" w:type="dxa"/>
            </w:tcMar>
            <w:vAlign w:val="bottom"/>
          </w:tcPr>
          <w:p>
            <w:pPr>
              <w:pStyle w:val="TableContents"/>
              <w:bidi w:val="0"/>
              <w:spacing w:before="0" w:after="283"/>
              <w:jc w:val="center"/>
              <w:rPr/>
            </w:pPr>
            <w:r>
              <w:rPr>
                <w:b/>
              </w:rPr>
              <w:t>Downstream Transaction</w:t>
            </w:r>
            <w:r>
              <w:rPr/>
              <w:br/>
            </w:r>
            <w:r>
              <w:rPr>
                <w:b/>
              </w:rPr>
              <w:t>Revenue Share Percentage</w:t>
            </w:r>
          </w:p>
        </w:tc>
      </w:tr>
      <w:tr>
        <w:trPr/>
        <w:tc>
          <w:tcPr>
            <w:tcW w:w="3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bidi w:val="0"/>
              <w:spacing w:before="0" w:after="283"/>
              <w:jc w:val="left"/>
              <w:rPr/>
            </w:pPr>
            <w:r>
              <w:rPr/>
              <w:t>  </w:t>
            </w:r>
          </w:p>
        </w:tc>
        <w:tc>
          <w:tcPr>
            <w:tcW w:w="2757" w:type="dxa"/>
            <w:tcBorders/>
            <w:shd w:fill="CCEEFF" w:val="clear"/>
            <w:vAlign w:val="bottom"/>
          </w:tcPr>
          <w:p>
            <w:pPr>
              <w:pStyle w:val="TableContents"/>
              <w:bidi w:val="0"/>
              <w:spacing w:before="0" w:after="283"/>
              <w:jc w:val="center"/>
              <w:rPr/>
            </w:pPr>
            <w:r>
              <w:rPr/>
              <w:t>[***]</w:t>
            </w:r>
          </w:p>
        </w:tc>
      </w:tr>
      <w:tr>
        <w:trPr/>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7"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w:t>
            </w:r>
          </w:p>
        </w:tc>
      </w:tr>
      <w:tr>
        <w:trPr/>
        <w:tc>
          <w:tcPr>
            <w:tcW w:w="3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bidi w:val="0"/>
              <w:spacing w:before="0" w:after="283"/>
              <w:jc w:val="left"/>
              <w:rPr/>
            </w:pPr>
            <w:r>
              <w:rPr/>
              <w:t>  </w:t>
            </w:r>
          </w:p>
        </w:tc>
        <w:tc>
          <w:tcPr>
            <w:tcW w:w="2757" w:type="dxa"/>
            <w:tcBorders/>
            <w:shd w:fill="CCEEFF" w:val="clear"/>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b/>
          <w:sz w:val="20"/>
        </w:rPr>
        <w:t>Payment Method, Currency, and Exchange Rate</w:t>
      </w:r>
      <w:r>
        <w:rPr>
          <w:rFonts w:ascii="Times New Roman" w:hAnsi="Times New Roman"/>
          <w:sz w:val="20"/>
        </w:rPr>
        <w:t xml:space="preserve">. All payments to be made by Company to Licensor under this Agreement shall be made in Dollars by electronic funds transfer in immediately available funds to a bank account designated in writing by Licensor. Except as otherwise expressly provided herein, any payment shall be made by the paying Party to the other Party within [***] after receiving the invoice for such payment. For the purposes of calculating any sums due under this Agreement, Company shall convert any amount expressed in a foreign currency into Dollar equivalents, calculated using the average of the applicable currency conversion rate as published each day by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Wall Street Journal</w:t>
      </w:r>
      <w:r>
        <w:rPr>
          <w:rFonts w:ascii="Times New Roman" w:hAnsi="Times New Roman"/>
          <w:sz w:val="20"/>
        </w:rPr>
        <w:t xml:space="preserve">, (a) for sales, during the [***] in which such sales occurred or (b) for all other payments payable under this Agreement, during the [***] period ending on the day the payment obligation accrued. In the event that the “applicable currency conversion rate” as published by </w:t>
      </w:r>
      <w:r>
        <w:rPr>
          <w:rFonts w:ascii="Times New Roman" w:hAnsi="Times New Roman"/>
          <w:i/>
          <w:sz w:val="20"/>
        </w:rPr>
        <w:t>The Wall Street Journal</w:t>
      </w:r>
      <w:r>
        <w:rPr>
          <w:rFonts w:ascii="Times New Roman" w:hAnsi="Times New Roman"/>
          <w:sz w:val="20"/>
        </w:rPr>
        <w:t xml:space="preserve"> is discontinued or no longer available, then the Parties shall mutually agree upon an alternate currency conversion index to be used for purposes of this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b/>
          <w:sz w:val="20"/>
        </w:rPr>
        <w:t>Disputed Amounts.</w:t>
      </w:r>
      <w:r>
        <w:rPr>
          <w:rFonts w:ascii="Times New Roman" w:hAnsi="Times New Roman"/>
          <w:sz w:val="20"/>
        </w:rPr>
        <w:t xml:space="preserve"> If Company disputes [***] any portion of an invoice for amounts to be reimbursed or paid by Company hereunder, Company shall [***] notify Licensor thereof, and the Parties shall use [***] to resolve such dispute expediently.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7.12 </w:t>
      </w:r>
      <w:r>
        <w:rPr>
          <w:rFonts w:ascii="Times New Roman" w:hAnsi="Times New Roman"/>
          <w:b/>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Responsibility</w:t>
      </w:r>
      <w:r>
        <w:rPr>
          <w:rFonts w:ascii="Times New Roman" w:hAnsi="Times New Roman"/>
          <w:sz w:val="20"/>
        </w:rPr>
        <w:t xml:space="preserve">. All payments under or in connection with this Agreement shall be inclusive of any Taxes and [***] shall be responsible for and shall bear, pay or set-off [***] Taxes assessed by a tax or other authority except as otherwise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Withholding Tax</w:t>
      </w:r>
      <w:r>
        <w:rPr>
          <w:rFonts w:ascii="Times New Roman" w:hAnsi="Times New Roman"/>
          <w:sz w:val="20"/>
        </w:rPr>
        <w:t xml:space="preserve">. If Applicable Law requires withholding by Company or its Affiliates of any Taxes imposed upon Licensor or its Affiliates on account of any royalties and other payments paid under this Agreement for the benefit of Licensor or its Affiliates, such Taxes shall be retained by Company or its Affiliates as required by such Applicable Law from such remittable royalty and other payment and shall be timely remitted by Company or its Affiliates to the proper Tax authorities on behalf of Licensor or its Affiliates. Official receipts of the remittance by Company or its Affiliates of any such withholding Tax shall be [***] secured and sent by Company or its Affiliates to Licensor or its Affiliates as evidence of such payment. The Parties shall cooperate and exercise [***] to ensure that any withholding Taxes imposed on Licensor or its Affiliates are reduced as far as possible under the provisions of any Applicable Law, including any applicable double taxation agreement or treaty. Notwithstanding the foregoing, the Parties acknowledge and agree that if Company’s redomiciliation to (or assignment of this Agreement to an entity resident for purposes of an applicable Tax treaty in) a jurisdiction other than the jurisdiction in which Company is resident as of the Effective Date (but not, for the avoidance of doubt, a change in Applicable Law) leads to the imposition of withholding Tax liability on Licensor that would not have been imposed in the absence of such action or in an increase in such liability above the liability that would have been imposed in the absence of such action, then Company will reimburse Licensor for any such additional or increased withholding Tax liability (except to the extent that Licensor can reclaim it, </w:t>
      </w:r>
      <w:r>
        <w:rPr>
          <w:rFonts w:ascii="Times New Roman" w:hAnsi="Times New Roman"/>
          <w:sz w:val="20"/>
          <w:u w:val="single"/>
        </w:rPr>
        <w:t>provided</w:t>
      </w:r>
      <w:r>
        <w:rPr>
          <w:rFonts w:ascii="Times New Roman" w:hAnsi="Times New Roman"/>
          <w:sz w:val="20"/>
        </w:rPr>
        <w:t xml:space="preserve"> that Licensor will be reimbursed for any reasonable out of pocket costs incurred in the reclaim).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b/>
          <w:sz w:val="20"/>
        </w:rPr>
        <w:t>Financial Audits</w:t>
      </w:r>
      <w:r>
        <w:rPr>
          <w:rFonts w:ascii="Times New Roman" w:hAnsi="Times New Roman"/>
          <w:sz w:val="20"/>
        </w:rPr>
        <w:t xml:space="preserve">. Company shall keep (and shall cause its Affiliates and Sublicensees to keep) complete and accurate records pertaining to the sale or other disposition of Licensed Products in [***] detail to permit Licensor to confirm the accuracy of all milestones, royalty and Transaction Revenue payments reported, for at least [***] following the end of the [***] to which such records pertain (or for such longer period as may be required by Applicable Law). Licensor shall have the right to cause an independent, certified public accountant of nationally recognized standing and [***] acceptable to Company (the “Auditor”) to audit such records solely to confirm Net Sales, milestones, royalty and Transaction Revenue payments for a period covering not more than the preceding [***], provided that such audits may not be performed more than [***] and [***], except for [***]. Such audits shall be performed during normal business hours upon at least [***] notice to Company. The Auditor will execute a written confidentiality agreement that is acceptable to Company with Company and will disclose to Licensor only such information as is [***] necessary to provide Licensor with information regarding any actual or potential discrepancies between amounts reported and amounts actually paid or payable under this Agreement. The report of the Auditor will include the methodology and calculations used to determine the results, will be delivered to Licensor and Company at the same time, and will be final [***] after delivery to both Parties, it being understood that either Party will have the right during such [***] period to discuss the report with the Auditor. Any disputes with respect to the findings of such Auditor may be referred by either Party to the dispute resolution procedure set forth in Article 13 within [***] following the delivery of the Auditor’s report. Licensor shall bear the full cost of such audit unless the report of the Auditor discloses an underpayment by Company of more than [***] of the amount due for any [***], in which case Company shall bear the full cost of such audit. Company shall pay the amount of any underpayment disclosed in any undisputed Auditor’s report, together with any interest owed thereon within [***] after delivery to the Parties of the final Auditor’s report. If such final Auditor’s report discloses an overpayment by Company of the amounts payable hereunder, Company shall have the right to offset such overpayment against future payments owed to Licensor under this Agreement following the audit in question. Any disclosures or reports disclosed to Licensor under this Section 7.13 shall be Company’s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7.14 </w:t>
      </w:r>
      <w:r>
        <w:rPr>
          <w:rFonts w:ascii="Times New Roman" w:hAnsi="Times New Roman"/>
          <w:b/>
          <w:sz w:val="20"/>
        </w:rPr>
        <w:t>Interes</w:t>
      </w:r>
      <w:r>
        <w:rPr>
          <w:rFonts w:ascii="Times New Roman" w:hAnsi="Times New Roman"/>
          <w:sz w:val="20"/>
        </w:rPr>
        <w:t xml:space="preserve">t. Any payments or portions due under this Agreement that are not paid on the date such payments are due under this Agreement will bear interest at a rate equal to the lesser of: (a) [***]; or (b)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CONFIDENTIALITY; PUBLICATION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rPr>
        <w:t>Confidential Information</w:t>
      </w:r>
      <w:r>
        <w:rPr>
          <w:rFonts w:ascii="Times New Roman" w:hAnsi="Times New Roman"/>
          <w:sz w:val="20"/>
        </w:rPr>
        <w:t>. “</w:t>
      </w:r>
      <w:r>
        <w:rPr>
          <w:rFonts w:ascii="Times New Roman" w:hAnsi="Times New Roman"/>
          <w:b/>
          <w:i/>
          <w:sz w:val="20"/>
        </w:rPr>
        <w:t>Confidential Information</w:t>
      </w:r>
      <w:r>
        <w:rPr>
          <w:rFonts w:ascii="Times New Roman" w:hAnsi="Times New Roman"/>
          <w:sz w:val="20"/>
        </w:rPr>
        <w:t>” means all non-public Know-How or other information, including proprietary materials or information, transferred, disclosed or otherwise made available by or on behalf of a Party (the “</w:t>
      </w:r>
      <w:r>
        <w:rPr>
          <w:rFonts w:ascii="Times New Roman" w:hAnsi="Times New Roman"/>
          <w:b/>
          <w:i/>
          <w:sz w:val="20"/>
        </w:rPr>
        <w:t>Disclosing Party</w:t>
      </w:r>
      <w:r>
        <w:rPr>
          <w:rFonts w:ascii="Times New Roman" w:hAnsi="Times New Roman"/>
          <w:sz w:val="20"/>
        </w:rPr>
        <w:t>”) to the other Party or its representatives (the “</w:t>
      </w:r>
      <w:r>
        <w:rPr>
          <w:rFonts w:ascii="Times New Roman" w:hAnsi="Times New Roman"/>
          <w:b/>
          <w:i/>
          <w:sz w:val="20"/>
        </w:rPr>
        <w:t>Receiving Party</w:t>
      </w:r>
      <w:r>
        <w:rPr>
          <w:rFonts w:ascii="Times New Roman" w:hAnsi="Times New Roman"/>
          <w:sz w:val="20"/>
        </w:rPr>
        <w:t xml:space="preserve">”) prior to, on or after the Effective Date, whether or not patentable and whether or not disclosed in written, oral graphical, machine-readable, electronic or other form or otherwise observed by the Receiving Party, and whether or not such information is marked as confidential or proprietary. It is understood and agreed by the Parties that the terms and conditions of this Agreement and any Licensed Know-How will be considered Confidential Information of both Parties and kept confidential by each of the Parties as set forth in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rPr>
        <w:t>Non-Disclosure and Non-Use Obligation</w:t>
      </w:r>
      <w:r>
        <w:rPr>
          <w:rFonts w:ascii="Times New Roman" w:hAnsi="Times New Roman"/>
          <w:sz w:val="20"/>
        </w:rPr>
        <w:t xml:space="preserve">. Except as otherwise expressly set forth herein, the Receiving Party shall keep the Confidential Information of the Disclosing Party confidential using at least the same degree of care with which the Receiving Party holds its own confidential information, but in no event less than a [***] degree of care, and shall not (a) disclose such Confidential Information to any person or entity without the [***] approval of the Disclosing Party, except, solely to the extent necessary to exercise its rights or perform its obligations under this Agreement, to its employees, Affiliates, actual or </w:t>
      </w:r>
      <w:r>
        <w:rPr>
          <w:rFonts w:ascii="Times New Roman" w:hAnsi="Times New Roman"/>
          <w:i/>
          <w:sz w:val="20"/>
        </w:rPr>
        <w:t>bona fide</w:t>
      </w:r>
      <w:r>
        <w:rPr>
          <w:rFonts w:ascii="Times New Roman" w:hAnsi="Times New Roman"/>
          <w:sz w:val="20"/>
        </w:rPr>
        <w:t xml:space="preserve"> potential Sublicensees (with respect to Company) and external attorneys, independent accountants or financial advisors, contractors, consultants or agents who have a need to know such Confidential Information, all of whom shall be bound by confidentiality and non-use obligations similar to the provisions of this </w:t>
      </w:r>
      <w:r>
        <w:rPr>
          <w:rFonts w:ascii="Times New Roman" w:hAnsi="Times New Roman"/>
          <w:sz w:val="20"/>
          <w:u w:val="single"/>
        </w:rPr>
        <w:t>Article 8</w:t>
      </w:r>
      <w:r>
        <w:rPr>
          <w:rFonts w:ascii="Times New Roman" w:hAnsi="Times New Roman"/>
          <w:sz w:val="20"/>
        </w:rPr>
        <w:t xml:space="preserve"> (but of shorter duration if customary) and for whose compliance herewith the Disclosing Party will be responsible, or (b) use such Confidential Information for any purpose other than for the purposes contemplated by this Agreement. The Receiving Party will use [***] efforts to cause the foregoing Persons to comply with the restrictions on use and disclosure set forth in this </w:t>
      </w:r>
      <w:r>
        <w:rPr>
          <w:rFonts w:ascii="Times New Roman" w:hAnsi="Times New Roman"/>
          <w:sz w:val="20"/>
          <w:u w:val="single"/>
        </w:rPr>
        <w:t>Section 8.2</w:t>
      </w:r>
      <w:r>
        <w:rPr>
          <w:rFonts w:ascii="Times New Roman" w:hAnsi="Times New Roman"/>
          <w:sz w:val="20"/>
        </w:rPr>
        <w:t xml:space="preserve">, and shall be responsible for ensuring that such Persons maintain the Disclosing Party’s Confidential Information in accordance with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rPr>
        <w:t>Exemption</w:t>
      </w:r>
      <w:r>
        <w:rPr>
          <w:rFonts w:ascii="Times New Roman" w:hAnsi="Times New Roman"/>
          <w:sz w:val="20"/>
        </w:rPr>
        <w:t xml:space="preserve">. The foregoing confidentiality and non-use obligations shall not apply to: (a) information already in the possession of the Receiving Party prior to its disclosure by the Disclosing Party as evidenced by contemporaneous written records; (b) information that is already in the public domain as of the date of disclosure to the Receiving Party or that comes into the public domain thereafter by publication or otherwise through no breach of the obligations of confidentiality and non-use hereunder by the Receiving Party, including with respect to </w:t>
      </w:r>
      <w:r>
        <w:rPr>
          <w:rFonts w:ascii="Times New Roman" w:hAnsi="Times New Roman"/>
          <w:sz w:val="20"/>
          <w:u w:val="single"/>
        </w:rPr>
        <w:t>Section 8.7</w:t>
      </w:r>
      <w:r>
        <w:rPr>
          <w:rFonts w:ascii="Times New Roman" w:hAnsi="Times New Roman"/>
          <w:sz w:val="20"/>
        </w:rPr>
        <w:t xml:space="preserve">; (c) information that has been disclosed to the Receiving Party from another source free from any obligation of confidentiality and that was not directly or indirectly obtained from the Disclosing Party; or (d) information that is developed independently by employees, subcontractors, consultants or agents of the Receiving Party or any of its Affiliates without use of or reliance upon the Disclosing Party’s Confidential Information, as evidenced by contemporaneous written records.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rPr>
        <w:t>Permitted Disclosures</w:t>
      </w:r>
      <w:r>
        <w:rPr>
          <w:rFonts w:ascii="Times New Roman" w:hAnsi="Times New Roman"/>
          <w:sz w:val="20"/>
        </w:rPr>
        <w:t xml:space="preserve">. In addition to the exceptions contained in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8.3</w:t>
      </w:r>
      <w:r>
        <w:rPr>
          <w:rFonts w:ascii="Times New Roman" w:hAnsi="Times New Roman"/>
          <w:sz w:val="20"/>
        </w:rPr>
        <w:t xml:space="preserve">, the Receiving Party may disclose Confidential Information of the Disclosing Party to the extent (and solely to the extent) that such disclosure is reasonably necessary in the following instances: </w:t>
      </w:r>
    </w:p>
    <w:p>
      <w:pPr>
        <w:pStyle w:val="TextBody"/>
        <w:bidi w:val="0"/>
        <w:spacing w:before="120" w:after="0"/>
        <w:jc w:val="left"/>
        <w:rPr>
          <w:rFonts w:ascii="Times New Roman" w:hAnsi="Times New Roman"/>
          <w:sz w:val="20"/>
        </w:rPr>
      </w:pPr>
      <w:r>
        <w:rPr>
          <w:rFonts w:ascii="Times New Roman" w:hAnsi="Times New Roman"/>
          <w:sz w:val="20"/>
        </w:rPr>
        <w:t xml:space="preserve">(a) to comply with Applicable Law (including any securities law or regulation or the rules of a securities exchange pursuant to </w:t>
      </w:r>
      <w:r>
        <w:rPr>
          <w:rFonts w:ascii="Times New Roman" w:hAnsi="Times New Roman"/>
          <w:sz w:val="20"/>
          <w:u w:val="single"/>
        </w:rPr>
        <w:t>Section 8.5</w:t>
      </w:r>
      <w:r>
        <w:rPr>
          <w:rFonts w:ascii="Times New Roman" w:hAnsi="Times New Roman"/>
          <w:sz w:val="20"/>
        </w:rPr>
        <w:t xml:space="preserve"> below) or the order of a court of competent jurisdiction, </w:t>
      </w:r>
      <w:r>
        <w:rPr>
          <w:rFonts w:ascii="Times New Roman" w:hAnsi="Times New Roman"/>
          <w:sz w:val="20"/>
          <w:u w:val="single"/>
        </w:rPr>
        <w:t>provided</w:t>
      </w:r>
      <w:r>
        <w:rPr>
          <w:rFonts w:ascii="Times New Roman" w:hAnsi="Times New Roman"/>
          <w:sz w:val="20"/>
        </w:rPr>
        <w:t xml:space="preserve"> that, where legally permissible, the Receiving Party [***] notifies the Disclosing Party of such obligation sufficiently prior to making such disclosure, so as to allow the Disclosing Party adequate time to take whatever action it may deem appropriate to protect the confidentiality of the information to be disclosed, and fully cooperates with the Disclosing Party, if so requested, in maintaining the confidentiality of such information by applying for a protective order or any similar legal instrument. In any event, the Receiving Party shall only disclose such Confidential Information to the extent required under Applicable Law and shall continue to treat such information as Confidential Information for all other purposes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to prosecute or defend litigation or to otherwise exercise its rights or perform its obligations in </w:t>
      </w:r>
      <w:r>
        <w:rPr>
          <w:rFonts w:ascii="Times New Roman" w:hAnsi="Times New Roman"/>
          <w:sz w:val="20"/>
          <w:u w:val="single"/>
        </w:rPr>
        <w:t>Section 11.4</w:t>
      </w:r>
      <w:r>
        <w:rPr>
          <w:rFonts w:ascii="Times New Roman" w:hAnsi="Times New Roman"/>
          <w:sz w:val="20"/>
        </w:rPr>
        <w:t xml:space="preserve">, to obtain or maintain Regulatory Approvals and other regulatory filings and communications, to file or prosecute patent applications as contemplated by this Agreement and to enforce Patent Rights in connection with the Receiving Party’s rights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to allow the Receiving Party to exercise its rights and perform its obligations under this Agreement, </w:t>
      </w:r>
      <w:r>
        <w:rPr>
          <w:rFonts w:ascii="Times New Roman" w:hAnsi="Times New Roman"/>
          <w:sz w:val="20"/>
          <w:u w:val="single"/>
        </w:rPr>
        <w:t>provided</w:t>
      </w:r>
      <w:r>
        <w:rPr>
          <w:rFonts w:ascii="Times New Roman" w:hAnsi="Times New Roman"/>
          <w:sz w:val="20"/>
        </w:rPr>
        <w:t xml:space="preserve"> that such disclosure shall be consistent with the confidentiality and non-use obligations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(d) to </w:t>
      </w:r>
      <w:r>
        <w:rPr>
          <w:rFonts w:ascii="Times New Roman" w:hAnsi="Times New Roman"/>
          <w:i/>
          <w:sz w:val="20"/>
        </w:rPr>
        <w:t>bona fide</w:t>
      </w:r>
      <w:r>
        <w:rPr>
          <w:rFonts w:ascii="Times New Roman" w:hAnsi="Times New Roman"/>
          <w:sz w:val="20"/>
        </w:rPr>
        <w:t xml:space="preserve"> prospective or actual purchasers, acquirers, permitted assignees or merger candidates or to </w:t>
      </w:r>
      <w:r>
        <w:rPr>
          <w:rFonts w:ascii="Times New Roman" w:hAnsi="Times New Roman"/>
          <w:i/>
          <w:sz w:val="20"/>
        </w:rPr>
        <w:t>bona fide</w:t>
      </w:r>
      <w:r>
        <w:rPr>
          <w:rFonts w:ascii="Times New Roman" w:hAnsi="Times New Roman"/>
          <w:sz w:val="20"/>
        </w:rPr>
        <w:t xml:space="preserve"> existing or potential investment bankers, investors, lenders, or financing sources solely for the purpose of evaluating or carrying out an actual or potential investment, acquisition, collaboration or license (“</w:t>
      </w:r>
      <w:r>
        <w:rPr>
          <w:rFonts w:ascii="Times New Roman" w:hAnsi="Times New Roman"/>
          <w:b/>
          <w:i/>
          <w:sz w:val="20"/>
        </w:rPr>
        <w:t>Other Recipients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Other Recipients are bound by written obligations of confidentiality and non-use that are substantially similar to those set forth herein (but of shorter duration if customary) and (ii) the failure of such Other Recipients to comply with the terms and conditions of this Agreement shall be considered a breach of this Agreement by the Receiving Party.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rPr>
        <w:t>Disclosure of Agreement</w:t>
      </w:r>
      <w:r>
        <w:rPr>
          <w:rFonts w:ascii="Times New Roman" w:hAnsi="Times New Roman"/>
          <w:sz w:val="20"/>
        </w:rPr>
        <w:t xml:space="preserve">. Either Party may disclose the terms of this Agreement (a) to the extent required or advisable to comply with the rules and regulations promulgated by the securities exchange on which such Party or its Affiliate is listed (or equivalent agencies), </w:t>
      </w:r>
      <w:r>
        <w:rPr>
          <w:rFonts w:ascii="Times New Roman" w:hAnsi="Times New Roman"/>
          <w:sz w:val="20"/>
          <w:u w:val="single"/>
        </w:rPr>
        <w:t>provided</w:t>
      </w:r>
      <w:r>
        <w:rPr>
          <w:rFonts w:ascii="Times New Roman" w:hAnsi="Times New Roman"/>
          <w:sz w:val="20"/>
        </w:rPr>
        <w:t xml:space="preserve"> that such Party shall, where applicable, submit a confidential treatment request in connection with such disclosure, and shall disclose only such redacted form of this Agreement as may be [***] determined by such Party (with advice from attorneys), taking into consideration the comments of the other Party [***]; (b) to </w:t>
      </w:r>
      <w:r>
        <w:rPr>
          <w:rFonts w:ascii="Times New Roman" w:hAnsi="Times New Roman"/>
          <w:i/>
          <w:sz w:val="20"/>
        </w:rPr>
        <w:t>bona fide</w:t>
      </w:r>
      <w:r>
        <w:rPr>
          <w:rFonts w:ascii="Times New Roman" w:hAnsi="Times New Roman"/>
          <w:sz w:val="20"/>
        </w:rPr>
        <w:t xml:space="preserve"> prospective or actual acquirers, permitted assignees or merger candidates, investment bankers, investors and lenders, or financing sources, or similar business partners, </w:t>
      </w:r>
      <w:r>
        <w:rPr>
          <w:rFonts w:ascii="Times New Roman" w:hAnsi="Times New Roman"/>
          <w:sz w:val="20"/>
          <w:u w:val="single"/>
        </w:rPr>
        <w:t>provided</w:t>
      </w:r>
      <w:r>
        <w:rPr>
          <w:rFonts w:ascii="Times New Roman" w:hAnsi="Times New Roman"/>
          <w:sz w:val="20"/>
        </w:rPr>
        <w:t xml:space="preserve"> that such recipients are bound by a written confidentiality agreement with terms substantially as protective with respect to Confidential Information of the other Party as those contained herein (with reasonable and customary duration of confidentiality obligations); and (c) to the extent necessary to perform such Party’s obligations or exercise its rights under this Agreement, to any sublicensee, collaborator or potential sublicensee or collaborator of such Party, </w:t>
      </w:r>
      <w:r>
        <w:rPr>
          <w:rFonts w:ascii="Times New Roman" w:hAnsi="Times New Roman"/>
          <w:sz w:val="20"/>
          <w:u w:val="single"/>
        </w:rPr>
        <w:t>provided</w:t>
      </w:r>
      <w:r>
        <w:rPr>
          <w:rFonts w:ascii="Times New Roman" w:hAnsi="Times New Roman"/>
          <w:sz w:val="20"/>
        </w:rPr>
        <w:t xml:space="preserve"> that any sublicensee, collaborator or potential sublicensee or collaborator agree in writing to be bound by obligations of confidentiality and non-use no less protective of the Disclosing Party than those set forth in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rPr>
        <w:t>Publicity; Use of Name and Logo</w:t>
      </w:r>
      <w:r>
        <w:rPr>
          <w:rFonts w:ascii="Times New Roman" w:hAnsi="Times New Roman"/>
          <w:sz w:val="20"/>
        </w:rPr>
        <w:t xml:space="preserve">. Each Party may issue a press release announcing this Agreement and the transaction contemplated hereunder, </w:t>
      </w:r>
      <w:r>
        <w:rPr>
          <w:rFonts w:ascii="Times New Roman" w:hAnsi="Times New Roman"/>
          <w:sz w:val="20"/>
          <w:u w:val="single"/>
        </w:rPr>
        <w:t>provided</w:t>
      </w:r>
      <w:r>
        <w:rPr>
          <w:rFonts w:ascii="Times New Roman" w:hAnsi="Times New Roman"/>
          <w:sz w:val="20"/>
        </w:rPr>
        <w:t xml:space="preserve"> that the timing and content of such press release shall be mutually agreed by the Parties, and each Party may issue a subsequent press release that discloses text previously approved pursuant to this </w:t>
      </w:r>
      <w:r>
        <w:rPr>
          <w:rFonts w:ascii="Times New Roman" w:hAnsi="Times New Roman"/>
          <w:sz w:val="20"/>
          <w:u w:val="single"/>
        </w:rPr>
        <w:t>Section 8.6</w:t>
      </w:r>
      <w:r>
        <w:rPr>
          <w:rFonts w:ascii="Times New Roman" w:hAnsi="Times New Roman"/>
          <w:sz w:val="20"/>
        </w:rPr>
        <w:t xml:space="preserve">, but only to the extent the underlying facts disclosed in such previously approved text are still true and accurate, and where the circumstances surrounding such disclosure have not changed. Except to the extent expressly permitted under this Agreement or required by Applicable Laws, each Party will not use the other Party’s or its Affiliates’ name or logo in any label, press release or product advertising, or for any other promotional purpose, without first obtaining the other Party’s [***] consent, not to be unreasonably withheld.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rPr>
        <w:t>Publications</w:t>
      </w:r>
      <w:r>
        <w:rPr>
          <w:rFonts w:ascii="Times New Roman" w:hAnsi="Times New Roman"/>
          <w:sz w:val="20"/>
        </w:rPr>
        <w:t>. As between the Parties, Company (and its Affiliates and Sublicensees) shall have the sole right to make any publication or presentation that relates to the Development and Commercialization activities with respect to the Licensed Products in the Licensed Territory. In the event a Party desires to publicly present or publish an article or other publication regarding the Licensed Therapeutics or Licensed Products (each such proposed presentation or publication, a “</w:t>
      </w:r>
      <w:r>
        <w:rPr>
          <w:rFonts w:ascii="Times New Roman" w:hAnsi="Times New Roman"/>
          <w:b/>
          <w:i/>
          <w:sz w:val="20"/>
        </w:rPr>
        <w:t>Proposed Publication</w:t>
      </w:r>
      <w:r>
        <w:rPr>
          <w:rFonts w:ascii="Times New Roman" w:hAnsi="Times New Roman"/>
          <w:sz w:val="20"/>
        </w:rPr>
        <w:t xml:space="preserve">”), such Party shall provide the other Party (via the JSC) with a copy of such Proposed Publication [***] in advance based on the circumstances of the Proposed Publication to the intended submission or presentation date. A Party agrees that it will not submit or present any Proposed Publication until (a) the other Party has provided [***] comments on the material in such Proposed Publication or (b) such time as the Proposed Publication is [***] to be presented or submitted, in which case such Party may proceed and the Proposed Publication will be considered approved in its entirety. If the proposing Party receives [***] comments from the other Party, it shall consider the comments of the other Party [***], but will retain the sole authority to submit the manuscript for such Proposed Publication; </w:t>
      </w:r>
      <w:r>
        <w:rPr>
          <w:rFonts w:ascii="Times New Roman" w:hAnsi="Times New Roman"/>
          <w:sz w:val="20"/>
          <w:u w:val="single"/>
        </w:rPr>
        <w:t>provided</w:t>
      </w:r>
      <w:r>
        <w:rPr>
          <w:rFonts w:ascii="Times New Roman" w:hAnsi="Times New Roman"/>
          <w:sz w:val="20"/>
        </w:rPr>
        <w:t xml:space="preserve"> that the proposing Party agrees to (i) delete any Confidential Information of the other Party that the other Party identifies for deletion in its [***] comments, and (ii) delay such Proposed Publication for a period of up to an additional [***] after having provided the Proposed Publication to such other Party to enable the other Party to draft and file Patent Rights with respect to any subject matter to be made public in such Proposed Publication and to which the other Party has the applicable intellectual property rights to file such Patent Rights. The proposing Party shall provide the other Party a copy of the Proposed Publication at the time of the submission or presentation. Except for disclosures permitted under this </w:t>
      </w:r>
      <w:r>
        <w:rPr>
          <w:rFonts w:ascii="Times New Roman" w:hAnsi="Times New Roman"/>
          <w:sz w:val="20"/>
          <w:u w:val="single"/>
        </w:rPr>
        <w:t>Article 8</w:t>
      </w:r>
      <w:r>
        <w:rPr>
          <w:rFonts w:ascii="Times New Roman" w:hAnsi="Times New Roman"/>
          <w:sz w:val="20"/>
        </w:rPr>
        <w:t xml:space="preserve">, neither Party shall have the right to make any publication or presentation that relates to the scientific or technical results of any activities with respect to the Licensed Products. A Party shall require its Affiliates, (sub)licensees and subcontractors to comply with the obligations of this </w:t>
      </w:r>
      <w:r>
        <w:rPr>
          <w:rFonts w:ascii="Times New Roman" w:hAnsi="Times New Roman"/>
          <w:sz w:val="20"/>
          <w:u w:val="single"/>
        </w:rPr>
        <w:t>Section 8.7</w:t>
      </w:r>
      <w:r>
        <w:rPr>
          <w:rFonts w:ascii="Times New Roman" w:hAnsi="Times New Roman"/>
          <w:sz w:val="20"/>
        </w:rPr>
        <w:t xml:space="preserve"> as if they were such Party, and shall be liable for their non-compliance.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b/>
          <w:sz w:val="20"/>
        </w:rPr>
        <w:t>Survival; Return of Confidential Information</w:t>
      </w:r>
      <w:r>
        <w:rPr>
          <w:rFonts w:ascii="Times New Roman" w:hAnsi="Times New Roman"/>
          <w:sz w:val="20"/>
        </w:rPr>
        <w:t xml:space="preserve">. This </w:t>
      </w:r>
      <w:r>
        <w:rPr>
          <w:rFonts w:ascii="Times New Roman" w:hAnsi="Times New Roman"/>
          <w:sz w:val="20"/>
          <w:u w:val="single"/>
        </w:rPr>
        <w:t>Article 8</w:t>
      </w:r>
      <w:r>
        <w:rPr>
          <w:rFonts w:ascii="Times New Roman" w:hAnsi="Times New Roman"/>
          <w:sz w:val="20"/>
        </w:rPr>
        <w:t xml:space="preserve"> shall survive the expiration or termination of this Agreement and shall remain in full force and effect for [***] after such expiration or termination. Upon the expiration or termination of this Agreement, the Receiving Party shall return to the Disclosing Party (or, as directed by the Disclosing Party, destroy) all Confidential Information of the Disclosing Party that is in the Receiving Party’s possession or control;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one (1) copy of any Confidential Information of the Disclosing Party may be retained and stored solely for the purpose of determining its obligations under this Agreement, </w:t>
      </w:r>
      <w:r>
        <w:rPr>
          <w:rFonts w:ascii="Times New Roman" w:hAnsi="Times New Roman"/>
          <w:sz w:val="20"/>
          <w:u w:val="single"/>
        </w:rPr>
        <w:t>provided</w:t>
      </w:r>
      <w:r>
        <w:rPr>
          <w:rFonts w:ascii="Times New Roman" w:hAnsi="Times New Roman"/>
          <w:sz w:val="20"/>
        </w:rPr>
        <w:t xml:space="preserve"> that the non-disclosure and non-use obligation under this </w:t>
      </w:r>
      <w:r>
        <w:rPr>
          <w:rFonts w:ascii="Times New Roman" w:hAnsi="Times New Roman"/>
          <w:sz w:val="20"/>
          <w:u w:val="single"/>
        </w:rPr>
        <w:t>Article 8</w:t>
      </w:r>
      <w:r>
        <w:rPr>
          <w:rFonts w:ascii="Times New Roman" w:hAnsi="Times New Roman"/>
          <w:sz w:val="20"/>
        </w:rPr>
        <w:t xml:space="preserve"> shall continue to apply to any such copy. In addition, the Receiving Party shall not be required to return or destroy Confidential Information contained in any computer system back-up records made in the ordinary course of business, </w:t>
      </w:r>
      <w:r>
        <w:rPr>
          <w:rFonts w:ascii="Times New Roman" w:hAnsi="Times New Roman"/>
          <w:sz w:val="20"/>
          <w:u w:val="single"/>
        </w:rPr>
        <w:t>provided</w:t>
      </w:r>
      <w:r>
        <w:rPr>
          <w:rFonts w:ascii="Times New Roman" w:hAnsi="Times New Roman"/>
          <w:sz w:val="20"/>
        </w:rPr>
        <w:t xml:space="preserve"> that such Confidential Information may not be accessed without the Disclosing Party’s prior written consent or as required by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WARRANTIES, AND COVENANTS </w:t>
      </w:r>
    </w:p>
    <w:p>
      <w:pPr>
        <w:pStyle w:val="TextBody"/>
        <w:bidi w:val="0"/>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Representations, Warranties of Each Party</w:t>
      </w:r>
      <w:r>
        <w:rPr>
          <w:rFonts w:ascii="Times New Roman" w:hAnsi="Times New Roman"/>
          <w:sz w:val="20"/>
        </w:rPr>
        <w:t xml:space="preserve">. Each Party represents and warrants to the other Party as of the Effective Date, and as applicable, covenants to the other Party, that: </w:t>
      </w:r>
    </w:p>
    <w:p>
      <w:pPr>
        <w:pStyle w:val="TextBody"/>
        <w:bidi w:val="0"/>
        <w:spacing w:before="120" w:after="0"/>
        <w:jc w:val="left"/>
        <w:rPr>
          <w:rFonts w:ascii="Times New Roman" w:hAnsi="Times New Roman"/>
          <w:sz w:val="20"/>
        </w:rPr>
      </w:pPr>
      <w:r>
        <w:rPr>
          <w:rFonts w:ascii="Times New Roman" w:hAnsi="Times New Roman"/>
          <w:sz w:val="20"/>
        </w:rPr>
        <w:t xml:space="preserve">(a) it is validly existing and in good standing under the Applicable Laws of the jurisdiction of its incorporation and has the full right, power and authority to enter into this Agreement, conduct the activities allocated to it under this Agreement, grant the licenses and assign the rights under this Agreement and disclose such information and Know-How that is disclosed in performance of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this Agreement has been duly executed by it and is legally binding upon it, enforceable in accordance with its terms, and does not conflict with any agreement, instrument or understanding, oral or written, to which it is a party or by which it may be bound, nor violate any material Applicable Law of any court, governmental body or administrative or other agency having jurisdiction over it; </w:t>
      </w:r>
    </w:p>
    <w:p>
      <w:pPr>
        <w:pStyle w:val="TextBody"/>
        <w:bidi w:val="0"/>
        <w:spacing w:before="120" w:after="0"/>
        <w:jc w:val="left"/>
        <w:rPr>
          <w:rFonts w:ascii="Times New Roman" w:hAnsi="Times New Roman"/>
          <w:sz w:val="20"/>
        </w:rPr>
      </w:pPr>
      <w:r>
        <w:rPr>
          <w:rFonts w:ascii="Times New Roman" w:hAnsi="Times New Roman"/>
          <w:sz w:val="20"/>
        </w:rPr>
        <w:t xml:space="preserve">(c) neither it, nor any of its Affiliates are party to any agreements, oral or written, that conflict with its obligations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(d) neither it, nor any of its Affiliates, have been debarred.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Representations and Warranties of Licensor</w:t>
      </w:r>
      <w:r>
        <w:rPr>
          <w:rFonts w:ascii="Times New Roman" w:hAnsi="Times New Roman"/>
          <w:sz w:val="20"/>
        </w:rPr>
        <w:t xml:space="preserve">. Licensor represents and warrants to Company as of the Effective Date, that: </w:t>
      </w:r>
    </w:p>
    <w:p>
      <w:pPr>
        <w:pStyle w:val="TextBody"/>
        <w:bidi w:val="0"/>
        <w:spacing w:before="120" w:after="0"/>
        <w:jc w:val="left"/>
        <w:rPr>
          <w:rFonts w:ascii="Times New Roman" w:hAnsi="Times New Roman"/>
          <w:sz w:val="20"/>
        </w:rPr>
      </w:pPr>
      <w:r>
        <w:rPr>
          <w:rFonts w:ascii="Times New Roman" w:hAnsi="Times New Roman"/>
          <w:sz w:val="20"/>
        </w:rPr>
        <w:t xml:space="preserve">(a) all Licensed Patents existing as of the Effective Date are set forth on </w:t>
      </w:r>
      <w:r>
        <w:rPr>
          <w:rFonts w:ascii="Times New Roman" w:hAnsi="Times New Roman"/>
          <w:sz w:val="20"/>
          <w:u w:val="single"/>
        </w:rPr>
        <w:t xml:space="preserve">Schedule 1.56 </w:t>
      </w:r>
      <w:r>
        <w:rPr>
          <w:rFonts w:ascii="Times New Roman" w:hAnsi="Times New Roman"/>
          <w:sz w:val="20"/>
        </w:rPr>
        <w:t xml:space="preserve">hereto, and all Licensed Patents included therein are (i) valid and, [***], enforceable, (ii) being diligently prosecuted in the respective patent offices in the Licensed Territory in accordance with Applicable Law, and (iii) have been filed and maintained properly and correctly and all applicable fees have been paid on or before the due date for such payments; </w:t>
      </w:r>
    </w:p>
    <w:p>
      <w:pPr>
        <w:pStyle w:val="TextBody"/>
        <w:bidi w:val="0"/>
        <w:spacing w:before="240" w:after="0"/>
        <w:jc w:val="left"/>
        <w:rPr>
          <w:rFonts w:ascii="Times New Roman" w:hAnsi="Times New Roman"/>
          <w:sz w:val="20"/>
        </w:rPr>
      </w:pPr>
      <w:r>
        <w:rPr>
          <w:rFonts w:ascii="Times New Roman" w:hAnsi="Times New Roman"/>
          <w:sz w:val="20"/>
        </w:rPr>
        <w:t xml:space="preserve">(b) Licensor is the sole and exclusive owner of the Licensed Technology, free and clear of all liens and other encumbrances, and neither Licensor nor any Affiliate of Licensor is a party to any agreement with a Third Party pursuant to which Licensor or its Affiliate receives a license from such Third Party to any intellectual property that would constitute Licensed Technology if owned by Licensor; </w:t>
      </w:r>
    </w:p>
    <w:p>
      <w:pPr>
        <w:pStyle w:val="TextBody"/>
        <w:bidi w:val="0"/>
        <w:spacing w:before="240" w:after="0"/>
        <w:jc w:val="left"/>
        <w:rPr>
          <w:rFonts w:ascii="Times New Roman" w:hAnsi="Times New Roman"/>
          <w:sz w:val="20"/>
        </w:rPr>
      </w:pPr>
      <w:r>
        <w:rPr>
          <w:rFonts w:ascii="Times New Roman" w:hAnsi="Times New Roman"/>
          <w:sz w:val="20"/>
        </w:rPr>
        <w:t xml:space="preserve">(c) Licensor has complied [***] with all Applicable Law with respect to the filing, prosecution and maintenance of the Licensed Patents. Licensor has not received any dispute, alleged or threatened, [***] regarding inventorship with respect to any Licensed Patents. </w:t>
      </w:r>
    </w:p>
    <w:p>
      <w:pPr>
        <w:pStyle w:val="TextBody"/>
        <w:bidi w:val="0"/>
        <w:spacing w:before="240" w:after="0"/>
        <w:jc w:val="left"/>
        <w:rPr>
          <w:rFonts w:ascii="Times New Roman" w:hAnsi="Times New Roman"/>
          <w:sz w:val="20"/>
        </w:rPr>
      </w:pPr>
      <w:r>
        <w:rPr>
          <w:rFonts w:ascii="Times New Roman" w:hAnsi="Times New Roman"/>
          <w:sz w:val="20"/>
        </w:rPr>
        <w:t xml:space="preserve">(d) Licensor has the full right and authority to grant the licenses and rights granted to Company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neither Licensor, nor any of its Affiliates, have previously assigned, transferred, conveyed or otherwise encumbered, and shall not assign, transfer, convey or otherwise encumber during the Term, its right, title or interest in or to the Licensed Technology in a manner that would prevent Company or its Affiliates, subcontractors or Sublicensees from researching, Developing, Manufacturing or Commercializing Licensed Products or from otherwise Exploiting its rights and licenses granted or assigned by Licensor hereunder;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claims, judgments or settlements against or pending, or amounts with respect thereto, owed by Licensor or any of its Affiliates, with respect to the Licensed Technology and Licensor has not received [***] notice threatening any such claims, judgments or settlements; </w:t>
      </w:r>
    </w:p>
    <w:p>
      <w:pPr>
        <w:pStyle w:val="TextBody"/>
        <w:bidi w:val="0"/>
        <w:spacing w:before="240" w:after="0"/>
        <w:jc w:val="left"/>
        <w:rPr>
          <w:rFonts w:ascii="Times New Roman" w:hAnsi="Times New Roman"/>
          <w:sz w:val="20"/>
        </w:rPr>
      </w:pPr>
      <w:r>
        <w:rPr>
          <w:rFonts w:ascii="Times New Roman" w:hAnsi="Times New Roman"/>
          <w:sz w:val="20"/>
        </w:rPr>
        <w:t xml:space="preserve">(g) each person who has or has had any rights in or to any Licensed Technology existing as of the Effective Date has assigned and has executed an agreement assigning its entire right, title and interest in and to such Licensed Technology to Licensor, and Licensor shall be solely responsible for any payments to such person for such assignment, including reward and remunerations required under Applicable Law to inventors who are employees of Licensor or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 [***], no invention claimed in any Licensed Patent was made by any inventor(s) within [***] after termination of employment or otherwise departure from a former employer (such former employer may be any person other than Licensor), with such invention being related to the inventor’s duties or tasks assigned by the former employer during such former employment, as a result of which such former employer is entitled to “claw back” any right, title and interest in the invention under applicable laws, including the Patent Law of the People’s Republic of China and its implementing regulations and administrative rules; </w:t>
      </w:r>
    </w:p>
    <w:p>
      <w:pPr>
        <w:pStyle w:val="TextBody"/>
        <w:bidi w:val="0"/>
        <w:spacing w:before="240" w:after="0"/>
        <w:jc w:val="left"/>
        <w:rPr>
          <w:rFonts w:ascii="Times New Roman" w:hAnsi="Times New Roman"/>
          <w:sz w:val="20"/>
        </w:rPr>
      </w:pPr>
      <w:r>
        <w:rPr>
          <w:rFonts w:ascii="Times New Roman" w:hAnsi="Times New Roman"/>
          <w:sz w:val="20"/>
        </w:rPr>
        <w:t xml:space="preserve">(i) [***], the Development, Manufacture or Commercialization of the Licensed Therapeutics and Licensed Products as contemplated under this Agreement (a) does not infringe any claim of a Third Party Patent Right, or (b) does not misappropriate any Know-How or other intellectual property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(j) there are no pending or threatened [***] claims, actions, suits or proceedings alleging that the Licensed Technology or the Licensed Therapeutics or Licensed Products, or any Development or Manufacture thereof conducted prior to the Effective Date, infringes or misappropriates the intellectual property rights of any Third Party, and, [***], no facts or circumstances exist that would [***] give rise to any such claims, actions, suits or proceedings; </w:t>
      </w:r>
    </w:p>
    <w:p>
      <w:pPr>
        <w:pStyle w:val="TextBody"/>
        <w:bidi w:val="0"/>
        <w:spacing w:before="240" w:after="0"/>
        <w:jc w:val="left"/>
        <w:rPr>
          <w:rFonts w:ascii="Times New Roman" w:hAnsi="Times New Roman"/>
          <w:sz w:val="20"/>
        </w:rPr>
      </w:pPr>
      <w:r>
        <w:rPr>
          <w:rFonts w:ascii="Times New Roman" w:hAnsi="Times New Roman"/>
          <w:sz w:val="20"/>
        </w:rPr>
        <w:t xml:space="preserve">(k) [***], no person is infringing or threatening to infringe or misappropriate or threatening to misappropriate the Licensed Technology; </w:t>
      </w:r>
    </w:p>
    <w:p>
      <w:pPr>
        <w:pStyle w:val="TextBody"/>
        <w:bidi w:val="0"/>
        <w:spacing w:before="240" w:after="0"/>
        <w:jc w:val="left"/>
        <w:rPr>
          <w:rFonts w:ascii="Times New Roman" w:hAnsi="Times New Roman"/>
          <w:sz w:val="20"/>
        </w:rPr>
      </w:pPr>
      <w:r>
        <w:rPr>
          <w:rFonts w:ascii="Times New Roman" w:hAnsi="Times New Roman"/>
          <w:sz w:val="20"/>
        </w:rPr>
        <w:t xml:space="preserve">(l) all information disclosed to Company by Licensor relating to the Licensed Technology and the Development of the Licensed Therapeutic and Licensed Product is, at the time of disclosure, accurate [***], and, as of the Effective Date, Licensor has not [***] concealed any material information relating to the Licensed Technology and the Development of the Licensed Therapeutic and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(m) the Development of the Licensed Product is not funded by any Governmental Authority (including any state or provincial government agency), and there are no restrictions or other requirements, including any restrictions or requirements of any Governmental Authority or any Person that provided funding to Licensor or its Affiliates, that (i) prevent, preclude or restrict Licensor from granting the license under the Licensed Technology granted to Company hereunder, or transferring to Company any of the Licensed Technology or the Licensed Therapeutics or (ii) otherwise encumber Company’s practice of the license and rights granted to Company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 (i) Licensor’s and each of its Affiliate’s Development activities relating to the Licensed Therapeutic and Licensed Products prior to the Effective Date have complied with and did not contravene and (ii) the execution, delivery and performance of this Agreement by Licensor complies with and does not contravene, in each case ((i) and (ii)), any and all Applicable Laws and applicable obligations arising from and any specific use restrictions of any Data Security and Protection Laws [***]; and </w:t>
      </w:r>
    </w:p>
    <w:p>
      <w:pPr>
        <w:pStyle w:val="TextBody"/>
        <w:bidi w:val="0"/>
        <w:spacing w:before="240" w:after="0"/>
        <w:jc w:val="left"/>
        <w:rPr>
          <w:rFonts w:ascii="Times New Roman" w:hAnsi="Times New Roman"/>
          <w:sz w:val="20"/>
        </w:rPr>
      </w:pPr>
      <w:r>
        <w:rPr>
          <w:rFonts w:ascii="Times New Roman" w:hAnsi="Times New Roman"/>
          <w:sz w:val="20"/>
        </w:rPr>
        <w:t xml:space="preserve">(o) Licensor’s and each of its Affiliate’s access to, use and disclosure of all data, documents or other information that are derived from, collected from, associated with or generated during its Development of the Licensed Therapeutic or any Licensed Product have been in [***] compliance with (i) applicable Data Security and Protection Laws and (ii) applicable ethics committee or institutional review board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9.3 </w:t>
      </w:r>
      <w:r>
        <w:rPr>
          <w:rFonts w:ascii="Times New Roman" w:hAnsi="Times New Roman"/>
          <w:b/>
          <w:sz w:val="20"/>
        </w:rPr>
        <w:t>Covenant of Each Party</w:t>
      </w:r>
      <w:r>
        <w:rPr>
          <w:rFonts w:ascii="Times New Roman" w:hAnsi="Times New Roman"/>
          <w:sz w:val="20"/>
        </w:rPr>
        <w:t xml:space="preserve">. Each Party covenants to the other Party that: </w:t>
      </w:r>
    </w:p>
    <w:p>
      <w:pPr>
        <w:pStyle w:val="TextBody"/>
        <w:bidi w:val="0"/>
        <w:spacing w:before="120" w:after="0"/>
        <w:jc w:val="left"/>
        <w:rPr>
          <w:rFonts w:ascii="Times New Roman" w:hAnsi="Times New Roman"/>
          <w:sz w:val="20"/>
        </w:rPr>
      </w:pPr>
      <w:r>
        <w:rPr>
          <w:rFonts w:ascii="Times New Roman" w:hAnsi="Times New Roman"/>
          <w:sz w:val="20"/>
        </w:rPr>
        <w:t xml:space="preserve">(a) during the Term, it shall (and shall cause its Affiliate to) obtain and maintain in force all necessary consents, licenses, permits, approvals and other permissions to enable it to fulfil its obligations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(b) during the Term, it will not make any commitment to any Third Party, including entering into any license agreement or otherwise granting rights to a Third Party, in each case, in conflict with the rights granted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b/>
          <w:sz w:val="20"/>
        </w:rPr>
        <w:t>Covenant of Licensor</w:t>
      </w:r>
      <w:r>
        <w:rPr>
          <w:rFonts w:ascii="Times New Roman" w:hAnsi="Times New Roman"/>
          <w:sz w:val="20"/>
        </w:rPr>
        <w:t xml:space="preserve">. Licensor covenants to Company that: </w:t>
      </w:r>
    </w:p>
    <w:p>
      <w:pPr>
        <w:pStyle w:val="TextBody"/>
        <w:bidi w:val="0"/>
        <w:spacing w:before="120" w:after="0"/>
        <w:jc w:val="left"/>
        <w:rPr>
          <w:rFonts w:ascii="Times New Roman" w:hAnsi="Times New Roman"/>
          <w:sz w:val="20"/>
        </w:rPr>
      </w:pPr>
      <w:r>
        <w:rPr>
          <w:rFonts w:ascii="Times New Roman" w:hAnsi="Times New Roman"/>
          <w:sz w:val="20"/>
        </w:rPr>
        <w:t xml:space="preserve">(a) neither Licensor, nor any of its Affiliates, shall assign, transfer, convey or otherwise encumber during the Term, its right, title or interest in or to the Licensed Technology in a manner that would prevent Company or its Affiliates and Sublicensees from researching, Developing, Manufacturing or Commercializing Licensed Products or from otherwise Exploiting its rights and licenses granted or assigned by Licensor hereunder; and </w:t>
      </w:r>
    </w:p>
    <w:p>
      <w:pPr>
        <w:pStyle w:val="TextBody"/>
        <w:bidi w:val="0"/>
        <w:spacing w:before="240" w:after="0"/>
        <w:jc w:val="left"/>
        <w:rPr>
          <w:rFonts w:ascii="Times New Roman" w:hAnsi="Times New Roman"/>
          <w:sz w:val="20"/>
        </w:rPr>
      </w:pPr>
      <w:r>
        <w:rPr>
          <w:rFonts w:ascii="Times New Roman" w:hAnsi="Times New Roman"/>
          <w:sz w:val="20"/>
        </w:rPr>
        <w:t xml:space="preserve">(b) [***] following the Effective Date, and in no event later than [***] thereafter, Licensor shall obtain all necessary approvals and supplemental consents for any patient informed consent forms or similar patient forms included in the Know-How as required by and in accordance with Applicable Law for Company to exercise its rights or perform its obligations under this Agreement. Licensor shall transfer to Company such approvals or supplemental consents in accordance with </w:t>
      </w:r>
      <w:r>
        <w:rPr>
          <w:rFonts w:ascii="Times New Roman" w:hAnsi="Times New Roman"/>
          <w:sz w:val="20"/>
          <w:u w:val="single"/>
        </w:rPr>
        <w:t>Section 2.4</w:t>
      </w:r>
      <w:r>
        <w:rPr>
          <w:rFonts w:ascii="Times New Roman" w:hAnsi="Times New Roman"/>
          <w:sz w:val="20"/>
        </w:rPr>
        <w:t xml:space="preserve">. For the avoidance of doubt, any such approvals or supplemental consents shall constitute Licensed Know-How.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b/>
          <w:sz w:val="20"/>
        </w:rPr>
        <w:t>Compliance with Law.</w:t>
      </w:r>
      <w:r>
        <w:rPr>
          <w:rFonts w:ascii="Times New Roman" w:hAnsi="Times New Roman"/>
          <w:sz w:val="20"/>
        </w:rPr>
        <w:t xml:space="preserve"> Each Party hereby covenants to the other Party that, in the course of performing its obligations and exercising its rights under this Agreement, it shall comply with all Applicable Laws, including, as applicable, cGMP, GCP, and GLP standards, Anti-Corruption Laws and Data Security and Protection Laws, and shall not [***] employ or engage any Person who has been debarred by any Regulatory Authority, or, [***], is the subject of debarment proceedings by a Regulatory Authority. To the extent required by Applicable Law in mainland China, Licensor, at [***] cost and expense, shall file an executed copy of a confirmatory, short-form version of this Agreement, in a form approved by Company [***] (such approval not to be unreasonably withheld, delayed or conditioned), with the required Governmental Authorities in mainland China, on a confidential basis, solely for the purposes of fulfilling Licensor’s obligations under the TIELR Regulations or TAR Regulations, </w:t>
      </w:r>
      <w:r>
        <w:rPr>
          <w:rFonts w:ascii="Times New Roman" w:hAnsi="Times New Roman"/>
          <w:sz w:val="20"/>
          <w:u w:val="single"/>
        </w:rPr>
        <w:t>provided</w:t>
      </w:r>
      <w:r>
        <w:rPr>
          <w:rFonts w:ascii="Times New Roman" w:hAnsi="Times New Roman"/>
          <w:sz w:val="20"/>
        </w:rPr>
        <w:t xml:space="preserve"> that Licensor shall procure a certified translation of the short-form agreement from a professional Third Party translation service [***] acceptable to Company and who is bound by obligations of confidentiality and non-use that are no less stringent than the confidentiality and non-use obligations contained herein and shall, prior to filing any such translation, give Company a right to review and approve such translation (such approval not to be unreasonably withheld, delayed or conditioned). Licensor shall inform Company [***] of any such filing and shall [***] provide Company with a copy of any TIELR Registration Certificate received from such filing. Except as required by Applicable Law in mainland China, Licensor shall not, as part of its filings under the TIELR Regulations or TAR Regulations, file or disclose this Agreement or any information not contained in the approved short-form agreement without Company’s [***] consent.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b/>
          <w:sz w:val="20"/>
        </w:rPr>
        <w:t>Data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9.6(b)</w:t>
      </w:r>
      <w:r>
        <w:rPr>
          <w:rFonts w:ascii="Times New Roman" w:hAnsi="Times New Roman"/>
          <w:sz w:val="20"/>
        </w:rPr>
        <w:t xml:space="preserve"> or </w:t>
      </w:r>
      <w:r>
        <w:rPr>
          <w:rFonts w:ascii="Times New Roman" w:hAnsi="Times New Roman"/>
          <w:sz w:val="20"/>
          <w:u w:val="single"/>
        </w:rPr>
        <w:t>Section 9.6(c)</w:t>
      </w:r>
      <w:r>
        <w:rPr>
          <w:rFonts w:ascii="Times New Roman" w:hAnsi="Times New Roman"/>
          <w:sz w:val="20"/>
        </w:rPr>
        <w:t xml:space="preserve">, with respect to Personal Data processed by a Party in exercise of its rights or performance of its obligations under this Agreement, each Party shall (i) comply with its respective obligations under applicable Data Security and Protection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at all times during the Term, act in a manner such that it does not become subject to any prohibition or restriction that (A) prevents or restricts it from disclosing or transferring the Personal Data to the other Party, as required under this Agreement; or which (B) prevents or restricts it from Processing the Personal Data as envisaged under this Agreement. If either Party becomes aware of any circumstances that it [***] believes may give rise to such a prohibition or restriction, it shall notify the other Party [***] of the same and take [***] steps, including [***], to mitigate its impact on its performance of its obligations under this Agreement; (iii) as required by its respective obligations under applicable Data Security and Protection Laws and under this Agreement, at all times during the Term, provide all notices and obtain all consents that are sufficient in scope to enable such Party and the other Party to Process the Personal Data in order to (A) comply with its respective obligations under this Agreement and Applicable Laws; and (B) obtain the benefit of its rights under this Agreement (including, as applicable, the disclosure, transfer and receipt of all applicable Personal Data); (iv) implement and maintain [***] administrative, organizational, technical, and physical safeguards designed to (A) maintain the security and confidentiality of the Personal Data; and (B) protect against [***] threats or hazards to the security, availability, and/or integrity of the Personal Data, and to fulfil any related reporting obligations that may be imposed by Applicable Law; (v) notify the other Party [***] upon receipt of (A) any correspondence from a Governmental Authority in relation to the Processing of Personal Data, or (B) a request or notice from a data subject exercising rights under applicable Data Security and Protection Laws, including to access, rectify, or delete their Personal Data in relation to the Personal Data Processed under this Agreement; and (vi) [***] cooperate with the other Party to enable the other Party to fulfil its obligations, as applicable, under applicable Data Security and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term or condition of this Agreement, neither Company, nor any of its Affiliates or Sublicensees, shall have any obligation under this Agreement to transfer or provide access to any Personal Data or other data or materials if such transfer or provision of access is, in the [***] opinion of Company ([***]), subject to the U.S. Bulk Data Final Rule and (i) not exempt under 28 C.F.R. § 202.510, § 202.511, or another exemption under the U.S. Bulk Data Final Rule or (ii) if with a foreign person that is not a Covered Person (as defined by the U.S. Bulk Data Final Rule) that does not agree to be bound by the onward transfer requirements under 28 C.F.R. § 202.302 of the U.S. Bulk Data Final Rule. If in either Party’s [***] judgment neither clause (i) nor clause (ii) of this subsection apply to the transfer or provision of access of Personal Data or other data or materials, and it is [***] practicable to otherwise implement such transfer or provision of access as a transaction that is not a “covered data transaction” as defined under the U.S. Bulk Data Final Rule, the Parties shall consider the feasibility of such an approach [***], </w:t>
      </w:r>
      <w:r>
        <w:rPr>
          <w:rFonts w:ascii="Times New Roman" w:hAnsi="Times New Roman"/>
          <w:sz w:val="20"/>
          <w:u w:val="single"/>
        </w:rPr>
        <w:t>provided</w:t>
      </w:r>
      <w:r>
        <w:rPr>
          <w:rFonts w:ascii="Times New Roman" w:hAnsi="Times New Roman"/>
          <w:sz w:val="20"/>
        </w:rPr>
        <w:t xml:space="preserve"> that Company shall have the right to take all [***] measures to ensure its compliance with the U.S. Bulk Data Final Rule. To the extent that either Party [***] determines not to transfer Personal Data or other data or materials pursuant to this </w:t>
      </w:r>
      <w:r>
        <w:rPr>
          <w:rFonts w:ascii="Times New Roman" w:hAnsi="Times New Roman"/>
          <w:sz w:val="20"/>
          <w:u w:val="single"/>
        </w:rPr>
        <w:t>Section 9.6(b)</w:t>
      </w:r>
      <w:r>
        <w:rPr>
          <w:rFonts w:ascii="Times New Roman" w:hAnsi="Times New Roman"/>
          <w:sz w:val="20"/>
        </w:rPr>
        <w:t xml:space="preserve">, it shall [***] notify the other Party and provide its rationale. Licensor shall provide all reasonably necessary assistance in complying with Company’s obligations under the U.S. Bulk Data Final Rule to the extent applicable to the Parties’ obligations and rights under this Agreement. </w:t>
      </w:r>
    </w:p>
    <w:p>
      <w:pPr>
        <w:pStyle w:val="TextBody"/>
        <w:bidi w:val="0"/>
        <w:spacing w:before="240" w:after="0"/>
        <w:jc w:val="left"/>
        <w:rPr>
          <w:rFonts w:ascii="Times New Roman" w:hAnsi="Times New Roman"/>
          <w:sz w:val="20"/>
        </w:rPr>
      </w:pPr>
      <w:r>
        <w:rPr>
          <w:rFonts w:ascii="Times New Roman" w:hAnsi="Times New Roman"/>
          <w:sz w:val="20"/>
        </w:rPr>
        <w:t>(c) To the extent this Agreement obligates a Party to transfer, disclose or otherwise make available to the other Party Personal Data and (i) such Party has not yet transferred, disclosed or otherwise made available such Personal Data to the other Party and (ii) such Party learns of any (Y) unauthorized access to, or acquisition, disclosure or other Processing of such Personal Data or (Z) other event or circumstance than constitutes a “personal data breach” or similar term as defined under applicable Data Security and Protection Laws, (any, a “</w:t>
      </w:r>
      <w:r>
        <w:rPr>
          <w:rFonts w:ascii="Times New Roman" w:hAnsi="Times New Roman"/>
          <w:b/>
          <w:i/>
          <w:sz w:val="20"/>
        </w:rPr>
        <w:t>Data Breach</w:t>
      </w:r>
      <w:r>
        <w:rPr>
          <w:rFonts w:ascii="Times New Roman" w:hAnsi="Times New Roman"/>
          <w:sz w:val="20"/>
        </w:rPr>
        <w:t xml:space="preserve">”), the Party that experienced the Data Breach shall (1) [***] notify the other Party; (2) [***] investigate such Data Breach; and (3) at the other Party’s [***] request, provide [***] levels of access and information to the other Party. The Parties shall [***] cooperate with each other in identifying any reasonable steps that should be implemented which are designed to limit, contain, or stop a Data Breach, and to fulfil any related reporting or notification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Without limiting the foregoing, if required by Data Security and Protection Laws or otherwise requested by either Party, the Parties shall negotiate and enter into a written agreement with respect to the collection, storage, transfer, processing and use of Personal Data by the Parties and their Affiliates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b/>
          <w:sz w:val="20"/>
        </w:rPr>
        <w:t>NO OTHER WARRANTIES</w:t>
      </w:r>
      <w:r>
        <w:rPr>
          <w:rFonts w:ascii="Times New Roman" w:hAnsi="Times New Roman"/>
          <w:sz w:val="20"/>
        </w:rPr>
        <w:t xml:space="preserve">. EXCEPT AS EXPRESSLY STATED IN THIS </w:t>
      </w:r>
      <w:r>
        <w:rPr>
          <w:rFonts w:ascii="Times New Roman" w:hAnsi="Times New Roman"/>
          <w:sz w:val="20"/>
          <w:u w:val="single"/>
        </w:rPr>
        <w:t>ARTICLE 9</w:t>
      </w:r>
      <w:r>
        <w:rPr>
          <w:rFonts w:ascii="Times New Roman" w:hAnsi="Times New Roman"/>
          <w:sz w:val="20"/>
        </w:rPr>
        <w:t xml:space="preserve">, (A) NO REPRESENTATION, CONDITION OR WARRANTY WHATSOEVER IS MADE OR GIVEN BY OR ON BEHALF OF COMPANY OR LICENSOR; AND (B) ALL OTHER CONDITIONS AND WARRANTIES WHETHER ARISING BY OPERATION OF LAW OR OTHERWISE ARE EXPRESSLY DISCLAIMED, INCLUDING ANY CONDITIONS AND WARRANTIES OF MERCHANTABILITY, FITNESS FOR A PARTICULAR PURPOSE OR NON-INFRINGEMENT. COMPANY MAKES NO WARRANTY, EITHER EXPRESS OR IMPLIED, THAT ITS DEVELOPMENT, MANUFACTURING OR COMMERCIALIZATION EFFORTS FOR THE LICENSED THERAPEUTICS OR LICENSED PRODUCTS WILL BE SUCCESSFUL OR ACHIEVE ANY PARTICULAR RESULT.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rPr>
        <w:t>By Company</w:t>
      </w:r>
      <w:r>
        <w:rPr>
          <w:rFonts w:ascii="Times New Roman" w:hAnsi="Times New Roman"/>
          <w:sz w:val="20"/>
        </w:rPr>
        <w:t>. Company shall indemnify, defend and hold harmless Licensor, its Affiliates, and its and their directors, officers, employees and agents, and their respective successors, heirs and assigns (individually and collectively, the “</w:t>
      </w:r>
      <w:r>
        <w:rPr>
          <w:rFonts w:ascii="Times New Roman" w:hAnsi="Times New Roman"/>
          <w:b/>
          <w:i/>
          <w:sz w:val="20"/>
        </w:rPr>
        <w:t>Licensor Indemnitee(s)</w:t>
      </w:r>
      <w:r>
        <w:rPr>
          <w:rFonts w:ascii="Times New Roman" w:hAnsi="Times New Roman"/>
          <w:sz w:val="20"/>
        </w:rPr>
        <w:t>”) from and against all losses, liabilities, damages, judgments, awards, costs and expenses (including reasonable attorneys’ fees) (individually and collectively, “</w:t>
      </w:r>
      <w:r>
        <w:rPr>
          <w:rFonts w:ascii="Times New Roman" w:hAnsi="Times New Roman"/>
          <w:b/>
          <w:i/>
          <w:sz w:val="20"/>
        </w:rPr>
        <w:t>Losses</w:t>
      </w:r>
      <w:r>
        <w:rPr>
          <w:rFonts w:ascii="Times New Roman" w:hAnsi="Times New Roman"/>
          <w:sz w:val="20"/>
        </w:rPr>
        <w:t>”) incurred in connection with any claims, demands, actions, suits or other proceedings by any Third Party (individually and collectively, “</w:t>
      </w:r>
      <w:r>
        <w:rPr>
          <w:rFonts w:ascii="Times New Roman" w:hAnsi="Times New Roman"/>
          <w:b/>
          <w:i/>
          <w:sz w:val="20"/>
        </w:rPr>
        <w:t>Third Party Claims</w:t>
      </w:r>
      <w:r>
        <w:rPr>
          <w:rFonts w:ascii="Times New Roman" w:hAnsi="Times New Roman"/>
          <w:sz w:val="20"/>
        </w:rPr>
        <w:t xml:space="preserve">”) to the extent arising from (a) the Exploitation of the Licensed Therapeutics or Licensed Products by or on behalf of Company or any of its Affiliates, or Sublicensees, (b) the gross negligence or willful misconduct of Company or its Affiliates, Sublicensees or Subcontractors, or any Company Indemnitees, or (c) Company’s breach of this Agreement, including its representations, warranties and obligations, in each case of clauses (a) through (c), except to the extent such Losses arise out of any matter for which Licensor has obligations of indemnification pursuant to </w:t>
      </w:r>
      <w:r>
        <w:rPr>
          <w:rFonts w:ascii="Times New Roman" w:hAnsi="Times New Roman"/>
          <w:sz w:val="20"/>
          <w:u w:val="single"/>
        </w:rPr>
        <w:t>Section 10.2</w:t>
      </w:r>
      <w:r>
        <w:rPr>
          <w:rFonts w:ascii="Times New Roman" w:hAnsi="Times New Roman"/>
          <w:sz w:val="20"/>
        </w:rPr>
        <w:t xml:space="preserve">, with respect to which each Party will indemnify the other in proportion to their respective liability for such Losses.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b/>
          <w:sz w:val="20"/>
        </w:rPr>
        <w:t>By Licensor</w:t>
      </w:r>
      <w:r>
        <w:rPr>
          <w:rFonts w:ascii="Times New Roman" w:hAnsi="Times New Roman"/>
          <w:sz w:val="20"/>
        </w:rPr>
        <w:t>. Licensor shall indemnify, defend and hold harmless Company, its Affiliates, and its and their directors, officers, employees and agents, and their respective successors, heirs and assigns (individually and collectively, the “</w:t>
      </w:r>
      <w:r>
        <w:rPr>
          <w:rFonts w:ascii="Times New Roman" w:hAnsi="Times New Roman"/>
          <w:b/>
          <w:i/>
          <w:sz w:val="20"/>
        </w:rPr>
        <w:t>Company</w:t>
      </w:r>
      <w:r>
        <w:rPr>
          <w:rFonts w:ascii="Times New Roman" w:hAnsi="Times New Roman"/>
          <w:sz w:val="20"/>
        </w:rPr>
        <w:t xml:space="preserve"> </w:t>
      </w:r>
      <w:r>
        <w:rPr>
          <w:rFonts w:ascii="Times New Roman" w:hAnsi="Times New Roman"/>
          <w:b/>
          <w:i/>
          <w:sz w:val="20"/>
        </w:rPr>
        <w:t>Indemnitee(s)</w:t>
      </w:r>
      <w:r>
        <w:rPr>
          <w:rFonts w:ascii="Times New Roman" w:hAnsi="Times New Roman"/>
          <w:sz w:val="20"/>
        </w:rPr>
        <w:t xml:space="preserve">”) from and against all Losses incurred in connection with any Third Party Claims to the extent arising from (a) the Exploitation of the Licensed Therapeutics or Licensed Products by or on behalf of Licensor or any of its Affiliates or Third Party Licensees (including, for clarity, any such Exploitation prior to the Effective Date or during the Term), (b) the gross negligence or willful misconduct of Licensor or its Affiliates, Third Party Licensees or subcontractors, or any Licensor Indemnitees, (c) Licensor’s breach of this Agreement, including its representations, warranties and obligations, and (d) the infringement or misappropriation of any Third Party Patent Right or other intellectual property or proprietary right of such Third Party by the technology or Know-How comprising, or used to develop, Licensor Platform, in each case of clauses (a) through (d), except to the extent such Losses arise out of any matter for which Company has obligations of indemnification pursuant to </w:t>
      </w:r>
      <w:r>
        <w:rPr>
          <w:rFonts w:ascii="Times New Roman" w:hAnsi="Times New Roman"/>
          <w:sz w:val="20"/>
          <w:u w:val="single"/>
        </w:rPr>
        <w:t>Section 10.1</w:t>
      </w:r>
      <w:r>
        <w:rPr>
          <w:rFonts w:ascii="Times New Roman" w:hAnsi="Times New Roman"/>
          <w:sz w:val="20"/>
        </w:rPr>
        <w:t xml:space="preserve">, with respect to which each Party will indemnify the other in proportion to their respective liability for such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b/>
          <w:sz w:val="20"/>
        </w:rPr>
        <w:t>Indemnification Procedure</w:t>
      </w:r>
      <w:r>
        <w:rPr>
          <w:rFonts w:ascii="Times New Roman" w:hAnsi="Times New Roman"/>
          <w:sz w:val="20"/>
        </w:rPr>
        <w:t>. In the event that a Party seeks indemnification hereunder with respect to a Third Party Claim, the Party seeking indemnification (the “</w:t>
      </w:r>
      <w:r>
        <w:rPr>
          <w:rFonts w:ascii="Times New Roman" w:hAnsi="Times New Roman"/>
          <w:b/>
          <w:i/>
          <w:sz w:val="20"/>
        </w:rPr>
        <w:t>Indemnified Party</w:t>
      </w:r>
      <w:r>
        <w:rPr>
          <w:rFonts w:ascii="Times New Roman" w:hAnsi="Times New Roman"/>
          <w:sz w:val="20"/>
        </w:rPr>
        <w:t>”) shall [***] notify the other Party (the “</w:t>
      </w:r>
      <w:r>
        <w:rPr>
          <w:rFonts w:ascii="Times New Roman" w:hAnsi="Times New Roman"/>
          <w:b/>
          <w:i/>
          <w:sz w:val="20"/>
        </w:rPr>
        <w:t>Indemnifying Party</w:t>
      </w:r>
      <w:r>
        <w:rPr>
          <w:rFonts w:ascii="Times New Roman" w:hAnsi="Times New Roman"/>
          <w:sz w:val="20"/>
        </w:rPr>
        <w:t>”) [***] (an “</w:t>
      </w:r>
      <w:r>
        <w:rPr>
          <w:rFonts w:ascii="Times New Roman" w:hAnsi="Times New Roman"/>
          <w:b/>
          <w:i/>
          <w:sz w:val="20"/>
        </w:rPr>
        <w:t>Indemnification Claim Notice</w:t>
      </w:r>
      <w:r>
        <w:rPr>
          <w:rFonts w:ascii="Times New Roman" w:hAnsi="Times New Roman"/>
          <w:sz w:val="20"/>
        </w:rPr>
        <w:t xml:space="preserve">”) of any Third Party Claim in respect of which it intends to claim indemnification under this </w:t>
      </w:r>
      <w:r>
        <w:rPr>
          <w:rFonts w:ascii="Times New Roman" w:hAnsi="Times New Roman"/>
          <w:sz w:val="20"/>
          <w:u w:val="single"/>
        </w:rPr>
        <w:t>Article 10</w:t>
      </w:r>
      <w:r>
        <w:rPr>
          <w:rFonts w:ascii="Times New Roman" w:hAnsi="Times New Roman"/>
          <w:sz w:val="20"/>
        </w:rPr>
        <w:t xml:space="preserve"> upon [***] knowledge of any such claim or proceeding resulting in Losses, </w:t>
      </w:r>
      <w:r>
        <w:rPr>
          <w:rFonts w:ascii="Times New Roman" w:hAnsi="Times New Roman"/>
          <w:sz w:val="20"/>
          <w:u w:val="single"/>
        </w:rPr>
        <w:t>provided</w:t>
      </w:r>
      <w:r>
        <w:rPr>
          <w:rFonts w:ascii="Times New Roman" w:hAnsi="Times New Roman"/>
          <w:sz w:val="20"/>
        </w:rPr>
        <w:t xml:space="preserve"> that any delay of such notice shall not affect the Indemnified Party’s right to indemnification hereunder, except to the extent that the Indemnifying Party has been prejudiced by such delay. The Indemnification Claim Notice must contain a description of the claim and the nature and amount of such Losses (to the extent that the nature and amount of such Losses is known at such time). The Indemnifying Party may, [***], assume exclusive control of the defense and settlement of the Third Party Claim, subject to the limitations on settlement set forth below. If the Indemnifying Party assumes such defense, the Indemnifying Party may appoint as lead counsel in the defense of the Third Party Claim any legal counsel selected by the Indemnifying Party and [***] acceptable to the Indemnified Party and the Indemnifying Party will consult with the Indemnified Party with respect to a possible conflict of interest of such counsel retained by the Indemnifying Party. The Indemnified Party will have the right to participate in the defense thereof and to employ counsel, at [***] expense, separate from the counsel employed by the Indemnifying Party. If the Indemnifying Party does not commence actions to assume control of the defense of a Third Party Claim within [***] after the receipt by the Indemnifying Party of the Indemnification Claim Notice required pursuant to this </w:t>
      </w:r>
      <w:r>
        <w:rPr>
          <w:rFonts w:ascii="Times New Roman" w:hAnsi="Times New Roman"/>
          <w:sz w:val="20"/>
          <w:u w:val="single"/>
        </w:rPr>
        <w:t>Section 10.3</w:t>
      </w:r>
      <w:r>
        <w:rPr>
          <w:rFonts w:ascii="Times New Roman" w:hAnsi="Times New Roman"/>
          <w:sz w:val="20"/>
        </w:rPr>
        <w:t xml:space="preserve">, the Indemnified Party will have the right to defend such claim in such manner as it may deem appropriate at the [***] cost and expense of the Indemnifying Party. The Indemnified Party shall cooperate as may be [***] requested by the Indemnifying Party (and at [***] expense) in order to ensure the proper and adequate defense of any action, claim or liability covered by this indemnification. The Indemnifying Party may not settle or otherwise dispose of any Third Party Claim without the [***] consent of the Indemnified Party unless such settlement includes only the payment of monetary damages (which are fully paid by the Indemnifying Party), does not impose any injunctive or equitable relief upon the Indemnified Party, does not require any admission or acknowledgment of liability or fault of the Indemnified Party and contains an unconditional release of the Indemnified Party in respect of such Third Party Claim. For avoidance of doubt, matters related to the defense of any Third Party infringement claims governed by </w:t>
      </w:r>
      <w:r>
        <w:rPr>
          <w:rFonts w:ascii="Times New Roman" w:hAnsi="Times New Roman"/>
          <w:sz w:val="20"/>
          <w:u w:val="single"/>
        </w:rPr>
        <w:t>Section 11.4</w:t>
      </w:r>
      <w:r>
        <w:rPr>
          <w:rFonts w:ascii="Times New Roman" w:hAnsi="Times New Roman"/>
          <w:sz w:val="20"/>
        </w:rPr>
        <w:t xml:space="preserve"> shall remain subject to the control provisions set forth in </w:t>
      </w:r>
      <w:r>
        <w:rPr>
          <w:rFonts w:ascii="Times New Roman" w:hAnsi="Times New Roman"/>
          <w:sz w:val="20"/>
          <w:u w:val="single"/>
        </w:rPr>
        <w:t>Section 11.4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b/>
          <w:sz w:val="20"/>
        </w:rPr>
        <w:t>Mitigation of Loss</w:t>
      </w:r>
      <w:r>
        <w:rPr>
          <w:rFonts w:ascii="Times New Roman" w:hAnsi="Times New Roman"/>
          <w:sz w:val="20"/>
        </w:rPr>
        <w:t xml:space="preserve">. Each Indemnified Party shall take and shall procure that its Affiliates take all such [***] steps and actions as are [***] necessary or as the Indemnifying Party may [***] require in order to mitigate any claims (or potential losses or damages) under this </w:t>
      </w:r>
      <w:r>
        <w:rPr>
          <w:rFonts w:ascii="Times New Roman" w:hAnsi="Times New Roman"/>
          <w:sz w:val="20"/>
          <w:u w:val="single"/>
        </w:rPr>
        <w:t>Article 10</w:t>
      </w:r>
      <w:r>
        <w:rPr>
          <w:rFonts w:ascii="Times New Roman" w:hAnsi="Times New Roman"/>
          <w:sz w:val="20"/>
        </w:rPr>
        <w:t xml:space="preserve">. Nothing in this Agreement shall or shall be deemed to relieve any Party of any common law or other duty to mitigate any losses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b/>
          <w:sz w:val="20"/>
        </w:rPr>
        <w:t>Limitation of Liability</w:t>
      </w:r>
      <w:r>
        <w:rPr>
          <w:rFonts w:ascii="Times New Roman" w:hAnsi="Times New Roman"/>
          <w:sz w:val="20"/>
        </w:rPr>
        <w:t xml:space="preserve">. NEITHER PARTY SHALL BE LIABLE TO THE OTHER PARTY FOR ANY SPECIAL, CONSEQUENTIAL, INCIDENTAL, PUNITIVE, OR INDIRECT DAMAGES ARISING FROM OR RELATING TO ANY OF THE MATTERS CONTEMPLATED BY THIS AGREEMENT, REGARDLESS OF ANY NOTICE OF THE POSSIBILITY OF SUCH DAMAGES. NOTWITHSTANDING THE FOREGOING, NOTHING IN THIS </w:t>
      </w:r>
      <w:r>
        <w:rPr>
          <w:rFonts w:ascii="Times New Roman" w:hAnsi="Times New Roman"/>
          <w:sz w:val="20"/>
          <w:u w:val="single"/>
        </w:rPr>
        <w:t>SECTION 10.5</w:t>
      </w:r>
      <w:r>
        <w:rPr>
          <w:rFonts w:ascii="Times New Roman" w:hAnsi="Times New Roman"/>
          <w:sz w:val="20"/>
        </w:rPr>
        <w:t xml:space="preserve"> IS INTENDED TO OR SHALL LIMIT OR RESTRICT THE (A) INDEMNIFICATION RIGHTS OR OBLIGATIONS OF EITHER PARTY UNDER </w:t>
      </w:r>
      <w:r>
        <w:rPr>
          <w:rFonts w:ascii="Times New Roman" w:hAnsi="Times New Roman"/>
          <w:sz w:val="20"/>
          <w:u w:val="single"/>
        </w:rPr>
        <w:t>SECTION 10.1</w:t>
      </w:r>
      <w:r>
        <w:rPr>
          <w:rFonts w:ascii="Times New Roman" w:hAnsi="Times New Roman"/>
          <w:sz w:val="20"/>
        </w:rPr>
        <w:t xml:space="preserve"> OR </w:t>
      </w:r>
      <w:r>
        <w:rPr>
          <w:rFonts w:ascii="Times New Roman" w:hAnsi="Times New Roman"/>
          <w:sz w:val="20"/>
          <w:u w:val="single"/>
        </w:rPr>
        <w:t>SECTION 10.2</w:t>
      </w:r>
      <w:r>
        <w:rPr>
          <w:rFonts w:ascii="Times New Roman" w:hAnsi="Times New Roman"/>
          <w:sz w:val="20"/>
        </w:rPr>
        <w:t xml:space="preserve">, (B) DAMAGES AVAILABLE FOR A PARTY’S BREACH OF ITS OBLIGATIONS UNDER </w:t>
      </w:r>
      <w:r>
        <w:rPr>
          <w:rFonts w:ascii="Times New Roman" w:hAnsi="Times New Roman"/>
          <w:sz w:val="20"/>
          <w:u w:val="single"/>
        </w:rPr>
        <w:t>ARTICLE 8</w:t>
      </w:r>
      <w:r>
        <w:rPr>
          <w:rFonts w:ascii="Times New Roman" w:hAnsi="Times New Roman"/>
          <w:sz w:val="20"/>
        </w:rPr>
        <w:t xml:space="preserve"> OR </w:t>
      </w:r>
      <w:r>
        <w:rPr>
          <w:rFonts w:ascii="Times New Roman" w:hAnsi="Times New Roman"/>
          <w:sz w:val="20"/>
          <w:u w:val="single"/>
        </w:rPr>
        <w:t>SECTION 2.7</w:t>
      </w:r>
      <w:r>
        <w:rPr>
          <w:rFonts w:ascii="Times New Roman" w:hAnsi="Times New Roman"/>
          <w:sz w:val="20"/>
        </w:rPr>
        <w:t xml:space="preserve">, (C) DAMAGES AVAILABLE IN THE CASE OF A PARTY’S FRAUD, GROSS NEGLIGENCE OR INTENTIONAL MISCONDUCT, OR (D) DAMAGES TO THE EXTENT THAT SUCH LIMITATION OR RESTRICTION WOULD BE INVALID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b/>
          <w:sz w:val="20"/>
        </w:rPr>
        <w:t>Insurance</w:t>
      </w:r>
      <w:r>
        <w:rPr>
          <w:rFonts w:ascii="Times New Roman" w:hAnsi="Times New Roman"/>
          <w:sz w:val="20"/>
        </w:rPr>
        <w:t xml:space="preserve">. Each Party shall procure and maintain insurance, including product liability insurance, with respect to its activities hereunder that is consistent with normal business practices of prudent companies similarly situated at all times during which any Licensed Product is being clinically tested in human subjects or commercially distributed or sold. Each Party shall provide the other Party with evidence of such insurance upon request and shall provide the other Party with [***] notice at least [***] prior to the cancellation, non-renewal or material changes in such insurance. Such insurance shall not be construed to create a limit of each Party’s liability with respect to its indemnification obligations under this </w:t>
      </w:r>
      <w:r>
        <w:rPr>
          <w:rFonts w:ascii="Times New Roman" w:hAnsi="Times New Roman"/>
          <w:sz w:val="20"/>
          <w:u w:val="single"/>
        </w:rPr>
        <w:t>Article 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Ownership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between the Parties, each Party shall own and retain ownership of (i) all Know-How and Patent Rights owned by such Party as of the Effective Date or that come into the Control of such Party during the Term outside the scope of this Agreement, and (ii) all Foreground Know-How and Foreground Patent Rights solely generated, created, developed, conceived or otherwise made by or on behalf of such Party, </w:t>
      </w:r>
      <w:r>
        <w:rPr>
          <w:rFonts w:ascii="Times New Roman" w:hAnsi="Times New Roman"/>
          <w:sz w:val="20"/>
          <w:u w:val="single"/>
        </w:rPr>
        <w:t>provided</w:t>
      </w:r>
      <w:r>
        <w:rPr>
          <w:rFonts w:ascii="Times New Roman" w:hAnsi="Times New Roman"/>
          <w:sz w:val="20"/>
        </w:rPr>
        <w:t xml:space="preserve"> that, Licensor shall solely own all right, title and interest in and to any Foreground Know-How and Foreground Patent Rights that constitute a modification, improvement, alteration or enhancement to any Licensor Platform, and such Foreground Know-How and Foreground Patent Rights shall be included within the Licensed Technology. Subject to the rest of this </w:t>
      </w:r>
      <w:r>
        <w:rPr>
          <w:rFonts w:ascii="Times New Roman" w:hAnsi="Times New Roman"/>
          <w:sz w:val="20"/>
          <w:u w:val="single"/>
        </w:rPr>
        <w:t>Section 11.1</w:t>
      </w:r>
      <w:r>
        <w:rPr>
          <w:rFonts w:ascii="Times New Roman" w:hAnsi="Times New Roman"/>
          <w:sz w:val="20"/>
        </w:rPr>
        <w:t xml:space="preserve">, the Parties will each own an equal, undivided interest in any and all Joint Foreground Know-How and Joint Foreground Patents. Subject to terms and conditions of this Agreement, including the licenses granted in </w:t>
      </w:r>
      <w:r>
        <w:rPr>
          <w:rFonts w:ascii="Times New Roman" w:hAnsi="Times New Roman"/>
          <w:sz w:val="20"/>
          <w:u w:val="single"/>
        </w:rPr>
        <w:t>Section 2.1</w:t>
      </w:r>
      <w:r>
        <w:rPr>
          <w:rFonts w:ascii="Times New Roman" w:hAnsi="Times New Roman"/>
          <w:sz w:val="20"/>
        </w:rPr>
        <w:t xml:space="preserve"> or </w:t>
      </w:r>
      <w:r>
        <w:rPr>
          <w:rFonts w:ascii="Times New Roman" w:hAnsi="Times New Roman"/>
          <w:sz w:val="20"/>
          <w:u w:val="single"/>
        </w:rPr>
        <w:t>Section 2.5</w:t>
      </w:r>
      <w:r>
        <w:rPr>
          <w:rFonts w:ascii="Times New Roman" w:hAnsi="Times New Roman"/>
          <w:sz w:val="20"/>
        </w:rPr>
        <w:t xml:space="preserve">, each Party shall have the right to use and exercise its ownership rights in and to any and all Joint Foreground Know-How and Joint Foreground Patents without an accounting or obligation to, or consent required from, the other Party. Inventorship of any inventions conceived or reduced to practice in the course of performance of activities pursuant to this Agreement shall be determined in accordance with U.S. patent laws. </w:t>
      </w:r>
    </w:p>
    <w:p>
      <w:pPr>
        <w:pStyle w:val="TextBody"/>
        <w:bidi w:val="0"/>
        <w:spacing w:before="240" w:after="0"/>
        <w:jc w:val="left"/>
        <w:rPr>
          <w:rFonts w:ascii="Times New Roman" w:hAnsi="Times New Roman"/>
          <w:sz w:val="20"/>
        </w:rPr>
      </w:pPr>
      <w:r>
        <w:rPr>
          <w:rFonts w:ascii="Times New Roman" w:hAnsi="Times New Roman"/>
          <w:sz w:val="20"/>
        </w:rPr>
        <w:t xml:space="preserve">(b) Each Party shall [***] disclose to the other [***] any Foreground Know-How that is generated, created, developed, conceived or otherwise made during the Term by such Party or its Affiliates, including all invention disclosures or similar documents submitted by the directors, officers, employees, contractors or agents of such Party or its Affiliates, (sub)licensees or subcontractors relating to or comprising Foreground Know-How, in any event prior to the filing of any patent application with respect thereto. Each Party shall and hereby does assign, on behalf of itself and its Affiliates, to the other Party its rights and interests in and to any Foreground Know-How and Foreground Patent Rights that are owned by the other Party pursuant to </w:t>
      </w:r>
      <w:r>
        <w:rPr>
          <w:rFonts w:ascii="Times New Roman" w:hAnsi="Times New Roman"/>
          <w:sz w:val="20"/>
          <w:u w:val="single"/>
        </w:rPr>
        <w:t>Section 11.1(a)</w:t>
      </w:r>
      <w:r>
        <w:rPr>
          <w:rFonts w:ascii="Times New Roman" w:hAnsi="Times New Roman"/>
          <w:sz w:val="20"/>
        </w:rPr>
        <w:t xml:space="preserve">. Each Party shall cause all of its Affiliates directors, officers, employees, contractors, agents and any others who perform activities for it (or its Affiliates) under this Agreement to assign to such Party (or its Affiliate) their rights in and to any Foreground Know-How and all intellectual property rights therein, except as prohibited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Patent Prosecution.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Licensed Patents and Joint Foreground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As between the Parties, Company shall have the first right to conduct Patent Prosecution of any Licensed Patents that are solely related to the Licensed Products (“</w:t>
      </w:r>
      <w:r>
        <w:rPr>
          <w:rFonts w:ascii="Times New Roman" w:hAnsi="Times New Roman"/>
          <w:b/>
          <w:i/>
          <w:sz w:val="20"/>
        </w:rPr>
        <w:t>Product-Specific Licensed Patents</w:t>
      </w:r>
      <w:r>
        <w:rPr>
          <w:rFonts w:ascii="Times New Roman" w:hAnsi="Times New Roman"/>
          <w:sz w:val="20"/>
        </w:rPr>
        <w:t xml:space="preserve">”) in the Licensed Territory and any Joint Foreground Patents, at [***] cost and expense. Company will keep Licensor [***] informed of the status of the Patent Prosecution of such Patent Rights, and will provide Licensor with copies of material correspondence received from any patent authority in connection with the Patent Prosecution of such Patent Rights, and consider Licensor’s comments [***]. Licensor shall [***] cooperate with and assist Company in connection with its activities under this </w:t>
      </w:r>
      <w:r>
        <w:rPr>
          <w:rFonts w:ascii="Times New Roman" w:hAnsi="Times New Roman"/>
          <w:sz w:val="20"/>
          <w:u w:val="single"/>
        </w:rPr>
        <w:t>Section 11.2(a)(i)</w:t>
      </w:r>
      <w:r>
        <w:rPr>
          <w:rFonts w:ascii="Times New Roman" w:hAnsi="Times New Roman"/>
          <w:sz w:val="20"/>
        </w:rPr>
        <w:t xml:space="preserve">, upon Company’s [***] request, including by making scientists and scientific records reasonably available and the execution of all such documents and instruments and the performance of such acts as may be [***] necessary in order to permit Company to conduct the Patent Prosecution of such Patent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If Company determines to abandon or otherwise not conduct Patent Prosecution of any pending or issued Product-Specific Licensed Patent in the Licensed Territory or any Joint Foreground Patent, then Company shall inform Licensor of such decision [***] allowing the applicable subject matter or such Patent Right to lapse or otherwise become unpatentable, abandoned, unenforceable or dedicated to the public, and Licensor shall thereafter have the right, but not the obligation, to continue the Patent Prosecution of such Patent Rights, at [***] cost and expense and subject to the foregoing information sharing obligation and review and comment rights in </w:t>
      </w:r>
      <w:r>
        <w:rPr>
          <w:rFonts w:ascii="Times New Roman" w:hAnsi="Times New Roman"/>
          <w:sz w:val="20"/>
          <w:u w:val="single"/>
        </w:rPr>
        <w:t>Section 11.2(a)(i)</w:t>
      </w:r>
      <w:r>
        <w:rPr>
          <w:rFonts w:ascii="Times New Roman" w:hAnsi="Times New Roman"/>
          <w:sz w:val="20"/>
        </w:rPr>
        <w:t xml:space="preserve"> applied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As between the Parties, Licensor shall have the sole right to control the Patent Prosecution of all Licensed Patents in the Retained Territory and all Licensed Patents that are not Product-Specific Licensed Patents anywhere in the world, at [***] sole cost and expense, </w:t>
      </w:r>
      <w:r>
        <w:rPr>
          <w:rFonts w:ascii="Times New Roman" w:hAnsi="Times New Roman"/>
          <w:sz w:val="20"/>
          <w:u w:val="single"/>
        </w:rPr>
        <w:t>provided</w:t>
      </w:r>
      <w:r>
        <w:rPr>
          <w:rFonts w:ascii="Times New Roman" w:hAnsi="Times New Roman"/>
          <w:sz w:val="20"/>
        </w:rPr>
        <w:t xml:space="preserve"> that Licensor will consult with Company and consider Company’s comments [***] and will not take actions that would [***] have a material adverse effect on the Patent Prosecution of any Licensed Patents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Other Patents</w:t>
      </w:r>
      <w:r>
        <w:rPr>
          <w:rFonts w:ascii="Times New Roman" w:hAnsi="Times New Roman"/>
          <w:sz w:val="20"/>
        </w:rPr>
        <w:t xml:space="preserve">. Except as expressly set forth in this </w:t>
      </w:r>
      <w:r>
        <w:rPr>
          <w:rFonts w:ascii="Times New Roman" w:hAnsi="Times New Roman"/>
          <w:sz w:val="20"/>
          <w:u w:val="single"/>
        </w:rPr>
        <w:t>Section 11.2</w:t>
      </w:r>
      <w:r>
        <w:rPr>
          <w:rFonts w:ascii="Times New Roman" w:hAnsi="Times New Roman"/>
          <w:sz w:val="20"/>
        </w:rPr>
        <w:t xml:space="preserve">, each Party shall have the sole right, [***], to conduct Patent Prosecution with respect to any and all Patent Rights owned or Controlled by such Party, at [***] sole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Cooperation</w:t>
      </w:r>
      <w:r>
        <w:rPr>
          <w:rFonts w:ascii="Times New Roman" w:hAnsi="Times New Roman"/>
          <w:sz w:val="20"/>
        </w:rPr>
        <w:t xml:space="preserve">. Each Party shall provide the other Party all [***] assistance and cooperation in the Patent Prosecution efforts under this </w:t>
      </w:r>
      <w:r>
        <w:rPr>
          <w:rFonts w:ascii="Times New Roman" w:hAnsi="Times New Roman"/>
          <w:sz w:val="20"/>
          <w:u w:val="single"/>
        </w:rPr>
        <w:t>Section 11.2</w:t>
      </w:r>
      <w:r>
        <w:rPr>
          <w:rFonts w:ascii="Times New Roman" w:hAnsi="Times New Roman"/>
          <w:sz w:val="20"/>
        </w:rPr>
        <w:t xml:space="preserve">, including providing any necessary powers of attorney and executing any other required documents or instruments for such prosecution.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Certain Licensed Patents</w:t>
      </w:r>
      <w:r>
        <w:rPr>
          <w:rFonts w:ascii="Times New Roman" w:hAnsi="Times New Roman"/>
          <w:sz w:val="20"/>
        </w:rPr>
        <w:t xml:space="preserve">. In the event that any subject matter of a Licensed Patent could be claimed under a Product-Specific Licensed Patent, then at the [***] request of the Company and [***], Licensor shall cause such subject matter to be divided from such Licensed Patent into separate Patent Rights (e.g., through the filing of one or more divisional, continuation, continuation-in-part or equivalent applications), which shall be deemed Product-Specific Licensed Patent(s).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b/>
          <w:sz w:val="20"/>
        </w:rPr>
        <w:t>Patent 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w:t>
      </w:r>
      <w:r>
        <w:rPr>
          <w:rFonts w:ascii="Times New Roman" w:hAnsi="Times New Roman"/>
          <w:sz w:val="20"/>
        </w:rPr>
        <w:t>. Each Party shall notify the other within [***] of becoming aware of any alleged or threatened infringement by a Third Party of any of the Licensed Patents or Joint Foreground Patents or any related declaratory judgment or equivalent action alleging the invalidity, unenforceability or non-infringement of any Licensed Patents or Joint Foreground Patents anywhere in the world (“</w:t>
      </w:r>
      <w:r>
        <w:rPr>
          <w:rFonts w:ascii="Times New Roman" w:hAnsi="Times New Roman"/>
          <w:b/>
          <w:i/>
          <w:sz w:val="20"/>
        </w:rPr>
        <w:t>Product Infringement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Enforcement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Company shall have the first right, but not the obligation, [***], to bring and control any legal action to enforce the Product-Specific Licensed Patents and Joint Foreground Patents against any Product Infringement in the Licensed Territory, including response to and defense of challenges to such Patent Rights as a declaratory judgment action or as a counterclaim in an infringement proceeding and any negotiation or settlement in connection with the foregoing, in each case, at [***] sole cost and expense. Company will keep Licensor [***] informed of the status and progress of such action or proceeding, and shall provide Licensor with drafts of all material papers to be filed with the court or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office, as applicable, in connection with such action or proceeding to the extent permitted by Applicable Law or any protective or confidentiality order entered by such court or patent office (excluding any information that is confidential to a Third Party), and shall consider [***] all [***] comments thereto by Licensor before filing such papers. Licensor shall be entitled to separate representation in such matter by counsel of its own choice and at [***] expense. In the event Company does not bring any such legal action (or such Product Infringement is not abated, including though license or settlement) within [***] after the date of notice of such infringement, Licensor may bring and control any legal action to enforce the Product-Specific Licensed Patents and Joint Foreground Patents against such Product Infringement in the Licensed Territory, at [***] sole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(ii) Licensor shall have the sole right, but not the obligation, in its sole discretion, to bring and control any legal action to enforce the Licensed Patents and Joint Foreground Patents in the Retained Territory, and the Licensed Patents that are not Product-Specific Licensed Patents anywhere in the world, in each case, against any Product Infringement including response to and defense of challenges to such Patent Rights as a declaratory judgment action or as a counterclaim in an infringement proceeding and any negotiation or settlement in connection with the foregoing, in each case, at [***] cost and expense, </w:t>
      </w:r>
      <w:r>
        <w:rPr>
          <w:rFonts w:ascii="Times New Roman" w:hAnsi="Times New Roman"/>
          <w:sz w:val="20"/>
          <w:u w:val="single"/>
        </w:rPr>
        <w:t>provided</w:t>
      </w:r>
      <w:r>
        <w:rPr>
          <w:rFonts w:ascii="Times New Roman" w:hAnsi="Times New Roman"/>
          <w:sz w:val="20"/>
        </w:rPr>
        <w:t xml:space="preserve"> that Licensor notifies Company of any such legal action [***] in advance, considers [***] Company’s comments with respect thereto, and that Licensor will not initiate or conduct any such legal actions without Company’s [***] consent (not to be unreasonably withheld, delayed or conditioned) if such actions would be [***] likely to result in any material adverse effect on the Exploitation of the Licensed Therapeutic or Licensed Product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Biosimilar Applications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(i) If either Party receives a copy of an application submitted to the FDA under subsection (k) of Section 351 of the PHSA (a “</w:t>
      </w:r>
      <w:r>
        <w:rPr>
          <w:rFonts w:ascii="Times New Roman" w:hAnsi="Times New Roman"/>
          <w:b/>
          <w:i/>
          <w:sz w:val="20"/>
        </w:rPr>
        <w:t>Biosimilar Application</w:t>
      </w:r>
      <w:r>
        <w:rPr>
          <w:rFonts w:ascii="Times New Roman" w:hAnsi="Times New Roman"/>
          <w:sz w:val="20"/>
        </w:rPr>
        <w:t>”) naming a Licensed Product as a reference product or otherwise becomes aware that such a Biosimilar Application has been filed (including by the receipt of information disclosed pursuant to Section 351(l)(2) of the PHSA, or in an instance described in Section 351(l)(9)(C) of the PHSA), either Party will, within [***], notify the other Party so that the other Party may seek permission to view the application and related confidential information from the filer of the Biosimilar Application under Section 351(l)(1)(B)(iii) of the PHSA. If either Party receives any equivalent or similar certification, information or notice in any other jurisdiction in the Licensed Territory naming a Licensed Product, either Party will, within [***], notify and provide the other Party with copies of such communication.</w:t>
      </w:r>
    </w:p>
    <w:p>
      <w:pPr>
        <w:pStyle w:val="TextBody"/>
        <w:bidi w:val="0"/>
        <w:spacing w:before="240" w:after="0"/>
        <w:jc w:val="left"/>
        <w:rPr>
          <w:rFonts w:ascii="Times New Roman" w:hAnsi="Times New Roman"/>
          <w:sz w:val="20"/>
        </w:rPr>
      </w:pPr>
      <w:r>
        <w:rPr>
          <w:rFonts w:ascii="Times New Roman" w:hAnsi="Times New Roman"/>
          <w:sz w:val="20"/>
        </w:rPr>
        <w:t>(ii) With respect to a Biosimilar Application referring to a Licensed Product in the Field, regardless of the Party that is the “reference product sponsor” for purposes of such Biosimilar Application, (A) Company will have the first right, to designate pursuant to Section 351(l)(1)(B)(ii) of the PHSA the outside counsel and in-house counsel who will receive confidential access to the Biosimilar Application, (B) Company will have the first right, to (1) list any Licensed Patents and any other Patent rights, as required pursuant to Section 351(l)(3)(A), Section 351(l)(5)(b)(i)(II), or Section 351(l)(7) of the PHSA, (2) respond to any communications with respect to such lists from the filer of the Biosimilar Application, and (3) negotiate with the filer of the Biosimilar Application as to whether to utilize a different mechanism for information exchange than that specified in Section 351(l) of the PHSA; and (C) Company will have the first right, to identify Licensed Patents and any other Patent Right, and to respond to communications under any equivalent or similar listing in any other jurisdiction in the Licensed Territory. If Company does not defend a given Patent Right within the Licensed Patents under this Section</w:t>
      </w:r>
      <w:r>
        <w:rPr>
          <w:rFonts w:ascii="Times New Roman" w:hAnsi="Times New Roman"/>
          <w:sz w:val="20"/>
          <w:u w:val="single"/>
        </w:rPr>
        <w:t xml:space="preserve"> </w:t>
      </w:r>
      <w:r>
        <w:rPr>
          <w:rFonts w:ascii="Times New Roman" w:hAnsi="Times New Roman"/>
          <w:sz w:val="20"/>
        </w:rPr>
        <w:t xml:space="preserve">within [***] (or such shorter period of time before the time limit, if any, set forth in the appropriate Laws in the United States or any other country in the Licensed Territory to not waive any statutory rights), or elects not to continue any such defense (in which case it will [***] provide notice thereof to Licensor), then Licensor will have the right (but not the obligation), at [***] expense, to defend any such Licensed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Other Patents</w:t>
      </w:r>
      <w:r>
        <w:rPr>
          <w:rFonts w:ascii="Times New Roman" w:hAnsi="Times New Roman"/>
          <w:sz w:val="20"/>
        </w:rPr>
        <w:t xml:space="preserve">. Except as expressly set forth in this </w:t>
      </w:r>
      <w:r>
        <w:rPr>
          <w:rFonts w:ascii="Times New Roman" w:hAnsi="Times New Roman"/>
          <w:sz w:val="20"/>
          <w:u w:val="single"/>
        </w:rPr>
        <w:t>Section 11.3</w:t>
      </w:r>
      <w:r>
        <w:rPr>
          <w:rFonts w:ascii="Times New Roman" w:hAnsi="Times New Roman"/>
          <w:sz w:val="20"/>
        </w:rPr>
        <w:t xml:space="preserve">, each Party shall have the sole right, [***], to enforce against any infringement any and all Patent Rights owned or Controlled by such Party, at [***]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Cooperation</w:t>
      </w:r>
      <w:r>
        <w:rPr>
          <w:rFonts w:ascii="Times New Roman" w:hAnsi="Times New Roman"/>
          <w:sz w:val="20"/>
        </w:rPr>
        <w:t xml:space="preserve">. At the request of the Party bringing an action under </w:t>
      </w:r>
      <w:r>
        <w:rPr>
          <w:rFonts w:ascii="Times New Roman" w:hAnsi="Times New Roman"/>
          <w:sz w:val="20"/>
          <w:u w:val="single"/>
        </w:rPr>
        <w:t>Section 11.3(b)</w:t>
      </w:r>
      <w:r>
        <w:rPr>
          <w:rFonts w:ascii="Times New Roman" w:hAnsi="Times New Roman"/>
          <w:sz w:val="20"/>
        </w:rPr>
        <w:t xml:space="preserve">, the other Party shall provide [***] assistance in connection therewith, including by executing [***] documents, cooperating in discovery and joining as a party to the action if required by Applicable Law to pursue such action, at each [***]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Recoveries</w:t>
      </w:r>
      <w:r>
        <w:rPr>
          <w:rFonts w:ascii="Times New Roman" w:hAnsi="Times New Roman"/>
          <w:sz w:val="20"/>
        </w:rPr>
        <w:t xml:space="preserve">. Any recoveries resulting from any action under </w:t>
      </w:r>
      <w:r>
        <w:rPr>
          <w:rFonts w:ascii="Times New Roman" w:hAnsi="Times New Roman"/>
          <w:sz w:val="20"/>
          <w:u w:val="single"/>
        </w:rPr>
        <w:t>Section 11.3(b)(i)</w:t>
      </w:r>
      <w:r>
        <w:rPr>
          <w:rFonts w:ascii="Times New Roman" w:hAnsi="Times New Roman"/>
          <w:sz w:val="20"/>
        </w:rPr>
        <w:t xml:space="preserve"> in the Licensed Territory shall be first applied against payment of each Party’s costs and expenses in connection therewith. Any remaining recoveries shall (i) if Company is the Party controlling such action, (a) [***], and (b) [***], and (ii) if Licensor is the Party controlling such action, [***].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b/>
          <w:sz w:val="20"/>
        </w:rPr>
        <w:t>Infringement of Third Party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w:t>
      </w:r>
      <w:r>
        <w:rPr>
          <w:rFonts w:ascii="Times New Roman" w:hAnsi="Times New Roman"/>
          <w:sz w:val="20"/>
        </w:rPr>
        <w:t xml:space="preserve">. If (i) any Licensed Therapeutic or Licensed Product used or sold by Company, its Affiliates or Sublicensees in the Licensed Territory becomes the subject of a Third Party’s claim or assertion of infringement of a Patent Right or other rights in the Licensed Territory that are owned or controlled by such Third Party or (ii) any Licensed Therapeutic or Licensed Product used or sold by Licensor, its Affiliates or Third Party Licensees in the Retained Territory becomes the subject of a Third Party’s claim or assertion of infringement of a Patent Right or other rights in the Retained Territory, then the Party becoming aware of such claim or assertion shall [***] notify the other Party within [***] after receipt of such claim or assertion and such notice shall include a copy of any summons or complaint (or the equivalent thereof) received regarding the foregoing. Thereafter, the Parties shall [***] meet to consider the claim or assertion and the appropriate course of action and may, if appropriate, agree on and enter into a “common interest agreement” wherein the Parties agree to their shared, mutual interest in the outcome of such potential dispute. The Parties shall assert and not waive the joint defense privilege with respect to any communications between the Parties in connection with the defense of such claim or assertion.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Defense by Company</w:t>
      </w:r>
      <w:r>
        <w:rPr>
          <w:rFonts w:ascii="Times New Roman" w:hAnsi="Times New Roman"/>
          <w:sz w:val="20"/>
        </w:rPr>
        <w:t xml:space="preserve">. As between the Parties, Company shall have the sole right (but not the obligation) and shall be solely responsible for the defense of any such infringement claims (or taking actions to challenge any Third Party Patent Right or negotiating a license or settlement to avoid such infringement claim) in the Licensed Territory, at [***] cost and expense, and Licensor shall provide [***] assistance to Company; </w:t>
      </w:r>
      <w:r>
        <w:rPr>
          <w:rFonts w:ascii="Times New Roman" w:hAnsi="Times New Roman"/>
          <w:sz w:val="20"/>
          <w:u w:val="single"/>
        </w:rPr>
        <w:t>provided</w:t>
      </w:r>
      <w:r>
        <w:rPr>
          <w:rFonts w:ascii="Times New Roman" w:hAnsi="Times New Roman"/>
          <w:sz w:val="20"/>
        </w:rPr>
        <w:t xml:space="preserve"> that Company shall not agree to any settlement, consent to judgment or other voluntary final disposition in connection with such defense action without Licensor’s consent (such consent not to be unreasonably withheld, conditioned or delayed) if such settlement, consent to judgment or other voluntary final disposition would (i) result in the admission of any liability or fault on behalf of Licensor, or (ii) subject Licensor to an injunction or otherwise limit Licensor’s ability to take any actions or refrain from taking any actions under this Agreement or with respect to any Licensed Therapeutic or Licensed Product. Company shall keep Licensor informed on the status of such defense action, and Licensor shall, (x) provide [***] support to Company upon Company’s [***] request and [***]; and (y) have the right, but not the obligation, to participate or be separately represented</w:t>
      </w:r>
      <w:r>
        <w:rPr>
          <w:rFonts w:ascii="Times New Roman" w:hAnsi="Times New Roman"/>
          <w:sz w:val="20"/>
          <w:u w:val="single"/>
        </w:rPr>
        <w:t xml:space="preserve"> </w:t>
      </w:r>
      <w:r>
        <w:rPr>
          <w:rFonts w:ascii="Times New Roman" w:hAnsi="Times New Roman"/>
          <w:sz w:val="20"/>
        </w:rPr>
        <w:t xml:space="preserve">in such defense action at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Defense by Licensor</w:t>
      </w:r>
      <w:r>
        <w:rPr>
          <w:rFonts w:ascii="Times New Roman" w:hAnsi="Times New Roman"/>
          <w:sz w:val="20"/>
        </w:rPr>
        <w:t xml:space="preserve">. As between the Parties, Licensor shall have the sole right (but not the obligation) and shall be solely responsible for the defense of any such infringement claims (or taking actions to challenge any Third Party Patent Right or negotiating a license or settlement to avoid such infringement claim) in the Retained Territory, at [***] cost and expense, and Company shall provide reasonable assistance to Licensor; </w:t>
      </w:r>
      <w:r>
        <w:rPr>
          <w:rFonts w:ascii="Times New Roman" w:hAnsi="Times New Roman"/>
          <w:sz w:val="20"/>
          <w:u w:val="single"/>
        </w:rPr>
        <w:t>provided</w:t>
      </w:r>
      <w:r>
        <w:rPr>
          <w:rFonts w:ascii="Times New Roman" w:hAnsi="Times New Roman"/>
          <w:sz w:val="20"/>
        </w:rPr>
        <w:t xml:space="preserve"> that Licensor shall not agree to any settlement, consent to judgment or other voluntary final disposition in connection with such defense action without Company’s consent (such consent not to be unreasonably withheld, conditioned or delayed) if such settlement, consent to judgment or other voluntary final disposition would (i) result in the admission of any liability or fault on behalf of Company, or (ii) subject Company to an injunction or otherwise limit Company’s ability to take any actions or refrain from taking any actions under this Agreement or with respect to any Licensed Therapeutic or Licensed Product. Licensor shall keep Company informed on the status of such defense action, and Company shall, (x) provide [***] support to Licensor upon Licensor’s [***] request and [***]; and (y) have the right, but not the obligation, to participate or be separately represented</w:t>
      </w:r>
      <w:r>
        <w:rPr>
          <w:rFonts w:ascii="Times New Roman" w:hAnsi="Times New Roman"/>
          <w:sz w:val="20"/>
          <w:u w:val="single"/>
        </w:rPr>
        <w:t xml:space="preserve"> </w:t>
      </w:r>
      <w:r>
        <w:rPr>
          <w:rFonts w:ascii="Times New Roman" w:hAnsi="Times New Roman"/>
          <w:sz w:val="20"/>
        </w:rPr>
        <w:t xml:space="preserve">in such defense action at [***]. Notwithstanding the foregoing, Licensor will not initiate or conduct any such actions without first consulting with Company [***], if such actions would be [***] likely to result in any material adverse effect on the Exploitation of the Licensed Therapeutic or Licensed Product in the Licensed Territory.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TERMS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Term</w:t>
      </w:r>
      <w:r>
        <w:rPr>
          <w:rFonts w:ascii="Times New Roman" w:hAnsi="Times New Roman"/>
          <w:sz w:val="20"/>
        </w:rPr>
        <w:t xml:space="preserve">. This Agreement shall be effective as of the Effective Date, and shall continue, unless terminated earlier in accordance with this </w:t>
      </w:r>
      <w:r>
        <w:rPr>
          <w:rFonts w:ascii="Times New Roman" w:hAnsi="Times New Roman"/>
          <w:sz w:val="20"/>
          <w:u w:val="single"/>
        </w:rPr>
        <w:t>Article 12</w:t>
      </w:r>
      <w:r>
        <w:rPr>
          <w:rFonts w:ascii="Times New Roman" w:hAnsi="Times New Roman"/>
          <w:sz w:val="20"/>
        </w:rPr>
        <w:t>, until expiration of the last Royalty Term for the last Licensed Product in the Licensed Territory (the “</w:t>
      </w:r>
      <w:r>
        <w:rPr>
          <w:rFonts w:ascii="Times New Roman" w:hAnsi="Times New Roman"/>
          <w:b/>
          <w:i/>
          <w:sz w:val="20"/>
        </w:rPr>
        <w:t>Term</w:t>
      </w:r>
      <w:r>
        <w:rPr>
          <w:rFonts w:ascii="Times New Roman" w:hAnsi="Times New Roman"/>
          <w:sz w:val="20"/>
        </w:rPr>
        <w:t xml:space="preserve">”). Upon expiration of this Agreement pursuant to this </w:t>
      </w:r>
      <w:r>
        <w:rPr>
          <w:rFonts w:ascii="Times New Roman" w:hAnsi="Times New Roman"/>
          <w:sz w:val="20"/>
          <w:u w:val="single"/>
        </w:rPr>
        <w:t>Section 12.1</w:t>
      </w:r>
      <w:r>
        <w:rPr>
          <w:rFonts w:ascii="Times New Roman" w:hAnsi="Times New Roman"/>
          <w:sz w:val="20"/>
        </w:rPr>
        <w:t xml:space="preserve">, the licenses granted to Company under </w:t>
      </w:r>
      <w:r>
        <w:rPr>
          <w:rFonts w:ascii="Times New Roman" w:hAnsi="Times New Roman"/>
          <w:sz w:val="20"/>
          <w:u w:val="single"/>
        </w:rPr>
        <w:t>Section 2.1</w:t>
      </w:r>
      <w:r>
        <w:rPr>
          <w:rFonts w:ascii="Times New Roman" w:hAnsi="Times New Roman"/>
          <w:sz w:val="20"/>
        </w:rPr>
        <w:t xml:space="preserve"> shall become fully paid-up, irrevocable, perpetual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Termination by Company for Convenience</w:t>
      </w:r>
      <w:r>
        <w:rPr>
          <w:rFonts w:ascii="Times New Roman" w:hAnsi="Times New Roman"/>
          <w:sz w:val="20"/>
        </w:rPr>
        <w:t xml:space="preserve">. At [***], Company may terminate this Agreement for convenience, [***] by providing written notice of termination to Licensor, which notice includes an effective date of termination at least (i) [***], or (ii) [***].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Termination for Material Breach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either Party believes [***] that the other is in material breach of this Agreement, then the non-breaching Party may deliver written notice of such breach to the other Party. For any such alleged material breach, the allegedly breaching Party shall have [***] (or within [***] from the date of such notice in the event such material breach is solely based upon a failure to pay any amounts due hereunder) from the receipt of the initial notice to cure such breach. If the Party receiving notice of material breach fails to cure the breach within such [***] (or [***] for non-payment), then the non-breaching Party may terminate this Agreement [***] effective on written notice of termination to the other Party. Notwithstanding the foregoing, (a) if such material breach, by its nature, is curable, but is not reasonably curable within the [***], then such period shall be extended for an additional [***] if the breaching Party provides a written plan for curing such breach to the non-breaching Party and uses Commercially Reasonable Efforts to cure such breach in accordance with such written plan. </w:t>
      </w:r>
    </w:p>
    <w:p>
      <w:pPr>
        <w:pStyle w:val="TextBody"/>
        <w:bidi w:val="0"/>
        <w:spacing w:before="240" w:after="0"/>
        <w:jc w:val="left"/>
        <w:rPr>
          <w:rFonts w:ascii="Times New Roman" w:hAnsi="Times New Roman"/>
          <w:sz w:val="20"/>
        </w:rPr>
      </w:pPr>
      <w:r>
        <w:rPr>
          <w:rFonts w:ascii="Times New Roman" w:hAnsi="Times New Roman"/>
          <w:sz w:val="20"/>
        </w:rPr>
        <w:t xml:space="preserve">(ii) In case the Party alleged under </w:t>
      </w:r>
      <w:r>
        <w:rPr>
          <w:rFonts w:ascii="Times New Roman" w:hAnsi="Times New Roman"/>
          <w:sz w:val="20"/>
          <w:u w:val="single"/>
        </w:rPr>
        <w:t>Section 12.2(b)(i)</w:t>
      </w:r>
      <w:r>
        <w:rPr>
          <w:rFonts w:ascii="Times New Roman" w:hAnsi="Times New Roman"/>
          <w:sz w:val="20"/>
        </w:rPr>
        <w:t xml:space="preserve"> to have committed a material breach of this Agreement (the “</w:t>
      </w:r>
      <w:r>
        <w:rPr>
          <w:rFonts w:ascii="Times New Roman" w:hAnsi="Times New Roman"/>
          <w:b/>
          <w:i/>
          <w:sz w:val="20"/>
        </w:rPr>
        <w:t>Defaulting Party</w:t>
      </w:r>
      <w:r>
        <w:rPr>
          <w:rFonts w:ascii="Times New Roman" w:hAnsi="Times New Roman"/>
          <w:sz w:val="20"/>
        </w:rPr>
        <w:t>”) by the other Party (the “</w:t>
      </w:r>
      <w:r>
        <w:rPr>
          <w:rFonts w:ascii="Times New Roman" w:hAnsi="Times New Roman"/>
          <w:b/>
          <w:i/>
          <w:sz w:val="20"/>
        </w:rPr>
        <w:t>Non-Defaulting Party</w:t>
      </w:r>
      <w:r>
        <w:rPr>
          <w:rFonts w:ascii="Times New Roman" w:hAnsi="Times New Roman"/>
          <w:sz w:val="20"/>
        </w:rPr>
        <w:t xml:space="preserve">”) disputes the existence or materiality of such material breach, then the issue of whether the Non-Defaulting Party may properly terminate this Agreement on expiration of the applicable cure period shall be resolved in accordance with </w:t>
      </w:r>
      <w:r>
        <w:rPr>
          <w:rFonts w:ascii="Times New Roman" w:hAnsi="Times New Roman"/>
          <w:sz w:val="20"/>
          <w:u w:val="single"/>
        </w:rPr>
        <w:t>Section 13.7</w:t>
      </w:r>
      <w:r>
        <w:rPr>
          <w:rFonts w:ascii="Times New Roman" w:hAnsi="Times New Roman"/>
          <w:sz w:val="20"/>
        </w:rPr>
        <w:t xml:space="preserve">. If, as a result of such dispute resolution proceeding,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determined that the Defaulting Party committed a material breach and the Defaulting Party does not cure such material breach within [***] after the date of such determination (the “</w:t>
      </w:r>
      <w:r>
        <w:rPr>
          <w:rFonts w:ascii="Times New Roman" w:hAnsi="Times New Roman"/>
          <w:b/>
          <w:i/>
          <w:sz w:val="20"/>
        </w:rPr>
        <w:t>Additional Cure Period</w:t>
      </w:r>
      <w:r>
        <w:rPr>
          <w:rFonts w:ascii="Times New Roman" w:hAnsi="Times New Roman"/>
          <w:sz w:val="20"/>
        </w:rPr>
        <w:t xml:space="preserve">”), then such termination shall be effective as of the expiration of the Additional Cure Period. If the Parties dispute whether such material breach was so cured, such dispute shall also be determined in accordance with </w:t>
      </w:r>
      <w:r>
        <w:rPr>
          <w:rFonts w:ascii="Times New Roman" w:hAnsi="Times New Roman"/>
          <w:sz w:val="20"/>
          <w:u w:val="single"/>
        </w:rPr>
        <w:t>Section 13.7</w:t>
      </w:r>
      <w:r>
        <w:rPr>
          <w:rFonts w:ascii="Times New Roman" w:hAnsi="Times New Roman"/>
          <w:sz w:val="20"/>
        </w:rPr>
        <w:t xml:space="preserve">. This Agreement shall remain in full force and effect while any such dispute resolution proceeding is pending, such proceeding shall not suspend any obligations of either Party hereunder, and each Party shall use reasonable efforts to mitigate any damage. If, as a result of such dispute resolution proceeding, it is determined that (x) the Defaulting Party did not commit such breach, (y) such breach was not material or (z) such breach was cured in accordance with this </w:t>
      </w:r>
      <w:r>
        <w:rPr>
          <w:rFonts w:ascii="Times New Roman" w:hAnsi="Times New Roman"/>
          <w:sz w:val="20"/>
          <w:u w:val="single"/>
        </w:rPr>
        <w:t>Section 12.2(b)</w:t>
      </w:r>
      <w:r>
        <w:rPr>
          <w:rFonts w:ascii="Times New Roman" w:hAnsi="Times New Roman"/>
          <w:sz w:val="20"/>
        </w:rPr>
        <w:t xml:space="preserve">, then no termination shall be effective, and this Agreement shall continue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Termination for Insolvency</w:t>
      </w:r>
      <w:r>
        <w:rPr>
          <w:rFonts w:ascii="Times New Roman" w:hAnsi="Times New Roman"/>
          <w:sz w:val="20"/>
        </w:rPr>
        <w:t>. Each Party shall have the right to terminate this Agreement upon delivery of written notice to the other Party in the event that (i)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(ii) such other Party is served with an involuntary petition against it in any insolvency proceeding and such involuntary petition has not been stayed or dismissed within ninety (90) days of its filing, or (iii) such other Party makes an assignment of substantially all of its assets for the benefit of its creditors (each of (i) through (iii), an “</w:t>
      </w:r>
      <w:r>
        <w:rPr>
          <w:rFonts w:ascii="Times New Roman" w:hAnsi="Times New Roman"/>
          <w:b/>
          <w:i/>
          <w:sz w:val="20"/>
        </w:rPr>
        <w:t>Insolvency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 for Patent Challenge</w:t>
      </w:r>
      <w:r>
        <w:rPr>
          <w:rFonts w:ascii="Times New Roman" w:hAnsi="Times New Roman"/>
          <w:sz w:val="20"/>
        </w:rPr>
        <w:t>. If Company or any of its Affiliates or Sublicensees [***] any legal or administrative proceeding that challenges the validity or enforceability of any Licensed Patent (a “</w:t>
      </w:r>
      <w:r>
        <w:rPr>
          <w:rFonts w:ascii="Times New Roman" w:hAnsi="Times New Roman"/>
          <w:b/>
          <w:i/>
          <w:sz w:val="20"/>
        </w:rPr>
        <w:t>Patent Challenge</w:t>
      </w:r>
      <w:r>
        <w:rPr>
          <w:rFonts w:ascii="Times New Roman" w:hAnsi="Times New Roman"/>
          <w:sz w:val="20"/>
        </w:rPr>
        <w:t xml:space="preserve">”), then Licensor shall have the right to terminate this Agreement upon written notice to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Section 12.2(d)</w:t>
      </w:r>
      <w:r>
        <w:rPr>
          <w:rFonts w:ascii="Times New Roman" w:hAnsi="Times New Roman"/>
          <w:sz w:val="20"/>
        </w:rPr>
        <w:t xml:space="preserve"> will not apply to any Patent Challenge that (i) [***], (ii) [***], or (iii) [***].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Termination for Inactivity</w:t>
      </w:r>
      <w:r>
        <w:rPr>
          <w:rFonts w:ascii="Times New Roman" w:hAnsi="Times New Roman"/>
          <w:sz w:val="20"/>
        </w:rPr>
        <w:t xml:space="preserve">. If the Company and its Affiliates and its and their Sublicensees do not conduct any material Development or Commercialization activities with respect to the Licensed Therapeutic or Licensed Products for a continuous period of longer than [***], and such failure to conduct any material Development or Commercialization activities is not due to (i) [***], (ii) [***], (iii) [***], (iv) [***] (A) [***], (B) [***], or (C) [***], (v) [***], (vi) [***], (vii) [***], or (viii) [***], Licensor shall have the right to terminate this Agreement upon [***] written notice thereof to the Company; </w:t>
      </w:r>
      <w:r>
        <w:rPr>
          <w:rFonts w:ascii="Times New Roman" w:hAnsi="Times New Roman"/>
          <w:sz w:val="20"/>
          <w:u w:val="single"/>
        </w:rPr>
        <w:t>provided</w:t>
      </w:r>
      <w:r>
        <w:rPr>
          <w:rFonts w:ascii="Times New Roman" w:hAnsi="Times New Roman"/>
          <w:sz w:val="20"/>
        </w:rPr>
        <w:t xml:space="preserve"> that, Company may submit a written plan within [***] after Company’s receipt of such written notice that is reasonably calculated to remedy such failure to conduct any material Development or Commercialization activities with respect to a Licensed Product. If such cure plan is [***] acceptable to Licensor and Company commences any material Development or Commercialization activities in accordance with the terms of such cure plan during such [***] and provides satisfactory written documentation thereof to Licensor, then this Agreement will not terminate upon the expiration of such [***].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b/>
          <w:sz w:val="20"/>
        </w:rPr>
        <w:t>Effect of Termination.</w:t>
      </w:r>
      <w:r>
        <w:rPr>
          <w:rFonts w:ascii="Times New Roman" w:hAnsi="Times New Roman"/>
          <w:sz w:val="20"/>
        </w:rPr>
        <w:t xml:space="preserve"> Upon the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set forth in </w:t>
      </w:r>
      <w:r>
        <w:rPr>
          <w:rFonts w:ascii="Times New Roman" w:hAnsi="Times New Roman"/>
          <w:sz w:val="20"/>
          <w:u w:val="single"/>
        </w:rPr>
        <w:t>Section 12.3(b)</w:t>
      </w:r>
      <w:r>
        <w:rPr>
          <w:rFonts w:ascii="Times New Roman" w:hAnsi="Times New Roman"/>
          <w:sz w:val="20"/>
        </w:rPr>
        <w:t xml:space="preserve"> or in </w:t>
      </w:r>
      <w:r>
        <w:rPr>
          <w:rFonts w:ascii="Times New Roman" w:hAnsi="Times New Roman"/>
          <w:sz w:val="20"/>
          <w:u w:val="single"/>
        </w:rPr>
        <w:t>Section 12.6</w:t>
      </w:r>
      <w:r>
        <w:rPr>
          <w:rFonts w:ascii="Times New Roman" w:hAnsi="Times New Roman"/>
          <w:sz w:val="20"/>
        </w:rPr>
        <w:t xml:space="preserve">, all rights and obligations of the Parties shall terminate, including the licenses granted in </w:t>
      </w:r>
      <w:r>
        <w:rPr>
          <w:rFonts w:ascii="Times New Roman" w:hAnsi="Times New Roman"/>
          <w:sz w:val="20"/>
          <w:u w:val="single"/>
        </w:rPr>
        <w:t>Article 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for termination by the Company under </w:t>
      </w:r>
      <w:r>
        <w:rPr>
          <w:rFonts w:ascii="Times New Roman" w:hAnsi="Times New Roman"/>
          <w:sz w:val="20"/>
          <w:u w:val="single"/>
        </w:rPr>
        <w:t>Section 12.2(b)</w:t>
      </w:r>
      <w:r>
        <w:rPr>
          <w:rFonts w:ascii="Times New Roman" w:hAnsi="Times New Roman"/>
          <w:sz w:val="20"/>
        </w:rPr>
        <w:t xml:space="preserve"> or </w:t>
      </w:r>
      <w:r>
        <w:rPr>
          <w:rFonts w:ascii="Times New Roman" w:hAnsi="Times New Roman"/>
          <w:sz w:val="20"/>
          <w:u w:val="single"/>
        </w:rPr>
        <w:t>Section 12.2(c)</w:t>
      </w:r>
      <w:r>
        <w:rPr>
          <w:rFonts w:ascii="Times New Roman" w:hAnsi="Times New Roman"/>
          <w:sz w:val="20"/>
        </w:rPr>
        <w:t xml:space="preserve">, that the rights and licenses granted to Licensor under </w:t>
      </w:r>
      <w:r>
        <w:rPr>
          <w:rFonts w:ascii="Times New Roman" w:hAnsi="Times New Roman"/>
          <w:sz w:val="20"/>
          <w:u w:val="single"/>
        </w:rPr>
        <w:t>Section 2.5</w:t>
      </w:r>
      <w:r>
        <w:rPr>
          <w:rFonts w:ascii="Times New Roman" w:hAnsi="Times New Roman"/>
          <w:sz w:val="20"/>
        </w:rPr>
        <w:t xml:space="preserve"> and </w:t>
      </w:r>
      <w:r>
        <w:rPr>
          <w:rFonts w:ascii="Times New Roman" w:hAnsi="Times New Roman"/>
          <w:sz w:val="20"/>
          <w:u w:val="single"/>
        </w:rPr>
        <w:t>Section 4.5</w:t>
      </w:r>
      <w:r>
        <w:rPr>
          <w:rFonts w:ascii="Times New Roman" w:hAnsi="Times New Roman"/>
          <w:sz w:val="20"/>
        </w:rPr>
        <w:t xml:space="preserve"> shall automatically become non-exclusive, worldwide, irrevocable and perpetual;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(b) upon the [***] request of any Sublicensee of Company that is not, at the time of such termination, in material breach of its sublicense agreement with Company, Licensor shall enter into a direct license with such Sublicensee on the same terms as this Agreement (each, a “</w:t>
      </w:r>
      <w:r>
        <w:rPr>
          <w:rFonts w:ascii="Times New Roman" w:hAnsi="Times New Roman"/>
          <w:b/>
          <w:i/>
          <w:sz w:val="20"/>
        </w:rPr>
        <w:t>New License Agreement</w:t>
      </w:r>
      <w:r>
        <w:rPr>
          <w:rFonts w:ascii="Times New Roman" w:hAnsi="Times New Roman"/>
          <w:sz w:val="20"/>
        </w:rPr>
        <w:t xml:space="preserve">”). Under any such New License Agreement, such Sublicensee shall be required to pay to Licensor the same amounts in consideration for such direct grant as Licensor would have received from Company pursuant to this Agreement on account of such Sublicensee’s Exploitation of Licensed Products under the Licensed Technology had this Agreement not been terminated, taking into account any difference in license scope, territory, and duration of the New License Agreement. Under any such New License Agreement, Licensor shall not be bound by any grant of rights broader than, and shall not be required to perform any obligation other than, those rights and obligations contained in this Agreement, and all applicable rights of Licensor set forth in this Agreement shall be included in such New License Agreement. Notwithstanding the foregoing, Licensor shall not be obligated to enter into a New License Agreement with any Sublicensee unless such Sublicensee provides [***] notice to Licensor within [***] after the effective date of termination of this Agreement that it wishes to enter into a New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(c) if, at the time of such termination, Company or its Affiliates are conducting any Clinical Trials with respect to any Licensed Product, then, at Company’s election on a Clinical Trial-by-Clinical Trial basis: (i) Company shall [***] cooperate, and shall ensure that its Affiliates [***] cooperate, with Licensor to transfer the conduct of such Clinical Trial to Licensor or its designees effective as of [***] after the termination effective date; or (ii) Company shall, at [***] cost and expense, orderly wind-down the conduct of any such Clinical Trial that is not assumed by Licensor under clause (i) above. </w:t>
      </w:r>
    </w:p>
    <w:p>
      <w:pPr>
        <w:pStyle w:val="TextBody"/>
        <w:bidi w:val="0"/>
        <w:spacing w:before="240" w:after="0"/>
        <w:jc w:val="left"/>
        <w:rPr>
          <w:rFonts w:ascii="Times New Roman" w:hAnsi="Times New Roman"/>
          <w:sz w:val="20"/>
        </w:rPr>
      </w:pPr>
      <w:r>
        <w:rPr>
          <w:rFonts w:ascii="Times New Roman" w:hAnsi="Times New Roman"/>
          <w:sz w:val="20"/>
        </w:rPr>
        <w:t xml:space="preserve">(d) upon Licensor’s [***] request and to the extent permitted by Applicable Laws, Company shall, and hereby does, assign and transfer to Licensor (or its designee) all of Company’s and its Affiliates’ rights, title and interests in and to any Regulatory Approvals solely related to the Licensed Products and related regulatory submissions, and all human materials, pharmacological, toxicological and clinical test data and results, research data, reports and batch records, safety data and all other Data generated and Controlled by Company or its Affiliates in the Development, Manufacture or Commercialization of the Licensed Products and are necessary or reasonably useful for the Development, Manufacture or Commercialization of the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(e) Company shall, and hereby does, assign and transfer to Licensor all of Company’s and its Affiliates’ rights, title and interests in and to any trademarks, logos and tradenames used by Licensor or its Affiliates with respect to any Licensed Product (other than Company’s or its Affiliates’ corporate names and logos); and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there are any Licensed Products sold in a country in the Licensed Territory, then subject to payment of all royalties, Company (and its Affiliates or, subject to </w:t>
      </w:r>
      <w:r>
        <w:rPr>
          <w:rFonts w:ascii="Times New Roman" w:hAnsi="Times New Roman"/>
          <w:sz w:val="20"/>
          <w:u w:val="single"/>
        </w:rPr>
        <w:t>Section 12.3(b)</w:t>
      </w:r>
      <w:r>
        <w:rPr>
          <w:rFonts w:ascii="Times New Roman" w:hAnsi="Times New Roman"/>
          <w:sz w:val="20"/>
        </w:rPr>
        <w:t xml:space="preserve"> applicable Sublicensees) shall have the right to sell existing or work-in-progress Licensed Products for a period not to exceed [***] after the effective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12.4 </w:t>
      </w:r>
      <w:r>
        <w:rPr>
          <w:rFonts w:ascii="Times New Roman" w:hAnsi="Times New Roman"/>
          <w:b/>
          <w:sz w:val="20"/>
        </w:rPr>
        <w:t>Rights in Insolvency</w:t>
      </w:r>
      <w:r>
        <w:rPr>
          <w:rFonts w:ascii="Times New Roman" w:hAnsi="Times New Roman"/>
          <w:sz w:val="20"/>
        </w:rPr>
        <w:t>. All rights and licenses now or hereafter granted by Licensor to Company under or pursuant to this Agreement are, for all purposes of Section 365(n) of the Bankruptcy Code or comparable provision of applicable bankruptcy or insolvency laws (collectively, the “</w:t>
      </w:r>
      <w:r>
        <w:rPr>
          <w:rFonts w:ascii="Times New Roman" w:hAnsi="Times New Roman"/>
          <w:b/>
          <w:i/>
          <w:sz w:val="20"/>
        </w:rPr>
        <w:t>Bankruptcy Code</w:t>
      </w:r>
      <w:r>
        <w:rPr>
          <w:rFonts w:ascii="Times New Roman" w:hAnsi="Times New Roman"/>
          <w:sz w:val="20"/>
        </w:rPr>
        <w:t xml:space="preserve">”), licenses of rights to “intellectual property” as defined in the Bankruptcy Code. Upon an Insolvency Event, Licensor agrees that Company, as licensee of such rights under this Agreement, will retain and may fully exercise all of its rights and elections under the Bankruptcy Code. Licensor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or comparable provisions in other Bankruptcy Code include laboratory notebooks, cell lines, product samples and inventory, research studies and data, all Regulatory Approvals (and all applications for Regulatory Approval) and rights of reference therein, the Licensed Technology and all information related to the Licensed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If (x) a case under the Bankruptcy Code is commenced by or against Licensor, (y) this Agreement is rejected as provided in the Bankruptcy Code and (z) Company elects to retain its rights hereunder as provided in the Bankruptcy Code, Licensor (in any capacity, including debtor-in-possession) and its successors and assigns (including a trustee) will: </w:t>
      </w:r>
    </w:p>
    <w:p>
      <w:pPr>
        <w:pStyle w:val="TextBody"/>
        <w:bidi w:val="0"/>
        <w:spacing w:before="120" w:after="0"/>
        <w:jc w:val="left"/>
        <w:rPr>
          <w:rFonts w:ascii="Times New Roman" w:hAnsi="Times New Roman"/>
          <w:sz w:val="20"/>
        </w:rPr>
      </w:pPr>
      <w:r>
        <w:rPr>
          <w:rFonts w:ascii="Times New Roman" w:hAnsi="Times New Roman"/>
          <w:sz w:val="20"/>
        </w:rPr>
        <w:t xml:space="preserve">(i) provide Company with embodiments of all Licensed Technology held by Licensor and such successors and assigns, or otherwise available to them, immediately upon Company’s written request, and Company will have the right to perform Licensor’s obligations hereunder and exercise all of the rights of a licensee of intellectual property under the Bankruptcy Code, </w:t>
      </w:r>
      <w:r>
        <w:rPr>
          <w:rFonts w:ascii="Times New Roman" w:hAnsi="Times New Roman"/>
          <w:sz w:val="20"/>
          <w:u w:val="single"/>
        </w:rPr>
        <w:t>provided</w:t>
      </w:r>
      <w:r>
        <w:rPr>
          <w:rFonts w:ascii="Times New Roman" w:hAnsi="Times New Roman"/>
          <w:sz w:val="20"/>
        </w:rPr>
        <w:t xml:space="preserve"> that neither such provision nor such performance by Company will release Licensor from liability resulting from rejection of the license or the failure to perform such obligations; and </w:t>
      </w:r>
    </w:p>
    <w:p>
      <w:pPr>
        <w:pStyle w:val="TextBody"/>
        <w:bidi w:val="0"/>
        <w:spacing w:before="240" w:after="0"/>
        <w:jc w:val="left"/>
        <w:rPr>
          <w:rFonts w:ascii="Times New Roman" w:hAnsi="Times New Roman"/>
          <w:sz w:val="20"/>
        </w:rPr>
      </w:pPr>
      <w:r>
        <w:rPr>
          <w:rFonts w:ascii="Times New Roman" w:hAnsi="Times New Roman"/>
          <w:sz w:val="20"/>
        </w:rPr>
        <w:t xml:space="preserve">(ii) not interfere with Company’s rights under this Agreement, or any agreement supplemental hereto, to such intellectual property (including such embodiments), including any right to obtain such intellectual property (or such embodiments) from any other Person, to the extent provided in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(b) All rights, powers and remedies of Company provided herein are in addition to and not in substitution for any other rights, powers and remedies now or hereafter existing at law or in equity (including the Bankruptcy Code) in the event of the commencement of a case under the Bankruptcy Code with respect to Licensor. The Parties intend the following rights to extend to the maximum extent permitted by Applicable Law, and to be enforceable under the Bankruptcy Code: </w:t>
      </w:r>
    </w:p>
    <w:p>
      <w:pPr>
        <w:pStyle w:val="TextBody"/>
        <w:bidi w:val="0"/>
        <w:spacing w:before="120" w:after="0"/>
        <w:jc w:val="left"/>
        <w:rPr>
          <w:rFonts w:ascii="Times New Roman" w:hAnsi="Times New Roman"/>
          <w:sz w:val="20"/>
        </w:rPr>
      </w:pPr>
      <w:r>
        <w:rPr>
          <w:rFonts w:ascii="Times New Roman" w:hAnsi="Times New Roman"/>
          <w:sz w:val="20"/>
        </w:rPr>
        <w:t xml:space="preserve">(i) the right of access to any intellectual property rights (including all embodiments thereof) of Licensor, or any Third Party with whom Licensor contracts to perform an obligation of Licensor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(ii) the right to contract directly with any Third Party to complete the contracted work. </w:t>
      </w:r>
    </w:p>
    <w:p>
      <w:pPr>
        <w:pStyle w:val="TextBody"/>
        <w:bidi w:val="0"/>
        <w:spacing w:before="240" w:after="0"/>
        <w:jc w:val="left"/>
        <w:rPr>
          <w:rFonts w:ascii="Times New Roman" w:hAnsi="Times New Roman"/>
          <w:sz w:val="20"/>
        </w:rPr>
      </w:pPr>
      <w:r>
        <w:rPr>
          <w:rFonts w:ascii="Times New Roman" w:hAnsi="Times New Roman"/>
          <w:sz w:val="20"/>
        </w:rPr>
        <w:t xml:space="preserve">12.5 </w:t>
      </w:r>
      <w:r>
        <w:rPr>
          <w:rFonts w:ascii="Times New Roman" w:hAnsi="Times New Roman"/>
          <w:b/>
          <w:sz w:val="20"/>
        </w:rPr>
        <w:t>Accrued Rights</w:t>
      </w:r>
      <w:r>
        <w:rPr>
          <w:rFonts w:ascii="Times New Roman" w:hAnsi="Times New Roman"/>
          <w:sz w:val="20"/>
        </w:rPr>
        <w:t xml:space="preserve">. Expiration or termination of this Agreement for any reason shall be without prejudice to any right which shall have accrued to the benefit of either Party prior to such termination, including damages arising from any breach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12.6 </w:t>
      </w:r>
      <w:r>
        <w:rPr>
          <w:rFonts w:ascii="Times New Roman" w:hAnsi="Times New Roman"/>
          <w:b/>
          <w:sz w:val="20"/>
        </w:rPr>
        <w:t>Survival</w:t>
      </w:r>
      <w:r>
        <w:rPr>
          <w:rFonts w:ascii="Times New Roman" w:hAnsi="Times New Roman"/>
          <w:sz w:val="20"/>
        </w:rPr>
        <w:t xml:space="preserve">. The provisions of </w:t>
      </w:r>
      <w:r>
        <w:rPr>
          <w:rFonts w:ascii="Times New Roman" w:hAnsi="Times New Roman"/>
          <w:sz w:val="20"/>
          <w:u w:val="single"/>
        </w:rPr>
        <w:t>Article 1</w:t>
      </w:r>
      <w:r>
        <w:rPr>
          <w:rFonts w:ascii="Times New Roman" w:hAnsi="Times New Roman"/>
          <w:sz w:val="20"/>
        </w:rPr>
        <w:t xml:space="preserve">, </w:t>
      </w:r>
      <w:r>
        <w:rPr>
          <w:rFonts w:ascii="Times New Roman" w:hAnsi="Times New Roman"/>
          <w:sz w:val="20"/>
          <w:u w:val="single"/>
        </w:rPr>
        <w:t>Section 2.5</w:t>
      </w:r>
      <w:r>
        <w:rPr>
          <w:rFonts w:ascii="Times New Roman" w:hAnsi="Times New Roman"/>
          <w:sz w:val="20"/>
        </w:rPr>
        <w:t xml:space="preserve">, </w:t>
      </w:r>
      <w:r>
        <w:rPr>
          <w:rFonts w:ascii="Times New Roman" w:hAnsi="Times New Roman"/>
          <w:sz w:val="20"/>
          <w:u w:val="single"/>
        </w:rPr>
        <w:t>Article 7</w:t>
      </w:r>
      <w:r>
        <w:rPr>
          <w:rFonts w:ascii="Times New Roman" w:hAnsi="Times New Roman"/>
          <w:sz w:val="20"/>
        </w:rPr>
        <w:t xml:space="preserve"> (solely with respect to any payment obligations that have accrued prior to the effective date of expiration or termination of this Agreement or incurred under </w:t>
      </w:r>
      <w:r>
        <w:rPr>
          <w:rFonts w:ascii="Times New Roman" w:hAnsi="Times New Roman"/>
          <w:sz w:val="20"/>
          <w:u w:val="single"/>
        </w:rPr>
        <w:t>Section 12.3(f)</w:t>
      </w:r>
      <w:r>
        <w:rPr>
          <w:rFonts w:ascii="Times New Roman" w:hAnsi="Times New Roman"/>
          <w:sz w:val="20"/>
        </w:rPr>
        <w:t xml:space="preserve"> and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Section 7.13</w:t>
      </w:r>
      <w:r>
        <w:rPr>
          <w:rFonts w:ascii="Times New Roman" w:hAnsi="Times New Roman"/>
          <w:sz w:val="20"/>
        </w:rPr>
        <w:t xml:space="preserve"> shall only survive for the time period provided), </w:t>
      </w:r>
      <w:r>
        <w:rPr>
          <w:rFonts w:ascii="Times New Roman" w:hAnsi="Times New Roman"/>
          <w:sz w:val="20"/>
          <w:u w:val="single"/>
        </w:rPr>
        <w:t>Article 8</w:t>
      </w:r>
      <w:r>
        <w:rPr>
          <w:rFonts w:ascii="Times New Roman" w:hAnsi="Times New Roman"/>
          <w:sz w:val="20"/>
        </w:rPr>
        <w:t xml:space="preserve"> (solely for the time period provided), </w:t>
      </w:r>
      <w:r>
        <w:rPr>
          <w:rFonts w:ascii="Times New Roman" w:hAnsi="Times New Roman"/>
          <w:sz w:val="20"/>
          <w:u w:val="single"/>
        </w:rPr>
        <w:t>Article 10</w:t>
      </w:r>
      <w:r>
        <w:rPr>
          <w:rFonts w:ascii="Times New Roman" w:hAnsi="Times New Roman"/>
          <w:sz w:val="20"/>
        </w:rPr>
        <w:t xml:space="preserve">, </w:t>
      </w:r>
      <w:r>
        <w:rPr>
          <w:rFonts w:ascii="Times New Roman" w:hAnsi="Times New Roman"/>
          <w:sz w:val="20"/>
          <w:u w:val="single"/>
        </w:rPr>
        <w:t>Section 11.1</w:t>
      </w:r>
      <w:r>
        <w:rPr>
          <w:rFonts w:ascii="Times New Roman" w:hAnsi="Times New Roman"/>
          <w:sz w:val="20"/>
        </w:rPr>
        <w:t xml:space="preserve">, </w:t>
      </w:r>
      <w:r>
        <w:rPr>
          <w:rFonts w:ascii="Times New Roman" w:hAnsi="Times New Roman"/>
          <w:sz w:val="20"/>
          <w:u w:val="single"/>
        </w:rPr>
        <w:t>Section 12.3</w:t>
      </w:r>
      <w:r>
        <w:rPr>
          <w:rFonts w:ascii="Times New Roman" w:hAnsi="Times New Roman"/>
          <w:sz w:val="20"/>
        </w:rPr>
        <w:t xml:space="preserve">, </w:t>
      </w:r>
      <w:r>
        <w:rPr>
          <w:rFonts w:ascii="Times New Roman" w:hAnsi="Times New Roman"/>
          <w:sz w:val="20"/>
          <w:u w:val="single"/>
        </w:rPr>
        <w:t>Section 12.4</w:t>
      </w:r>
      <w:r>
        <w:rPr>
          <w:rFonts w:ascii="Times New Roman" w:hAnsi="Times New Roman"/>
          <w:sz w:val="20"/>
        </w:rPr>
        <w:t xml:space="preserve">, </w:t>
      </w:r>
      <w:r>
        <w:rPr>
          <w:rFonts w:ascii="Times New Roman" w:hAnsi="Times New Roman"/>
          <w:sz w:val="20"/>
          <w:u w:val="single"/>
        </w:rPr>
        <w:t>Section 12.5</w:t>
      </w:r>
      <w:r>
        <w:rPr>
          <w:rFonts w:ascii="Times New Roman" w:hAnsi="Times New Roman"/>
          <w:sz w:val="20"/>
        </w:rPr>
        <w:t xml:space="preserve">, this </w:t>
      </w:r>
      <w:r>
        <w:rPr>
          <w:rFonts w:ascii="Times New Roman" w:hAnsi="Times New Roman"/>
          <w:sz w:val="20"/>
          <w:u w:val="single"/>
        </w:rPr>
        <w:t>Section 12.6</w:t>
      </w:r>
      <w:r>
        <w:rPr>
          <w:rFonts w:ascii="Times New Roman" w:hAnsi="Times New Roman"/>
          <w:sz w:val="20"/>
        </w:rPr>
        <w:t xml:space="preserve">, and </w:t>
      </w:r>
      <w:r>
        <w:rPr>
          <w:rFonts w:ascii="Times New Roman" w:hAnsi="Times New Roman"/>
          <w:sz w:val="20"/>
          <w:u w:val="single"/>
        </w:rPr>
        <w:t>Article 13</w:t>
      </w:r>
      <w:r>
        <w:rPr>
          <w:rFonts w:ascii="Times New Roman" w:hAnsi="Times New Roman"/>
          <w:sz w:val="20"/>
        </w:rPr>
        <w:t xml:space="preserve">, together with any other provisions of this Agreement that by their terms are expressly stated to survive, shall survive the expiration or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Force Majeure</w:t>
      </w:r>
      <w:r>
        <w:rPr>
          <w:rFonts w:ascii="Times New Roman" w:hAnsi="Times New Roman"/>
          <w:sz w:val="20"/>
        </w:rPr>
        <w:t xml:space="preserve">. Neither Party shall be held liable to the other Party nor be deemed to have defaulted under or breached this Agreement for failure or delay in performing any obligation under this Agreement to the extent such failure or delay is caused by or results from causes beyond the [***] control of the affected Party, including embargoes, war, acts of war (whether war be declared or not), acts of terrorism, insurrections, riots, civil commotions, strikes, lockouts or other labor disturbances, fire, floods, earthquakes or other acts of God, or any generally applicable action or inaction by any Governmental Authority, or omissions or delays in acting by the other Party. The affected Party shall notify the other Party [***] of such force majeure circumstances [***], and shall [***] undertake and continue [***] to cure such force majeure circumstances or to perform its obligations despite the ongoing circumstances.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Export Control</w:t>
      </w:r>
      <w:r>
        <w:rPr>
          <w:rFonts w:ascii="Times New Roman" w:hAnsi="Times New Roman"/>
          <w:sz w:val="20"/>
        </w:rPr>
        <w:t xml:space="preserve">. This Agreement is made subject to any restrictions concerning the export, reexport or transfer of items or technical data from the United States, China or other countries that may be applicable to either from time to time, including United States or China export control and sanctions laws and regulations. Neither Party will export, reexport or transfer, directly or indirectly, any items or technical data acquired from the other Party under this Agreement or any products using such items or technical data to a location, to an end use or end user or in a manner that requires a license or other governmental approval, without first obtaining such license or other governmental approval.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not be assigned or otherwise transferred by a Party, nor may any right or obligation hereunder be assigned or transferred by a Party (except as expressly permitted under this Agreement), without the [***] consent of the other Party, such consent not to be unreasonably withheld, conditioned or delayed. Notwithstanding the foregoing, either Party may, without the consent of the other Party, assign this Agreement (i) in whole or in part to any of its Affiliates or (ii) in whole, but not in part, in connection with a Change of Control, the sale by a Party of all or substantially all of its assets relating to this Agreement, or restructuring associated with a public listing event, including an IPO and reverse merger, </w:t>
      </w:r>
      <w:r>
        <w:rPr>
          <w:rFonts w:ascii="Times New Roman" w:hAnsi="Times New Roman"/>
          <w:sz w:val="20"/>
          <w:u w:val="single"/>
        </w:rPr>
        <w:t>provided</w:t>
      </w:r>
      <w:r>
        <w:rPr>
          <w:rFonts w:ascii="Times New Roman" w:hAnsi="Times New Roman"/>
          <w:sz w:val="20"/>
        </w:rPr>
        <w:t xml:space="preserve"> that (A) the applicable assignee agrees in writing to assume all rights and obligations of the assignor Party under this Agreement, and (B) the assigning Party shall provide [***] notice of such assignment to the non-assigning Party within [***] of such assignment. Any attempted assignment not in accordance with this </w:t>
      </w:r>
      <w:r>
        <w:rPr>
          <w:rFonts w:ascii="Times New Roman" w:hAnsi="Times New Roman"/>
          <w:sz w:val="20"/>
          <w:u w:val="single"/>
        </w:rPr>
        <w:t>Section 13.3</w:t>
      </w:r>
      <w:r>
        <w:rPr>
          <w:rFonts w:ascii="Times New Roman" w:hAnsi="Times New Roman"/>
          <w:sz w:val="20"/>
        </w:rPr>
        <w:t xml:space="preserve"> shall be null and void and of no legal effect. The terms and conditions of this Agreement shall be binding upon, and shall inure to the benefit of,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in the event that either Party is acquired in a Change of Control, the Patent Rights and Know-How held by or discovered, generated, invented, made, conceived or reduced to practice by the Acquiror prior to or after such Change of Control shall not be deemed Controlled for purposes of this Agreement and shall not be licensed hereunder, and such Acquiror shall be excluded from the “Affiliate” definition solely for purposes of determining Control, </w:t>
      </w:r>
      <w:r>
        <w:rPr>
          <w:rFonts w:ascii="Times New Roman" w:hAnsi="Times New Roman"/>
          <w:sz w:val="20"/>
          <w:u w:val="single"/>
        </w:rPr>
        <w:t>provided</w:t>
      </w:r>
      <w:r>
        <w:rPr>
          <w:rFonts w:ascii="Times New Roman" w:hAnsi="Times New Roman"/>
          <w:sz w:val="20"/>
        </w:rPr>
        <w:t xml:space="preserve">, that, (i) any Know-How discovered, generated, invented, made, conceived or reduced to practice by the Acquiror in the course of conducting the acquired Party’s activities under this Agreement, (ii) any Know-How discovered, generated, invented, made, conceived or reduced to practice by the Acquiror and used by the acquired Party in conducting its activities under this Agreement, and (iii) Patent Rights claiming any such Know-How described in clauses (i) or (ii), in each case (of (i), (ii) and (iii)) shall be deemed Controlled for purposes of this Agreement and included in the licenses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13.4 </w:t>
      </w:r>
      <w:r>
        <w:rPr>
          <w:rFonts w:ascii="Times New Roman" w:hAnsi="Times New Roman"/>
          <w:b/>
          <w:sz w:val="20"/>
        </w:rPr>
        <w:t>Severability</w:t>
      </w:r>
      <w:r>
        <w:rPr>
          <w:rFonts w:ascii="Times New Roman" w:hAnsi="Times New Roman"/>
          <w:sz w:val="20"/>
        </w:rPr>
        <w:t xml:space="preserve">. If any one (1)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 replace the invalid, illegal or unenforceable provision(s) with valid, legal and enforceable provision(s) that, insofar as practicable, implement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13.5 </w:t>
      </w:r>
      <w:r>
        <w:rPr>
          <w:rFonts w:ascii="Times New Roman" w:hAnsi="Times New Roman"/>
          <w:b/>
          <w:sz w:val="20"/>
        </w:rPr>
        <w:t>Notices</w:t>
      </w:r>
      <w:r>
        <w:rPr>
          <w:rFonts w:ascii="Times New Roman" w:hAnsi="Times New Roman"/>
          <w:sz w:val="20"/>
        </w:rPr>
        <w:t>. All notices that are required or permitted hereunder shall be in writing and sufficient if delivered personally, sent by electronic mail (</w:t>
      </w:r>
      <w:r>
        <w:rPr>
          <w:rFonts w:ascii="Times New Roman" w:hAnsi="Times New Roman"/>
          <w:sz w:val="20"/>
          <w:u w:val="single"/>
        </w:rPr>
        <w:t>provided</w:t>
      </w:r>
      <w:r>
        <w:rPr>
          <w:rFonts w:ascii="Times New Roman" w:hAnsi="Times New Roman"/>
          <w:sz w:val="20"/>
        </w:rPr>
        <w:t xml:space="preserve"> that receipt of such electronic mail is confirmed in writing by the recipient, which confirmation may itself be sent by electronic mail), sent by nationally-recognized overnight courier or sent by registered or certified mail, postage prepaid, return receipt requested,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Licensor: </w:t>
      </w:r>
    </w:p>
    <w:p>
      <w:pPr>
        <w:pStyle w:val="TextBody"/>
        <w:bidi w:val="0"/>
        <w:spacing w:before="120" w:after="0"/>
        <w:jc w:val="left"/>
        <w:rPr>
          <w:rFonts w:ascii="Times New Roman" w:hAnsi="Times New Roman"/>
          <w:sz w:val="20"/>
        </w:rPr>
      </w:pPr>
      <w:r>
        <w:rPr>
          <w:rFonts w:ascii="Times New Roman" w:hAnsi="Times New Roman"/>
          <w:sz w:val="20"/>
        </w:rPr>
        <w:t xml:space="preserve">YolTech Therapeutics Co., Ltd </w:t>
      </w:r>
    </w:p>
    <w:p>
      <w:pPr>
        <w:pStyle w:val="TextBody"/>
        <w:bidi w:val="0"/>
        <w:spacing w:before="0" w:after="0"/>
        <w:jc w:val="left"/>
        <w:rPr>
          <w:rFonts w:ascii="Times New Roman" w:hAnsi="Times New Roman"/>
          <w:sz w:val="20"/>
        </w:rPr>
      </w:pPr>
      <w:r>
        <w:rPr>
          <w:rFonts w:ascii="Times New Roman" w:hAnsi="Times New Roman"/>
          <w:sz w:val="20"/>
        </w:rPr>
        <w:t xml:space="preserve">12F, Building A, 58 Tanzhu Rd., </w:t>
      </w:r>
    </w:p>
    <w:p>
      <w:pPr>
        <w:pStyle w:val="TextBody"/>
        <w:bidi w:val="0"/>
        <w:spacing w:before="0" w:after="0"/>
        <w:jc w:val="left"/>
        <w:rPr>
          <w:rFonts w:ascii="Times New Roman" w:hAnsi="Times New Roman"/>
          <w:sz w:val="20"/>
        </w:rPr>
      </w:pPr>
      <w:r>
        <w:rPr>
          <w:rFonts w:ascii="Times New Roman" w:hAnsi="Times New Roman"/>
          <w:sz w:val="20"/>
        </w:rPr>
        <w:t xml:space="preserve">Minhang District, Shanghai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If to Company: </w:t>
      </w:r>
    </w:p>
    <w:p>
      <w:pPr>
        <w:pStyle w:val="TextBody"/>
        <w:bidi w:val="0"/>
        <w:spacing w:before="120" w:after="0"/>
        <w:jc w:val="left"/>
        <w:rPr>
          <w:rFonts w:ascii="Times New Roman" w:hAnsi="Times New Roman"/>
          <w:sz w:val="20"/>
        </w:rPr>
      </w:pPr>
      <w:r>
        <w:rPr>
          <w:rFonts w:ascii="Times New Roman" w:hAnsi="Times New Roman"/>
          <w:sz w:val="20"/>
        </w:rPr>
        <w:t xml:space="preserve">RTW Newco10, Inc. </w:t>
      </w:r>
    </w:p>
    <w:p>
      <w:pPr>
        <w:pStyle w:val="TextBody"/>
        <w:bidi w:val="0"/>
        <w:spacing w:before="0" w:after="0"/>
        <w:jc w:val="left"/>
        <w:rPr>
          <w:rFonts w:ascii="Times New Roman" w:hAnsi="Times New Roman"/>
          <w:sz w:val="20"/>
        </w:rPr>
      </w:pPr>
      <w:r>
        <w:rPr>
          <w:rFonts w:ascii="Times New Roman" w:hAnsi="Times New Roman"/>
          <w:sz w:val="20"/>
        </w:rPr>
        <w:t xml:space="preserve">c/o RTW Investments, LP </w:t>
      </w:r>
    </w:p>
    <w:p>
      <w:pPr>
        <w:pStyle w:val="TextBody"/>
        <w:bidi w:val="0"/>
        <w:spacing w:before="0" w:after="0"/>
        <w:jc w:val="left"/>
        <w:rPr>
          <w:rFonts w:ascii="Times New Roman" w:hAnsi="Times New Roman"/>
          <w:sz w:val="20"/>
        </w:rPr>
      </w:pPr>
      <w:r>
        <w:rPr>
          <w:rFonts w:ascii="Times New Roman" w:hAnsi="Times New Roman"/>
          <w:sz w:val="20"/>
        </w:rPr>
        <w:t xml:space="preserve">40 10th Avenue, 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0" w:after="0"/>
        <w:jc w:val="left"/>
        <w:rPr>
          <w:rFonts w:ascii="Times New Roman" w:hAnsi="Times New Roman"/>
          <w:sz w:val="20"/>
        </w:rPr>
      </w:pPr>
      <w:r>
        <w:rPr>
          <w:rFonts w:ascii="Times New Roman" w:hAnsi="Times New Roman"/>
          <w:sz w:val="20"/>
        </w:rPr>
        <w:t xml:space="preserve">USA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or to such other address as the Party to whom notice is to be given may have furnished to the other Party [***] in accordance herewith</w:t>
      </w:r>
      <w:r>
        <w:rPr>
          <w:rFonts w:ascii="Times New Roman" w:hAnsi="Times New Roman"/>
          <w:b/>
          <w:sz w:val="20"/>
        </w:rPr>
        <w:t>.</w:t>
      </w:r>
      <w:r>
        <w:rPr>
          <w:rFonts w:ascii="Times New Roman" w:hAnsi="Times New Roman"/>
          <w:sz w:val="20"/>
        </w:rPr>
        <w:t xml:space="preserve"> Any such notice shall be deemed to have been given: (a) when delivered if personally delivered or sent by electronic mail on a Business Day (or if delivered or sent on a non-Business Day, then on the next Business Day); (b) on the [***] after dispatch if sent by nationally-recognized overnight courier; or (c) on the [***] following the date of mailing if sent by mail. </w:t>
      </w:r>
    </w:p>
    <w:p>
      <w:pPr>
        <w:pStyle w:val="TextBody"/>
        <w:bidi w:val="0"/>
        <w:spacing w:before="240" w:after="0"/>
        <w:jc w:val="left"/>
        <w:rPr>
          <w:rFonts w:ascii="Times New Roman" w:hAnsi="Times New Roman"/>
          <w:sz w:val="20"/>
        </w:rPr>
      </w:pPr>
      <w:r>
        <w:rPr>
          <w:rFonts w:ascii="Times New Roman" w:hAnsi="Times New Roman"/>
          <w:sz w:val="20"/>
        </w:rPr>
        <w:t xml:space="preserve">13.6 </w:t>
      </w:r>
      <w:r>
        <w:rPr>
          <w:rFonts w:ascii="Times New Roman" w:hAnsi="Times New Roman"/>
          <w:b/>
          <w:sz w:val="20"/>
        </w:rPr>
        <w:t>Governing Law</w:t>
      </w:r>
      <w:r>
        <w:rPr>
          <w:rFonts w:ascii="Times New Roman" w:hAnsi="Times New Roman"/>
          <w:sz w:val="20"/>
        </w:rPr>
        <w:t xml:space="preserve">. This Agreement, and all claims or causes of action (whether in contract, tort or statute) that may be based upon, arise out of or relate to this Agreement, or the negotiation, execution or performance of this Agreement or the breach thereof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New York, United States, without reference to its conflicts of law principles. The United Nations Convention on Contracts for the International Sale of Goods (CISG) of 11 April 1980 shall not be applicable. </w:t>
      </w:r>
    </w:p>
    <w:p>
      <w:pPr>
        <w:pStyle w:val="TextBody"/>
        <w:bidi w:val="0"/>
        <w:spacing w:before="240" w:after="0"/>
        <w:jc w:val="left"/>
        <w:rPr>
          <w:rFonts w:ascii="Times New Roman" w:hAnsi="Times New Roman"/>
          <w:sz w:val="20"/>
        </w:rPr>
      </w:pPr>
      <w:r>
        <w:rPr>
          <w:rFonts w:ascii="Times New Roman" w:hAnsi="Times New Roman"/>
          <w:sz w:val="20"/>
        </w:rPr>
        <w:t xml:space="preserve">13.7 </w:t>
      </w:r>
      <w:r>
        <w:rPr>
          <w:rFonts w:ascii="Times New Roman" w:hAnsi="Times New Roman"/>
          <w:b/>
          <w:sz w:val="20"/>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dispute arising out of, relating to, or in connection with this Agreement shall be settled, if possible, through [***] negotiations between the Parties. Except as provided in </w:t>
      </w:r>
      <w:r>
        <w:rPr>
          <w:rFonts w:ascii="Times New Roman" w:hAnsi="Times New Roman"/>
          <w:sz w:val="20"/>
          <w:u w:val="single"/>
        </w:rPr>
        <w:t>Section 3.2</w:t>
      </w:r>
      <w:r>
        <w:rPr>
          <w:rFonts w:ascii="Times New Roman" w:hAnsi="Times New Roman"/>
          <w:sz w:val="20"/>
        </w:rPr>
        <w:t xml:space="preserve">, if the Parties are unable to settle such dispute within [***] of one Party notifying such dispute [***] to the other, such dispute shall be referred to the Executive Officers for resolution. The Executive Officers of both Parties shall meet to attempt to resolve such dispute. Such resolution, if any, of a referred dispute shall be final and binding on the Parties. All discussions between the Executive Officers pursuant to this </w:t>
      </w:r>
      <w:r>
        <w:rPr>
          <w:rFonts w:ascii="Times New Roman" w:hAnsi="Times New Roman"/>
          <w:sz w:val="20"/>
          <w:u w:val="single"/>
        </w:rPr>
        <w:t>Section 13.7</w:t>
      </w:r>
      <w:r>
        <w:rPr>
          <w:rFonts w:ascii="Times New Roman" w:hAnsi="Times New Roman"/>
          <w:sz w:val="20"/>
        </w:rPr>
        <w:t xml:space="preserve"> are confidential and shall be treated as compromise and settlement negotiations for purposes of applicable rules of evidence. If the Executive Officers do not resolve such dispute within [***] after either Party refers a dispute to the Executive Officers [***], then, except for any Excluded Claim (which shall be resolved in accordance with </w:t>
      </w:r>
      <w:r>
        <w:rPr>
          <w:rFonts w:ascii="Times New Roman" w:hAnsi="Times New Roman"/>
          <w:sz w:val="20"/>
          <w:u w:val="single"/>
        </w:rPr>
        <w:t>Section 13.7(e)</w:t>
      </w:r>
      <w:r>
        <w:rPr>
          <w:rFonts w:ascii="Times New Roman" w:hAnsi="Times New Roman"/>
          <w:sz w:val="20"/>
        </w:rPr>
        <w:t>), either Party shall have the right to commence arbitration. Such dispute shall be finally settled by arbitration administered by the International Chamber of Commerce (“</w:t>
      </w:r>
      <w:r>
        <w:rPr>
          <w:rFonts w:ascii="Times New Roman" w:hAnsi="Times New Roman"/>
          <w:b/>
          <w:i/>
          <w:sz w:val="20"/>
        </w:rPr>
        <w:t>ICC</w:t>
      </w:r>
      <w:r>
        <w:rPr>
          <w:rFonts w:ascii="Times New Roman" w:hAnsi="Times New Roman"/>
          <w:sz w:val="20"/>
        </w:rPr>
        <w:t xml:space="preserve">”) in accordance with the Rules of Arbitration in effect at the time of the arbitration, except as they may be modified herein.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arbitration will be heard and determined by three (3) arbitrators with at least [***] of relevant experience in [***] industry, each of whom will be impartial and independent. An arbitrator shall be deemed to meet these qualifications unless a Party objects within [***] of the arbitrator’s nomination. Each Party will nominate [***] in accordance with the ICC Rules, and the third (3rd) arbitrator will be nominated by the two (2) Party-nominated arbitrators within [***] following appointment of the second (2nd) arbitrator. If any of the three (3) arbitrators are not nominated within the time prescribed above, then the ICC shall appoint the arbitrator(s). The seat, or legal place, of arbitration shall be New York, New York, United States and the arbitration will be conducted in English. The arbitration award will be final and binding on the Parties and judgment may be entered in any court of competent jurisdiction. The arbitrators do not have the power to award any damages expressly prohibited by </w:t>
      </w:r>
      <w:r>
        <w:rPr>
          <w:rFonts w:ascii="Times New Roman" w:hAnsi="Times New Roman"/>
          <w:sz w:val="20"/>
          <w:u w:val="single"/>
        </w:rPr>
        <w:t>Section 10.5</w:t>
      </w:r>
      <w:r>
        <w:rPr>
          <w:rFonts w:ascii="Times New Roman" w:hAnsi="Times New Roman"/>
          <w:sz w:val="20"/>
        </w:rPr>
        <w:t xml:space="preserve">. Subject to any award by the arbitration panel, each Party shall be responsible for its fees, costs and expenses for conducting the arbitration. Notwithstanding </w:t>
      </w:r>
      <w:r>
        <w:rPr>
          <w:rFonts w:ascii="Times New Roman" w:hAnsi="Times New Roman"/>
          <w:sz w:val="20"/>
          <w:u w:val="single"/>
        </w:rPr>
        <w:t>Section 13.6</w:t>
      </w:r>
      <w:r>
        <w:rPr>
          <w:rFonts w:ascii="Times New Roman" w:hAnsi="Times New Roman"/>
          <w:sz w:val="20"/>
        </w:rPr>
        <w:t xml:space="preserve">, with respect to the substantive governing law, the arbitration proceedings and this agreement to arbitrate shall be governed by the Federal Arbitration Act, 9 U.S.C. § 1 </w:t>
      </w:r>
      <w:r>
        <w:rPr>
          <w:rFonts w:ascii="Times New Roman" w:hAnsi="Times New Roman"/>
          <w:i/>
          <w:sz w:val="20"/>
        </w:rPr>
        <w:t>et seq.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necessary to comply with Applicable Law, legal process or a court order, to enforce a final settlement agreement, to prepare for or conduct the arbitration, or a judicial challenge to any arbitration award or its enforcement, the Parties agree that the existence, terms and content of any arbitration pursuant to </w:t>
      </w:r>
      <w:r>
        <w:rPr>
          <w:rFonts w:ascii="Times New Roman" w:hAnsi="Times New Roman"/>
          <w:sz w:val="20"/>
          <w:u w:val="single"/>
        </w:rPr>
        <w:t>Section 13.7(b)</w:t>
      </w:r>
      <w:r>
        <w:rPr>
          <w:rFonts w:ascii="Times New Roman" w:hAnsi="Times New Roman"/>
          <w:sz w:val="20"/>
        </w:rPr>
        <w:t xml:space="preserve">, all information and documents disclosed in any such arbitration or evidencing any such arbitration results, award, judgment or settlement, or the performance thereof, and any allegations, statements and admissions made or positions taken by either Party in any such arbitration, shall be treated and maintained in confidence and are not intended to be used or disclosed for any other purpose or in any other forum.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13.7</w:t>
      </w:r>
      <w:r>
        <w:rPr>
          <w:rFonts w:ascii="Times New Roman" w:hAnsi="Times New Roman"/>
          <w:sz w:val="20"/>
        </w:rPr>
        <w:t xml:space="preserve"> shall preclude either Party from seeking interim equitable relief or interim or provisional relief from a court of competent jurisdiction, including a temporary restraining order, preliminary injunction or other interim equitable relief, either prior to or during any mediation or arbitration, to protect the interests of such Party or to preserve the status quo pending the mediation or arbitration proceeding. </w:t>
      </w:r>
    </w:p>
    <w:p>
      <w:pPr>
        <w:pStyle w:val="TextBody"/>
        <w:bidi w:val="0"/>
        <w:spacing w:before="240" w:after="0"/>
        <w:jc w:val="left"/>
        <w:rPr>
          <w:rFonts w:ascii="Times New Roman" w:hAnsi="Times New Roman"/>
          <w:sz w:val="20"/>
        </w:rPr>
      </w:pPr>
      <w:r>
        <w:rPr>
          <w:rFonts w:ascii="Times New Roman" w:hAnsi="Times New Roman"/>
          <w:sz w:val="20"/>
        </w:rPr>
        <w:t>(e) Notwithstanding the foregoing, any dispute, controversy or claim relating to (a) the scope, validity, enforceability, infringement, ownership or inventorship of any patent, trademark or copyright or (b) any antitrust, anti-monopoly or competition law or regulation, whether or not statutory (collectively, “</w:t>
      </w:r>
      <w:r>
        <w:rPr>
          <w:rFonts w:ascii="Times New Roman" w:hAnsi="Times New Roman"/>
          <w:b/>
          <w:i/>
          <w:sz w:val="20"/>
        </w:rPr>
        <w:t>Excluded Claims</w:t>
      </w:r>
      <w:r>
        <w:rPr>
          <w:rFonts w:ascii="Times New Roman" w:hAnsi="Times New Roman"/>
          <w:sz w:val="20"/>
        </w:rPr>
        <w:t xml:space="preserve">”) shall be submitted to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13.8 </w:t>
      </w:r>
      <w:r>
        <w:rPr>
          <w:rFonts w:ascii="Times New Roman" w:hAnsi="Times New Roman"/>
          <w:b/>
          <w:sz w:val="20"/>
        </w:rPr>
        <w:t>Entire Agreement; Amendments</w:t>
      </w:r>
      <w:r>
        <w:rPr>
          <w:rFonts w:ascii="Times New Roman" w:hAnsi="Times New Roman"/>
          <w:sz w:val="20"/>
        </w:rPr>
        <w:t xml:space="preserve">. This Agreement, together with the Schedules hereto, contains the entire understanding of the Parties with respect to the subject matter hereof. Any other express or implied agreements and understandings, negotiations, writings and commitments, either oral or written, in respect to such subject matter are superseded by the terms of this Agreement. The Schedules to this Agreement are incorporated herein by reference and shall be deemed a part of this Agreement. This Agreement may be amended, or any term hereof modified, only by a written instrument duly executed by authorized representative(s) of both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13.9 </w:t>
      </w:r>
      <w:r>
        <w:rPr>
          <w:rFonts w:ascii="Times New Roman" w:hAnsi="Times New Roman"/>
          <w:b/>
          <w:sz w:val="20"/>
        </w:rPr>
        <w:t>Headings</w:t>
      </w:r>
      <w:r>
        <w:rPr>
          <w:rFonts w:ascii="Times New Roman" w:hAnsi="Times New Roman"/>
          <w:sz w:val="20"/>
        </w:rPr>
        <w:t xml:space="preserve">. The captions to the several Articles, Sections and subsections hereof are not a part of this Agreement, but are merely for convenience to assist in locating and reading the several Articles and Sections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13.10 </w:t>
      </w:r>
      <w:r>
        <w:rPr>
          <w:rFonts w:ascii="Times New Roman" w:hAnsi="Times New Roman"/>
          <w:b/>
          <w:sz w:val="20"/>
        </w:rPr>
        <w:t>Independent Contractors</w:t>
      </w:r>
      <w:r>
        <w:rPr>
          <w:rFonts w:ascii="Times New Roman" w:hAnsi="Times New Roman"/>
          <w:sz w:val="20"/>
        </w:rPr>
        <w:t xml:space="preserve">. It is expressly agreed that Licensor and Company shall be independent contractors and that the relationship between the Parties shall not constitute a partnership, joint venture or agency. Neither Licensor nor Company shall have the authority to make any statements, representations or commitments of any kind, or to take any action that is binding on the other Party without the prior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13.11 </w:t>
      </w:r>
      <w:r>
        <w:rPr>
          <w:rFonts w:ascii="Times New Roman" w:hAnsi="Times New Roman"/>
          <w:b/>
          <w:sz w:val="20"/>
        </w:rPr>
        <w:t>Waiver</w:t>
      </w:r>
      <w:r>
        <w:rPr>
          <w:rFonts w:ascii="Times New Roman" w:hAnsi="Times New Roman"/>
          <w:sz w:val="20"/>
        </w:rPr>
        <w:t xml:space="preserve">. Any waiver of any provision of this Agreement shall be effective only if in writing and signed by Licensor and Company. No express or implied waiver by a Party of any default under this Agreement will be a waiver of a future or subsequent default. The failure or delay of any Party in exercising any rights under this Agreement will not constitute a waiver of any such right, and any single or partial exercise of any particular right by any Party will not exhaust the same or constitute a waiver of any other right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13.12 </w:t>
      </w:r>
      <w:r>
        <w:rPr>
          <w:rFonts w:ascii="Times New Roman" w:hAnsi="Times New Roman"/>
          <w:b/>
          <w:sz w:val="20"/>
        </w:rPr>
        <w:t>Waiver of Rule of Construction</w:t>
      </w:r>
      <w:r>
        <w:rPr>
          <w:rFonts w:ascii="Times New Roman" w:hAnsi="Times New Roman"/>
          <w:sz w:val="20"/>
        </w:rPr>
        <w:t xml:space="preserve">. Each Party has had the opportunity to consult with counsel in connection with the review, drafting and negotiation of this Agreement. Accordingly, the rule of construction that any ambiguity in this Agreement shall be construed against the drafting Party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13.13 </w:t>
      </w:r>
      <w:r>
        <w:rPr>
          <w:rFonts w:ascii="Times New Roman" w:hAnsi="Times New Roman"/>
          <w:b/>
          <w:sz w:val="20"/>
        </w:rPr>
        <w:t>Cumulative Remedies</w:t>
      </w:r>
      <w:r>
        <w:rPr>
          <w:rFonts w:ascii="Times New Roman" w:hAnsi="Times New Roman"/>
          <w:sz w:val="20"/>
        </w:rPr>
        <w:t xml:space="preserve">. No remedy referred to in this Agreement is intended to be exclusive, but each shall be cumulative and in addition to any other remedy referred to in this Agreement or otherwise available under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13.14 </w:t>
      </w:r>
      <w:r>
        <w:rPr>
          <w:rFonts w:ascii="Times New Roman" w:hAnsi="Times New Roman"/>
          <w:b/>
          <w:sz w:val="20"/>
        </w:rPr>
        <w:t>Business Day Requirements</w:t>
      </w:r>
      <w:r>
        <w:rPr>
          <w:rFonts w:ascii="Times New Roman" w:hAnsi="Times New Roman"/>
          <w:sz w:val="20"/>
        </w:rPr>
        <w:t xml:space="preserve">. In the event that any notice or other action or omission is required to be taken by a Party under this Agreement on a day that is not a Business Day then such notice or other action or omission shall be deemed to be required to be taken on the next occurring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13.15 </w:t>
      </w:r>
      <w:r>
        <w:rPr>
          <w:rFonts w:ascii="Times New Roman" w:hAnsi="Times New Roman"/>
          <w:b/>
          <w:sz w:val="20"/>
        </w:rPr>
        <w:t>Further Actions</w:t>
      </w:r>
      <w:r>
        <w:rPr>
          <w:rFonts w:ascii="Times New Roman" w:hAnsi="Times New Roman"/>
          <w:sz w:val="20"/>
        </w:rPr>
        <w:t xml:space="preserve">. Each Party agrees to execute, acknowledge and deliver such further instruments, and to do all such other acts, as necessary or appropriate in order to carry out the purposes and intent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13.16 </w:t>
      </w:r>
      <w:r>
        <w:rPr>
          <w:rFonts w:ascii="Times New Roman" w:hAnsi="Times New Roman"/>
          <w:b/>
          <w:sz w:val="20"/>
        </w:rPr>
        <w:t>Construction</w:t>
      </w:r>
      <w:r>
        <w:rPr>
          <w:rFonts w:ascii="Times New Roman" w:hAnsi="Times New Roman"/>
          <w:sz w:val="20"/>
        </w:rPr>
        <w:t xml:space="preserve">.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or Schedules shall be construed to refer to Sections or Schedules of this Agreement, and references to this Agreement include all Schedules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whether by written agreement, letter, approved minutes or otherwise (but excluding e-mail and instant messaging), (j) references to any specific law, rule or regulation, or Section, section or other division thereof, shall be deemed to include the then-current amendments thereto or any replacement or successor law, rule or regulation thereof, and (k) the term “or” shall be interpreted in the inclusive sense commonly associated with the term “and/or.” This Agreement was prepared in the English language, which language shall govern the interpretation of, and any dispute regarding,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13.17 </w:t>
      </w:r>
      <w:r>
        <w:rPr>
          <w:rFonts w:ascii="Times New Roman" w:hAnsi="Times New Roman"/>
          <w:b/>
          <w:sz w:val="20"/>
        </w:rPr>
        <w:t>Counterparts</w:t>
      </w:r>
      <w:r>
        <w:rPr>
          <w:rFonts w:ascii="Times New Roman" w:hAnsi="Times New Roman"/>
          <w:sz w:val="20"/>
        </w:rPr>
        <w:t>. This Agreement may be executed in two (2) counterparts, each of which shall be deemed an original, but both of which together shall constitute one and the same instrument. Each Party shall be entitled to rely on the delivery of executed digital (</w:t>
      </w:r>
      <w:r>
        <w:rPr>
          <w:rFonts w:ascii="Times New Roman" w:hAnsi="Times New Roman"/>
          <w:i/>
          <w:sz w:val="20"/>
        </w:rPr>
        <w:t>e.g.</w:t>
      </w:r>
      <w:r>
        <w:rPr>
          <w:rFonts w:ascii="Times New Roman" w:hAnsi="Times New Roman"/>
          <w:sz w:val="20"/>
        </w:rPr>
        <w:t xml:space="preserve">, PDF) copies of counterpart execution pages of this Agreement and such digital copies shall be legally effective to create a valid and binding agreement among the Parties.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intending to be bound have caused this Agreement to be executed by their duly authorized representatives as of the Effective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RTW N</w:t>
            </w:r>
            <w:r>
              <w:rPr>
                <w:b/>
                <w:sz w:val="20"/>
              </w:rPr>
              <w:t>EWCO</w:t>
            </w:r>
            <w:r>
              <w:rPr>
                <w:b/>
              </w:rPr>
              <w:t>10, I</w:t>
            </w:r>
            <w:r>
              <w:rPr>
                <w:b/>
                <w:sz w:val="20"/>
              </w:rPr>
              <w:t>NC</w:t>
            </w:r>
            <w:r>
              <w:rPr>
                <w:b/>
              </w:rPr>
              <w:t>.</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Alice Lee</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Y</w:t>
            </w:r>
            <w:r>
              <w:rPr>
                <w:b/>
                <w:sz w:val="20"/>
              </w:rPr>
              <w:t>OL</w:t>
            </w:r>
            <w:r>
              <w:rPr>
                <w:b/>
              </w:rPr>
              <w:t>T</w:t>
            </w:r>
            <w:r>
              <w:rPr>
                <w:b/>
                <w:sz w:val="20"/>
              </w:rPr>
              <w:t>ECH</w:t>
            </w:r>
            <w:r>
              <w:rPr>
                <w:b/>
              </w:rPr>
              <w:t xml:space="preserve"> T</w:t>
            </w:r>
            <w:r>
              <w:rPr>
                <w:b/>
                <w:sz w:val="20"/>
              </w:rPr>
              <w:t>HERAPEUTICS</w:t>
            </w:r>
            <w:r>
              <w:rPr>
                <w:b/>
              </w:rPr>
              <w:t xml:space="preserve"> C</w:t>
            </w:r>
            <w:r>
              <w:rPr>
                <w:b/>
                <w:sz w:val="20"/>
              </w:rPr>
              <w:t>O</w:t>
            </w:r>
            <w:r>
              <w:rPr>
                <w:b/>
              </w:rPr>
              <w:t>., L</w:t>
            </w:r>
            <w:r>
              <w:rPr>
                <w:b/>
                <w:sz w:val="20"/>
              </w:rPr>
              <w:t>TD</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Yuxuan Wu</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Yuxuan Wu</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Legal Representative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List of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8"/>
        <w:gridCol w:w="121"/>
        <w:gridCol w:w="8046"/>
      </w:tblGrid>
      <w:tr>
        <w:trPr/>
        <w:tc>
          <w:tcPr>
            <w:tcW w:w="20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46"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283"/>
              <w:jc w:val="left"/>
              <w:rPr>
                <w:b/>
              </w:rPr>
            </w:pPr>
            <w:r>
              <w:rPr>
                <w:b/>
              </w:rPr>
              <w:t>Schedule 1.55:</w:t>
            </w:r>
          </w:p>
        </w:tc>
        <w:tc>
          <w:tcPr>
            <w:tcW w:w="121" w:type="dxa"/>
            <w:tcBorders/>
            <w:vAlign w:val="bottom"/>
          </w:tcPr>
          <w:p>
            <w:pPr>
              <w:pStyle w:val="TableContents"/>
              <w:bidi w:val="0"/>
              <w:spacing w:before="0" w:after="283"/>
              <w:jc w:val="left"/>
              <w:rPr/>
            </w:pPr>
            <w:r>
              <w:rPr/>
              <w:t>  </w:t>
            </w:r>
          </w:p>
        </w:tc>
        <w:tc>
          <w:tcPr>
            <w:tcW w:w="8046" w:type="dxa"/>
            <w:tcBorders/>
            <w:vAlign w:val="bottom"/>
          </w:tcPr>
          <w:p>
            <w:pPr>
              <w:pStyle w:val="TableContents"/>
              <w:bidi w:val="0"/>
              <w:spacing w:before="0" w:after="283"/>
              <w:jc w:val="left"/>
              <w:rPr>
                <w:b/>
              </w:rPr>
            </w:pPr>
            <w:r>
              <w:rPr>
                <w:b/>
              </w:rPr>
              <w:t>Licensed Know-How</w:t>
            </w:r>
          </w:p>
        </w:tc>
      </w:tr>
      <w:tr>
        <w:trPr>
          <w:trHeight w:val="120" w:hRule="atLeast"/>
        </w:trPr>
        <w:tc>
          <w:tcPr>
            <w:tcW w:w="2038" w:type="dxa"/>
            <w:tcBorders/>
            <w:vAlign w:val="center"/>
          </w:tcPr>
          <w:p>
            <w:pPr>
              <w:pStyle w:val="TableContents"/>
              <w:bidi w:val="0"/>
              <w:spacing w:before="0" w:after="283"/>
              <w:jc w:val="left"/>
              <w:rPr>
                <w:sz w:val="4"/>
                <w:szCs w:val="4"/>
              </w:rPr>
            </w:pPr>
            <w:r>
              <w:rPr>
                <w:sz w:val="4"/>
                <w:szCs w:val="4"/>
              </w:rPr>
            </w:r>
          </w:p>
        </w:tc>
        <w:tc>
          <w:tcPr>
            <w:tcW w:w="8167" w:type="dxa"/>
            <w:gridSpan w:val="2"/>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283"/>
              <w:jc w:val="left"/>
              <w:rPr>
                <w:b/>
              </w:rPr>
            </w:pPr>
            <w:r>
              <w:rPr>
                <w:b/>
              </w:rPr>
              <w:t>Schedule 1.56:</w:t>
            </w:r>
          </w:p>
        </w:tc>
        <w:tc>
          <w:tcPr>
            <w:tcW w:w="121" w:type="dxa"/>
            <w:tcBorders/>
            <w:vAlign w:val="bottom"/>
          </w:tcPr>
          <w:p>
            <w:pPr>
              <w:pStyle w:val="TableContents"/>
              <w:bidi w:val="0"/>
              <w:spacing w:before="0" w:after="283"/>
              <w:jc w:val="left"/>
              <w:rPr/>
            </w:pPr>
            <w:r>
              <w:rPr/>
              <w:t>  </w:t>
            </w:r>
          </w:p>
        </w:tc>
        <w:tc>
          <w:tcPr>
            <w:tcW w:w="8046" w:type="dxa"/>
            <w:tcBorders/>
            <w:vAlign w:val="bottom"/>
          </w:tcPr>
          <w:p>
            <w:pPr>
              <w:pStyle w:val="TableContents"/>
              <w:bidi w:val="0"/>
              <w:spacing w:before="0" w:after="283"/>
              <w:jc w:val="left"/>
              <w:rPr>
                <w:b/>
              </w:rPr>
            </w:pPr>
            <w:r>
              <w:rPr>
                <w:b/>
              </w:rPr>
              <w:t>Licensed Patents</w:t>
            </w:r>
          </w:p>
        </w:tc>
      </w:tr>
      <w:tr>
        <w:trPr>
          <w:trHeight w:val="120" w:hRule="atLeast"/>
        </w:trPr>
        <w:tc>
          <w:tcPr>
            <w:tcW w:w="2038" w:type="dxa"/>
            <w:tcBorders/>
            <w:vAlign w:val="center"/>
          </w:tcPr>
          <w:p>
            <w:pPr>
              <w:pStyle w:val="TableContents"/>
              <w:bidi w:val="0"/>
              <w:spacing w:before="0" w:after="283"/>
              <w:jc w:val="left"/>
              <w:rPr>
                <w:sz w:val="4"/>
                <w:szCs w:val="4"/>
              </w:rPr>
            </w:pPr>
            <w:r>
              <w:rPr>
                <w:sz w:val="4"/>
                <w:szCs w:val="4"/>
              </w:rPr>
            </w:r>
          </w:p>
        </w:tc>
        <w:tc>
          <w:tcPr>
            <w:tcW w:w="8167" w:type="dxa"/>
            <w:gridSpan w:val="2"/>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283"/>
              <w:jc w:val="left"/>
              <w:rPr>
                <w:b/>
              </w:rPr>
            </w:pPr>
            <w:r>
              <w:rPr>
                <w:b/>
              </w:rPr>
              <w:t>Schedule 1.60:</w:t>
            </w:r>
          </w:p>
        </w:tc>
        <w:tc>
          <w:tcPr>
            <w:tcW w:w="121" w:type="dxa"/>
            <w:tcBorders/>
            <w:vAlign w:val="bottom"/>
          </w:tcPr>
          <w:p>
            <w:pPr>
              <w:pStyle w:val="TableContents"/>
              <w:bidi w:val="0"/>
              <w:spacing w:before="0" w:after="283"/>
              <w:jc w:val="left"/>
              <w:rPr/>
            </w:pPr>
            <w:r>
              <w:rPr/>
              <w:t>  </w:t>
            </w:r>
          </w:p>
        </w:tc>
        <w:tc>
          <w:tcPr>
            <w:tcW w:w="8046" w:type="dxa"/>
            <w:tcBorders/>
            <w:vAlign w:val="bottom"/>
          </w:tcPr>
          <w:p>
            <w:pPr>
              <w:pStyle w:val="TableContents"/>
              <w:bidi w:val="0"/>
              <w:spacing w:before="0" w:after="283"/>
              <w:jc w:val="left"/>
              <w:rPr>
                <w:b/>
              </w:rPr>
            </w:pPr>
            <w:r>
              <w:rPr>
                <w:b/>
              </w:rPr>
              <w:t>Licensed Therapeutic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1.55 </w:t>
      </w:r>
    </w:p>
    <w:p>
      <w:pPr>
        <w:pStyle w:val="TextBody"/>
        <w:bidi w:val="0"/>
        <w:spacing w:before="0" w:after="0"/>
        <w:jc w:val="center"/>
        <w:rPr>
          <w:rFonts w:ascii="Times New Roman" w:hAnsi="Times New Roman"/>
          <w:b/>
          <w:sz w:val="20"/>
        </w:rPr>
      </w:pPr>
      <w:r>
        <w:rPr>
          <w:rFonts w:ascii="Times New Roman" w:hAnsi="Times New Roman"/>
          <w:b/>
          <w:sz w:val="20"/>
        </w:rPr>
        <w:t xml:space="preserve">Licensed Know-How </w:t>
      </w:r>
    </w:p>
    <w:p>
      <w:pPr>
        <w:pStyle w:val="TextBody"/>
        <w:bidi w:val="0"/>
        <w:spacing w:before="240" w:after="0"/>
        <w:jc w:val="left"/>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1.56 </w:t>
      </w:r>
    </w:p>
    <w:p>
      <w:pPr>
        <w:pStyle w:val="TextBody"/>
        <w:bidi w:val="0"/>
        <w:spacing w:before="0" w:after="0"/>
        <w:jc w:val="center"/>
        <w:rPr>
          <w:rFonts w:ascii="Times New Roman" w:hAnsi="Times New Roman"/>
          <w:b/>
          <w:sz w:val="20"/>
        </w:rPr>
      </w:pPr>
      <w:r>
        <w:rPr>
          <w:rFonts w:ascii="Times New Roman" w:hAnsi="Times New Roman"/>
          <w:b/>
          <w:sz w:val="20"/>
        </w:rPr>
        <w:t xml:space="preserve">Licensed Patents </w:t>
      </w:r>
    </w:p>
    <w:p>
      <w:pPr>
        <w:pStyle w:val="TextBody"/>
        <w:bidi w:val="0"/>
        <w:spacing w:before="240" w:after="0"/>
        <w:jc w:val="left"/>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1.60 </w:t>
      </w:r>
    </w:p>
    <w:p>
      <w:pPr>
        <w:pStyle w:val="TextBody"/>
        <w:bidi w:val="0"/>
        <w:spacing w:before="0" w:after="0"/>
        <w:jc w:val="center"/>
        <w:rPr>
          <w:rFonts w:ascii="Times New Roman" w:hAnsi="Times New Roman"/>
          <w:b/>
          <w:sz w:val="20"/>
        </w:rPr>
      </w:pPr>
      <w:r>
        <w:rPr>
          <w:rFonts w:ascii="Times New Roman" w:hAnsi="Times New Roman"/>
          <w:b/>
          <w:sz w:val="20"/>
        </w:rPr>
        <w:t xml:space="preserve">Licensed Therapeutic </w:t>
      </w:r>
    </w:p>
    <w:p>
      <w:pPr>
        <w:pStyle w:val="TextBody"/>
        <w:bidi w:val="0"/>
        <w:spacing w:before="12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 </w:t>
      </w:r>
    </w:p>
    <w:p>
      <w:pPr>
        <w:pStyle w:val="TextBody"/>
        <w:bidi w:val="0"/>
        <w:spacing w:before="0" w:after="0"/>
        <w:jc w:val="right"/>
        <w:rPr>
          <w:rFonts w:ascii="Times New Roman" w:hAnsi="Times New Roman"/>
          <w:b/>
          <w:sz w:val="20"/>
        </w:rPr>
      </w:pPr>
      <w:bookmarkStart w:id="269" w:name="filename8.htm"/>
      <w:bookmarkStart w:id="270" w:name="ksfilename8"/>
      <w:bookmarkEnd w:id="269"/>
      <w:bookmarkEnd w:id="270"/>
      <w:r>
        <w:rPr>
          <w:rFonts w:ascii="Times New Roman" w:hAnsi="Times New Roman"/>
          <w:b/>
          <w:sz w:val="20"/>
        </w:rPr>
        <w:t xml:space="preserve">Exhibit 10.19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2026 EQUITY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Purpose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2026 Equity Incentive Plan (the “</w:t>
      </w:r>
      <w:r>
        <w:rPr>
          <w:rFonts w:ascii="Times New Roman" w:hAnsi="Times New Roman"/>
          <w:b/>
          <w:sz w:val="20"/>
        </w:rPr>
        <w:t>Plan</w:t>
      </w:r>
      <w:r>
        <w:rPr>
          <w:rFonts w:ascii="Times New Roman" w:hAnsi="Times New Roman"/>
          <w:sz w:val="20"/>
        </w:rPr>
        <w:t>”) of RTW Newco10, Inc., a Delaware corporation (the “</w:t>
      </w:r>
      <w:r>
        <w:rPr>
          <w:rFonts w:ascii="Times New Roman" w:hAnsi="Times New Roman"/>
          <w:b/>
          <w:sz w:val="20"/>
        </w:rPr>
        <w:t>Company</w:t>
      </w:r>
      <w:r>
        <w:rPr>
          <w:rFonts w:ascii="Times New Roman" w:hAnsi="Times New Roman"/>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w:t>
      </w:r>
      <w:r>
        <w:rPr>
          <w:rFonts w:ascii="Times New Roman" w:hAnsi="Times New Roman"/>
          <w:b/>
          <w:sz w:val="20"/>
        </w:rPr>
        <w:t>Code</w:t>
      </w:r>
      <w:r>
        <w:rPr>
          <w:rFonts w:ascii="Times New Roman" w:hAnsi="Times New Roman"/>
          <w:sz w:val="20"/>
        </w:rPr>
        <w:t>”) and any other business venture (including, without limitation, joint venture or limited liability company) in which the Company has a controlling interest, as determined by the Board of Directors of the Company (the “</w:t>
      </w:r>
      <w:r>
        <w:rPr>
          <w:rFonts w:ascii="Times New Roman" w:hAnsi="Times New Roman"/>
          <w:b/>
          <w:sz w:val="20"/>
        </w:rPr>
        <w:t>Board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Eligibility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All of the Company’s employees, officers, directors, consultants and advisors are eligible to be granted options, restricted stock, restricted stock units, and other stock-based awards (each, an “</w:t>
      </w:r>
      <w:r>
        <w:rPr>
          <w:rFonts w:ascii="Times New Roman" w:hAnsi="Times New Roman"/>
          <w:b/>
          <w:sz w:val="20"/>
        </w:rPr>
        <w:t>Award</w:t>
      </w:r>
      <w:r>
        <w:rPr>
          <w:rFonts w:ascii="Times New Roman" w:hAnsi="Times New Roman"/>
          <w:sz w:val="20"/>
        </w:rPr>
        <w:t>”) under the Plan. Each person who receives an Award under the Plan is deemed a “</w:t>
      </w:r>
      <w:r>
        <w:rPr>
          <w:rFonts w:ascii="Times New Roman" w:hAnsi="Times New Roman"/>
          <w:b/>
          <w:sz w:val="20"/>
        </w:rPr>
        <w:t>Participant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Administration and Delegation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by Board of Directors</w:t>
      </w:r>
      <w:r>
        <w:rPr>
          <w:rFonts w:ascii="Times New Roman" w:hAnsi="Times New Roman"/>
          <w:sz w:val="20"/>
        </w:rPr>
        <w:t xml:space="preserve">.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Appointment of Committees</w:t>
      </w:r>
      <w:r>
        <w:rPr>
          <w:rFonts w:ascii="Times New Roman" w:hAnsi="Times New Roman"/>
          <w:sz w:val="20"/>
        </w:rPr>
        <w:t>. To the extent permitted by applicable law, the Board may delegate any or all of its powers under the Plan to one or more committees or subcommittees of the Board (a “</w:t>
      </w:r>
      <w:r>
        <w:rPr>
          <w:rFonts w:ascii="Times New Roman" w:hAnsi="Times New Roman"/>
          <w:b/>
          <w:sz w:val="20"/>
        </w:rPr>
        <w:t>Committee</w:t>
      </w:r>
      <w:r>
        <w:rPr>
          <w:rFonts w:ascii="Times New Roman" w:hAnsi="Times New Roman"/>
          <w:sz w:val="20"/>
        </w:rPr>
        <w:t>”). All references in the Plan to the “</w:t>
      </w:r>
      <w:r>
        <w:rPr>
          <w:rFonts w:ascii="Times New Roman" w:hAnsi="Times New Roman"/>
          <w:b/>
          <w:sz w:val="20"/>
        </w:rPr>
        <w:t>Board</w:t>
      </w:r>
      <w:r>
        <w:rPr>
          <w:rFonts w:ascii="Times New Roman" w:hAnsi="Times New Roman"/>
          <w:sz w:val="20"/>
        </w:rPr>
        <w:t xml:space="preserve">” shall mean the Board or a Committee of the Board or the officers referred to in Section 3(c) to the extent that the Board’s powers or authority under the Plan have been delegated to such Committee or officers. The Board may abolish any Committee at any time, and notwithstanding any delegation of authority, the Board will always retain full authority to take any action permitted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to Officers</w:t>
      </w:r>
      <w:r>
        <w:rPr>
          <w:rFonts w:ascii="Times New Roman" w:hAnsi="Times New Roman"/>
          <w:sz w:val="20"/>
        </w:rPr>
        <w:t xml:space="preserve">. To the extent permitted by applicable law, the Board may delegate to one or more officers of the Company the power to grant Awards (subject to any limitations under the Plan) to employees or officers of the Company and to exercise such other powers under the Plan as the Board may determine, </w:t>
      </w:r>
      <w:r>
        <w:rPr>
          <w:rFonts w:ascii="Times New Roman" w:hAnsi="Times New Roman"/>
          <w:i/>
          <w:sz w:val="20"/>
        </w:rPr>
        <w:t>provided that</w:t>
      </w:r>
      <w:r>
        <w:rPr>
          <w:rFonts w:ascii="Times New Roman" w:hAnsi="Times New Roman"/>
          <w:sz w:val="20"/>
        </w:rPr>
        <w:t xml:space="preserve">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Times New Roman" w:hAnsi="Times New Roman"/>
          <w:i/>
          <w:sz w:val="20"/>
        </w:rPr>
        <w:t>provided further, however</w:t>
      </w:r>
      <w:r>
        <w:rPr>
          <w:rFonts w:ascii="Times New Roman" w:hAnsi="Times New Roman"/>
          <w:sz w:val="20"/>
        </w:rPr>
        <w:t>, that no officer shall be authorized to grant Awards to any “executive officer” of the Company (as defined by Rule 3b-7 under the Securities Exchange Act of 1934, as amended (the “</w:t>
      </w:r>
      <w:r>
        <w:rPr>
          <w:rFonts w:ascii="Times New Roman" w:hAnsi="Times New Roman"/>
          <w:b/>
          <w:sz w:val="20"/>
        </w:rPr>
        <w:t>Exchange Act</w:t>
      </w:r>
      <w:r>
        <w:rPr>
          <w:rFonts w:ascii="Times New Roman" w:hAnsi="Times New Roman"/>
          <w:sz w:val="20"/>
        </w:rPr>
        <w:t xml:space="preserve">”)) or to any “officer” of the Company (as defined by Rule 16a-1 under the Exchange Act). The Board may rescind any such delegation at any time.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Stock Available for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Number of Shares</w:t>
      </w:r>
      <w:r>
        <w:rPr>
          <w:rFonts w:ascii="Times New Roman" w:hAnsi="Times New Roman"/>
          <w:sz w:val="20"/>
        </w:rPr>
        <w:t>. Subject to adjustment under Section 8 hereof, Awards may be made under the Plan covering up to 10,278,705 shares of common stock of the Company (the “</w:t>
      </w:r>
      <w:r>
        <w:rPr>
          <w:rFonts w:ascii="Times New Roman" w:hAnsi="Times New Roman"/>
          <w:b/>
          <w:sz w:val="20"/>
        </w:rPr>
        <w:t>Common Stock</w:t>
      </w:r>
      <w:r>
        <w:rPr>
          <w:rFonts w:ascii="Times New Roman" w:hAnsi="Times New Roman"/>
          <w:sz w:val="20"/>
        </w:rPr>
        <w:t>”), all of which may be granted as Incentive Stock Options (as defined below).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again be available for the grant of Awards under the Plan. However, in the case of Incentive Stock Options,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w:t>
      </w:r>
      <w:r>
        <w:rPr>
          <w:rFonts w:ascii="Times New Roman" w:hAnsi="Times New Roman"/>
          <w:b/>
          <w:sz w:val="20"/>
        </w:rPr>
        <w:t>California Regulations</w:t>
      </w:r>
      <w:r>
        <w:rPr>
          <w:rFonts w:ascii="Times New Roman" w:hAnsi="Times New Roman"/>
          <w:sz w:val="20"/>
        </w:rPr>
        <w:t xml:space="preserve">”), to the extent applicable, based on the shares of the Company which are outstanding at the time the calculation is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Substitute Awards</w:t>
      </w:r>
      <w:r>
        <w:rPr>
          <w:rFonts w:ascii="Times New Roman" w:hAnsi="Times New Roman"/>
          <w:sz w:val="20"/>
        </w:rPr>
        <w:t xml:space="preserve">. In connection with a merger or consolidation of an entity with the Company or the acquisition by the Company of property or stock of an entity, the Board may grant Awards in substitution for any options or other stock or stock-based awards granted prior to such merger or consolidation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hereof, except as may be required by reason of Section 422 and related provisions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Stock Options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options to purchase Common Stock (each, an “</w:t>
      </w:r>
      <w:r>
        <w:rPr>
          <w:rFonts w:ascii="Times New Roman" w:hAnsi="Times New Roman"/>
          <w:b/>
          <w:sz w:val="20"/>
        </w:rPr>
        <w:t>Option</w:t>
      </w:r>
      <w:r>
        <w:rPr>
          <w:rFonts w:ascii="Times New Roman" w:hAnsi="Times New Roman"/>
          <w:sz w:val="20"/>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shall be designated a “</w:t>
      </w:r>
      <w:r>
        <w:rPr>
          <w:rFonts w:ascii="Times New Roman" w:hAnsi="Times New Roman"/>
          <w:b/>
          <w:sz w:val="20"/>
        </w:rPr>
        <w:t>Nonstatutory Stock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Incentive Stock Options</w:t>
      </w:r>
      <w:r>
        <w:rPr>
          <w:rFonts w:ascii="Times New Roman" w:hAnsi="Times New Roman"/>
          <w:sz w:val="20"/>
        </w:rPr>
        <w:t>. An Option that the Board intends to be an “incentive stock option” as defined in Section 422 of the Code (an “</w:t>
      </w:r>
      <w:r>
        <w:rPr>
          <w:rFonts w:ascii="Times New Roman" w:hAnsi="Times New Roman"/>
          <w:b/>
          <w:sz w:val="20"/>
        </w:rPr>
        <w:t>Incentive Stock Option</w:t>
      </w:r>
      <w:r>
        <w:rPr>
          <w:rFonts w:ascii="Times New Roman" w:hAnsi="Times New Roman"/>
          <w:sz w:val="20"/>
        </w:rPr>
        <w:t xml:space="preserve">”) shall only be granted to employees of the Company (including any of the Company’s present or future parent or subsidiary corporations as defined in Sections 424(e) or (f) of the Code but excluding any other business venture (including, without limitation, joint venture or limited liability company) in which the Company has a controlling interest).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Options intended to qualify as Incentive Stock Options shall be subject to and shall be construed consistently with the requirements of Section 422 of the Code, and without limiting generality of the foregoing, such Options shall be deemed to include terms that comply with the eligibility standards described Section 422(b) of the Code. Subject to the remaining provisions of this Section 5(b), if an Option intended to qualify as an Incentive Stock Option does not so qualify, the Board may, at its discretion, amend the Plan and Award with respect to such Option so that such Option qualifies as an Incentive Stock Option. 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Award. Neither the Company nor the Board shall have any liability to a Participant, or any other party, (i) if an Option (or any part thereof) which is intended to qualify as an Incentive Stock Option fails to qualify as such or (ii) for any action or omission by the Company or Board that causes an Option not to qualify as an Incentive Stock Option, including without limitation the conversion of an Incentive Stock Option to a Nonstatutory Stock Option or the grant of an Option intended as an Incentive Stock Option that fails to satisfy the requirements under the Code applicable to an Incentive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w:t>
      </w:r>
      <w:r>
        <w:rPr>
          <w:rFonts w:ascii="Times New Roman" w:hAnsi="Times New Roman"/>
          <w:sz w:val="20"/>
        </w:rPr>
        <w:t>. The Board shall establish the exercise price of each Option and specify the exercise price in the applicable option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(such employee, a “</w:t>
      </w:r>
      <w:r>
        <w:rPr>
          <w:rFonts w:ascii="Times New Roman" w:hAnsi="Times New Roman"/>
          <w:b/>
          <w:sz w:val="20"/>
        </w:rPr>
        <w:t>10% Holder</w:t>
      </w:r>
      <w:r>
        <w:rPr>
          <w:rFonts w:ascii="Times New Roman" w:hAnsi="Times New Roman"/>
          <w:sz w:val="20"/>
        </w:rPr>
        <w:t xml:space="preserve">”), the per share exercise price shall be no less than 110% of the Fair Market Value on the date the Option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Duration of Options</w:t>
      </w:r>
      <w:r>
        <w:rPr>
          <w:rFonts w:ascii="Times New Roman" w:hAnsi="Times New Roman"/>
          <w:sz w:val="20"/>
        </w:rPr>
        <w:t xml:space="preserve">. Each Option shall be exercisable at such times and subject to such terms and conditions as the Board may specify in the applicable option agreement, </w:t>
      </w:r>
      <w:r>
        <w:rPr>
          <w:rFonts w:ascii="Times New Roman" w:hAnsi="Times New Roman"/>
          <w:i/>
          <w:sz w:val="20"/>
        </w:rPr>
        <w:t>provided that</w:t>
      </w:r>
      <w:r>
        <w:rPr>
          <w:rFonts w:ascii="Times New Roman" w:hAnsi="Times New Roman"/>
          <w:sz w:val="20"/>
        </w:rPr>
        <w:t xml:space="preserve"> the term of any Option shall not exceed 10 years. In the case of an Incentive Stock Option granted to a 10% Holder, the term of the Option shall not exceed five years.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Exercise of Option; Notification of Disposition</w:t>
      </w:r>
      <w:r>
        <w:rPr>
          <w:rFonts w:ascii="Times New Roman" w:hAnsi="Times New Roman"/>
          <w:sz w:val="20"/>
        </w:rPr>
        <w:t xml:space="preserve">.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Unless otherwise determined by the Board, an Option may not be exercised for a fraction of a share of Common Stock. Shares of Common Stock subject to the Option will be delivered by the Company as soon as practicable following exercise.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Reorganization Event).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Upon Exercise.</w:t>
      </w:r>
      <w:r>
        <w:rPr>
          <w:rFonts w:ascii="Times New Roman" w:hAnsi="Times New Roman"/>
          <w:sz w:val="20"/>
        </w:rPr>
        <w:t xml:space="preserve"> Common Stock purchased upon the exercise of an Option granted under the Plan shall be paid for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in cash or by check, payable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when the Common Stock is registered under the Exchange Act, except as may otherwise be provided in the applicable option agreement, by (A) delivery of an irrevocable and unconditional undertaking by a creditworthy broker acceptable to the Company to deliver promptly to the Company sufficient funds to pay the exercise price and any required tax withholding or (B) delivery by the Participant to the Company of a copy of irrevocable and unconditional instructions to a creditworthy broker acceptable to the Company to deliver promptly to the Company cash or a check sufficient to pay the exercise price and any required tax withholding; </w:t>
      </w:r>
    </w:p>
    <w:p>
      <w:pPr>
        <w:pStyle w:val="TextBody"/>
        <w:bidi w:val="0"/>
        <w:spacing w:before="240" w:after="0"/>
        <w:jc w:val="left"/>
        <w:rPr>
          <w:rFonts w:ascii="Times New Roman" w:hAnsi="Times New Roman"/>
          <w:sz w:val="20"/>
        </w:rPr>
      </w:pPr>
      <w:r>
        <w:rPr>
          <w:rFonts w:ascii="Times New Roman" w:hAnsi="Times New Roman"/>
          <w:sz w:val="20"/>
        </w:rPr>
        <w:t>(iii) 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Times New Roman" w:hAnsi="Times New Roman"/>
          <w:b/>
          <w:sz w:val="20"/>
        </w:rPr>
        <w:t>Fair Market Value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(A) such method of payment is then permitted under applicable law, (B) such Common Stock, if acquired directly from the Company, was owned by the Participant for such minimum period of time, if any, as may be established by the Board in its discretion and (C) such Common Stock is not subject to any repurchase, forfeiture, unfulfilled vesting or other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permitted by applicable law and provided for in the applicable option agreement or approved by the Board, in its sole discretion, by (A) delivery of a promissory note of the Participant to the Company on terms determined by the Board, or (B) payment of such other lawful consideration as the Board may determine; </w:t>
      </w:r>
    </w:p>
    <w:p>
      <w:pPr>
        <w:pStyle w:val="TextBody"/>
        <w:bidi w:val="0"/>
        <w:spacing w:before="240" w:after="0"/>
        <w:jc w:val="left"/>
        <w:rPr>
          <w:rFonts w:ascii="Times New Roman" w:hAnsi="Times New Roman"/>
          <w:sz w:val="20"/>
        </w:rPr>
      </w:pPr>
      <w:r>
        <w:rPr>
          <w:rFonts w:ascii="Times New Roman" w:hAnsi="Times New Roman"/>
          <w:sz w:val="20"/>
        </w:rPr>
        <w:t xml:space="preserve">(v) to the extent provided for in the applicable option agreement or approved by the Board, in its sole discretion, by having the Company retain from the shares of Common Stock otherwise issuable upon the exercise of such Option a number of shares valued at their Fair Market Value; or </w:t>
      </w:r>
    </w:p>
    <w:p>
      <w:pPr>
        <w:pStyle w:val="TextBody"/>
        <w:bidi w:val="0"/>
        <w:spacing w:before="240" w:after="0"/>
        <w:jc w:val="left"/>
        <w:rPr>
          <w:rFonts w:ascii="Times New Roman" w:hAnsi="Times New Roman"/>
          <w:sz w:val="20"/>
        </w:rPr>
      </w:pPr>
      <w:r>
        <w:rPr>
          <w:rFonts w:ascii="Times New Roman" w:hAnsi="Times New Roman"/>
          <w:sz w:val="20"/>
        </w:rPr>
        <w:t xml:space="preserve">(vi) by any combination of the above permitted forms of payment or any other lawful consideration as approved by the Board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Early Exercise of Options</w:t>
      </w:r>
      <w:r>
        <w:rPr>
          <w:rFonts w:ascii="Times New Roman" w:hAnsi="Times New Roman"/>
          <w:sz w:val="20"/>
        </w:rPr>
        <w:t xml:space="preserve">. The Board may provide in the terms of an option agreement that the Participant may exercise an Option in whole or in part prior to the full vesting of the Option in exchange for unvested shares of Restricted Stock (as defined below) with respect to any unvested portion of the Option so exercised. Shares of Restricted Stock acquired upon the exercise of any unvested portion of an Option shall be subject to such terms and conditions as the Board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Restricted Stock; Restricted Stock Units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Awards entitling recipients to acquire shares of Common Stock (“</w:t>
      </w:r>
      <w:r>
        <w:rPr>
          <w:rFonts w:ascii="Times New Roman" w:hAnsi="Times New Roman"/>
          <w:b/>
          <w:sz w:val="20"/>
        </w:rPr>
        <w:t>Restricted Stock</w:t>
      </w:r>
      <w:r>
        <w:rPr>
          <w:rFonts w:ascii="Times New Roman" w:hAnsi="Times New Roman"/>
          <w:sz w:val="20"/>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or following the time such Award vests (“</w:t>
      </w:r>
      <w:r>
        <w:rPr>
          <w:rFonts w:ascii="Times New Roman" w:hAnsi="Times New Roman"/>
          <w:b/>
          <w:sz w:val="20"/>
        </w:rPr>
        <w:t>Restricted Stock Units</w:t>
      </w:r>
      <w:r>
        <w:rPr>
          <w:rFonts w:ascii="Times New Roman" w:hAnsi="Times New Roman"/>
          <w:sz w:val="20"/>
        </w:rPr>
        <w:t>” or “</w:t>
      </w:r>
      <w:r>
        <w:rPr>
          <w:rFonts w:ascii="Times New Roman" w:hAnsi="Times New Roman"/>
          <w:b/>
          <w:sz w:val="20"/>
        </w:rPr>
        <w:t>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and Conditions</w:t>
      </w:r>
      <w:r>
        <w:rPr>
          <w:rFonts w:ascii="Times New Roman" w:hAnsi="Times New Roman"/>
          <w:sz w:val="20"/>
        </w:rPr>
        <w:t xml:space="preserve">. The Board shall determine and set forth in the applicable award agreement the terms and conditions of Restricted Stock or RSUs, including the conditions for vesting and repurchase (or forfeiture) and the issue price,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Additional Provisions Relating to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Dividends</w:t>
      </w:r>
      <w:r>
        <w:rPr>
          <w:rFonts w:ascii="Times New Roman" w:hAnsi="Times New Roman"/>
          <w:sz w:val="20"/>
        </w:rPr>
        <w:t xml:space="preserve">. Participants holding shares of Restricted Stock will be entitled to all ordinary cash dividends paid with respect to such shares to the extent such dividends have a record date that is on or after the date on which the Participant to whom such Restricted Stock is granted becomes the record holder of such Restricted Stock, unless otherwise provided by the Board. Unless otherwise provided by the Board, if any dividends or distributions are paid in shares, or consist of a dividend or distribution to holders of Common Stock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no later than the end of the calendar year in which the dividends are paid to shareholders of that class of stock or, if later, the 15th day of the third month following the later of (A) the date the dividends are paid to shareholders of that class of stock and (B) the date the dividends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Stock Certificates</w:t>
      </w:r>
      <w:r>
        <w:rPr>
          <w:rFonts w:ascii="Times New Roman" w:hAnsi="Times New Roman"/>
          <w:sz w:val="20"/>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Times New Roman" w:hAnsi="Times New Roman"/>
          <w:b/>
          <w:sz w:val="20"/>
        </w:rPr>
        <w:t>Designated Beneficiary</w:t>
      </w:r>
      <w:r>
        <w:rPr>
          <w:rFonts w:ascii="Times New Roman" w:hAnsi="Times New Roman"/>
          <w:sz w:val="20"/>
        </w:rPr>
        <w:t xml:space="preserve">”). In the absence of an effective designation by a Participant, “Designated Beneficiary” shall mean the Participant’s estate.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Provisions Relating to 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Settlement</w:t>
      </w:r>
      <w:r>
        <w:rPr>
          <w:rFonts w:ascii="Times New Roman" w:hAnsi="Times New Roman"/>
          <w:sz w:val="20"/>
        </w:rPr>
        <w:t xml:space="preserve">. Upon or following the vesting of a Restricted Stock Unit, the Participant shall be entitled to receive from the Company one share of Common Stock or an amount of cash or other property equal to the Fair Market Value of one share of Common Stock on the settlement date (or such other date), as the Board shall determine and as provided in the applicable award agreement. The Board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Voting Rights</w:t>
      </w:r>
      <w:r>
        <w:rPr>
          <w:rFonts w:ascii="Times New Roman" w:hAnsi="Times New Roman"/>
          <w:sz w:val="20"/>
        </w:rPr>
        <w:t>. A Participant shall have no voting rights with respect to any Restricted Stock Units unless and until shares are delivered in settlement thereof.</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Dividend Equivalents</w:t>
      </w:r>
      <w:r>
        <w:rPr>
          <w:rFonts w:ascii="Times New Roman" w:hAnsi="Times New Roman"/>
          <w:sz w:val="20"/>
        </w:rPr>
        <w:t>. To the extent provided by the Board, a grant of Restricted Stock Units may provide a Participant 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 “</w:t>
      </w:r>
      <w:r>
        <w:rPr>
          <w:rFonts w:ascii="Times New Roman" w:hAnsi="Times New Roman"/>
          <w:b/>
          <w:sz w:val="20"/>
        </w:rPr>
        <w:t>Dividend Equivalents</w:t>
      </w:r>
      <w:r>
        <w:rPr>
          <w:rFonts w:ascii="Times New Roman" w:hAnsi="Times New Roman"/>
          <w:sz w:val="20"/>
        </w:rPr>
        <w:t xml:space="preserve">” means a right granted to a Participant to receive the equivalent value (in cash or shares of Common Stock) of dividends paid on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Other Stock-Based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Other Awards of shares of Common Stock, and other Awards that are valued in whole or in part by reference to, or are otherwise based on, shares of Common Stock or other property, may be granted hereunder to Participants (“</w:t>
      </w:r>
      <w:r>
        <w:rPr>
          <w:rFonts w:ascii="Times New Roman" w:hAnsi="Times New Roman"/>
          <w:b/>
          <w:sz w:val="20"/>
        </w:rPr>
        <w:t>Other Stock-Based Awards</w:t>
      </w:r>
      <w:r>
        <w:rPr>
          <w:rFonts w:ascii="Times New Roman" w:hAnsi="Times New Roman"/>
          <w:sz w:val="20"/>
        </w:rPr>
        <w:t xml:space="preserve">”), including without limitation stock appreciation rights (which shall be subject to the same limitations applicable to awards of Nonstatutory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transfer restrictions, vesting conditions and other terms and conditions applicable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Adjustments for Changes in Common Stock and Certain Other Events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In the event of any stock split, reverse stock split, stock dividend, recapitalization, combination of shares, reclassification of shares, spin-off, merger, consolidation, liquidation, reorganization,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other outstanding Award, and (iv) the terms of each other outstanding Award shall be equitably adjusted by the Company (or substituted Awards may be made, if applicable) in the manner determined by the Board; </w:t>
      </w:r>
      <w:r>
        <w:rPr>
          <w:rFonts w:ascii="Times New Roman" w:hAnsi="Times New Roman"/>
          <w:i/>
          <w:sz w:val="20"/>
        </w:rPr>
        <w:t>provided that</w:t>
      </w:r>
      <w:r>
        <w:rPr>
          <w:rFonts w:ascii="Times New Roman" w:hAnsi="Times New Roman"/>
          <w:sz w:val="20"/>
        </w:rPr>
        <w:t xml:space="preserve">, unless otherwise determined by the Board, such changes to the Options shall comply with Section 1.424-1 of the Treasury Regulations and Section 409A of the Code.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 Participant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Reorganization Events and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w:t>
      </w:r>
      <w:r>
        <w:rPr>
          <w:rFonts w:ascii="Times New Roman" w:hAnsi="Times New Roman"/>
          <w:sz w:val="20"/>
        </w:rPr>
        <w:t xml:space="preserve">” shall have the meaning set forth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(B) A “</w:t>
      </w:r>
      <w:r>
        <w:rPr>
          <w:rFonts w:ascii="Times New Roman" w:hAnsi="Times New Roman"/>
          <w:b/>
          <w:sz w:val="20"/>
        </w:rPr>
        <w:t>Change in Control</w:t>
      </w:r>
      <w:r>
        <w:rPr>
          <w:rFonts w:ascii="Times New Roman" w:hAnsi="Times New Roman"/>
          <w:sz w:val="20"/>
        </w:rPr>
        <w:t xml:space="preserve">” means, except as otherwise provided in an Award agreement, the occurrence of any one of the following events: </w:t>
      </w:r>
    </w:p>
    <w:p>
      <w:pPr>
        <w:pStyle w:val="TextBody"/>
        <w:bidi w:val="0"/>
        <w:spacing w:before="120" w:after="0"/>
        <w:jc w:val="left"/>
        <w:rPr>
          <w:rFonts w:ascii="Times New Roman" w:hAnsi="Times New Roman"/>
          <w:sz w:val="20"/>
        </w:rPr>
      </w:pPr>
      <w:r>
        <w:rPr>
          <w:rFonts w:ascii="Times New Roman" w:hAnsi="Times New Roman"/>
          <w:sz w:val="20"/>
        </w:rPr>
        <w:t>(I) any Person (as defined below) (other than any Designated Affiliate (as defined below)) is or becomes the Beneficial Owner, directly or indirectly, of securities of the Company (not including the securities beneficially owned by such Person or any securities acquired directly from the Company or any entity in which the Company has a substantial direct or indirect equity interest, as determined by the Board from time to time (an “</w:t>
      </w:r>
      <w:r>
        <w:rPr>
          <w:rFonts w:ascii="Times New Roman" w:hAnsi="Times New Roman"/>
          <w:b/>
          <w:sz w:val="20"/>
        </w:rPr>
        <w:t>Affiliate</w:t>
      </w:r>
      <w:r>
        <w:rPr>
          <w:rFonts w:ascii="Times New Roman" w:hAnsi="Times New Roman"/>
          <w:sz w:val="20"/>
        </w:rPr>
        <w:t xml:space="preserve">”)) representing 50% or more of the combined voting power of the Company’s then outstanding securities, excluding any Person who becomes such a Beneficial Owner in connection with a transaction described in clause (III)(1) or (2) below; </w:t>
      </w:r>
    </w:p>
    <w:p>
      <w:pPr>
        <w:pStyle w:val="TextBody"/>
        <w:bidi w:val="0"/>
        <w:spacing w:before="24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(1) individuals who, on the Effective Date (as defined below), constitute the Board and (2)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with any Designated Affiliate), other than (1)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 (2) a reverse merger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(1) an entity, at least 50% of the combined voting power of the voting securities of which is owned by stockholders of the Company in substantially the same proportions as their ownership of the Company immediately prior to such sale or (2) any Designated Affiliate.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Designated Affiliates</w:t>
      </w:r>
      <w:r>
        <w:rPr>
          <w:rFonts w:ascii="Times New Roman" w:hAnsi="Times New Roman"/>
          <w:sz w:val="20"/>
        </w:rPr>
        <w:t>” means Fairmount Healthcare Fund II, L.P., its respective Controlled Affiliates, and any entity in which any such entity has a substantial direct or indirect equity interest, as determined by the Board from time to time; provided, however, that Fairmount Healthcare Fund II, L.P., its Controlled Affiliates, and any entity in which any such entity has a substantial direct or indirect equity interest, as determined by the Board from time to time, will cease to be Designated Affiliates at the time they no longer are the Beneficial Owner of securities of the Company represents at least 10% of the combined voting power of the Company’s then outstanding securities. For purposes of this definition, “</w:t>
      </w:r>
      <w:r>
        <w:rPr>
          <w:rFonts w:ascii="Times New Roman" w:hAnsi="Times New Roman"/>
          <w:b/>
          <w:sz w:val="20"/>
        </w:rPr>
        <w:t>Controlled Affiliates</w:t>
      </w:r>
      <w:r>
        <w:rPr>
          <w:rFonts w:ascii="Times New Roman" w:hAnsi="Times New Roman"/>
          <w:sz w:val="20"/>
        </w:rPr>
        <w:t xml:space="preserve">” means any Person referred to in the preceding sentence that, directly or indirectly, through one or more intermediaries, is controlling, controlled by, or under common control with, such other Person.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Person</w:t>
      </w:r>
      <w:r>
        <w:rPr>
          <w:rFonts w:ascii="Times New Roman" w:hAnsi="Times New Roman"/>
          <w:sz w:val="20"/>
        </w:rPr>
        <w:t xml:space="preserve">” shall have the meaning given in Section 3(a)(9) of the Exchange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 </w:t>
      </w:r>
    </w:p>
    <w:p>
      <w:pPr>
        <w:pStyle w:val="TextBody"/>
        <w:bidi w:val="0"/>
        <w:spacing w:before="240" w:after="0"/>
        <w:jc w:val="left"/>
        <w:rPr>
          <w:rFonts w:ascii="Times New Roman" w:hAnsi="Times New Roman"/>
          <w:sz w:val="20"/>
        </w:rPr>
      </w:pPr>
      <w:r>
        <w:rPr>
          <w:rFonts w:ascii="Times New Roman" w:hAnsi="Times New Roman"/>
          <w:sz w:val="20"/>
        </w:rPr>
        <w:t>(E) A “</w:t>
      </w:r>
      <w:r>
        <w:rPr>
          <w:rFonts w:ascii="Times New Roman" w:hAnsi="Times New Roman"/>
          <w:b/>
          <w:sz w:val="20"/>
        </w:rPr>
        <w:t>Reorganization Event</w:t>
      </w:r>
      <w:r>
        <w:rPr>
          <w:rFonts w:ascii="Times New Roman" w:hAnsi="Times New Roman"/>
          <w:sz w:val="20"/>
        </w:rPr>
        <w:t xml:space="preserve">” means the consummation of: (I) the dissolution or liquidation of the Company, (II) the sale of all or substantially all of the assets of the Company on a consolidated basis to an unrelated Person, (III) a merger, reorganization or consolidation pursuant to which all or substantially all of the Persons who were Beneficial Owners of the Company’s outstanding voting power immediately prior to such transaction do not own, directly or indirectly, a majority (determined on an as-converted basis) of the outstanding voting power of the surviving or resulting entity (or its ultimate parent, if applicable), (IV) the acquisition of all or a majority of the outstanding voting stock of the Company in a single transaction or a series of a related transactions by a Person or group of Persons, or (V) any other acquisition of the business of the Company, as determined by the Board; </w:t>
      </w:r>
      <w:r>
        <w:rPr>
          <w:rFonts w:ascii="Times New Roman" w:hAnsi="Times New Roman"/>
          <w:i/>
          <w:sz w:val="20"/>
        </w:rPr>
        <w:t>provided, however</w:t>
      </w:r>
      <w:r>
        <w:rPr>
          <w:rFonts w:ascii="Times New Roman" w:hAnsi="Times New Roman"/>
          <w:sz w:val="20"/>
        </w:rPr>
        <w:t xml:space="preserve">, that the first firm commitment underwritten public offering pursuant to an effective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under the Securities Act of 1933, as amended, covering the offer and sale by the Company of its equity securities, as a result of or following which the Common Stock shall be public, any subsequent public offering or another capital raising event, or a merger effected solely to change the Company’s domicile shall not constitute a “Reorganization Event.”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Consequences of a Reorganization Event or Change in Control on Awards</w:t>
      </w:r>
      <w:r>
        <w:rPr>
          <w:rFonts w:ascii="Times New Roman" w:hAnsi="Times New Roman"/>
          <w:sz w:val="20"/>
        </w:rPr>
        <w:t xml:space="preserve">. In connection with a Reorganization Event and/or a Change in Control, the Board may take any one or more of the following actions as to all or any (or any portion of) outstanding Awards on such terms as the Board determines: (A) provide that Awards shall be assumed, or substantially equivalent Awards shall be substituted, by the acquiring or succeeding corporation (or an affiliate thereof); </w:t>
      </w:r>
      <w:r>
        <w:rPr>
          <w:rFonts w:ascii="Times New Roman" w:hAnsi="Times New Roman"/>
          <w:i/>
          <w:sz w:val="20"/>
        </w:rPr>
        <w:t>provided that</w:t>
      </w:r>
      <w:r>
        <w:rPr>
          <w:rFonts w:ascii="Times New Roman" w:hAnsi="Times New Roman"/>
          <w:sz w:val="20"/>
        </w:rPr>
        <w:t>, unless otherwise determined by the Board, such assumption or substitution of the Options shall comply with Section 1.424-1 of the Treasury Regulations and Section 409A of the Code, (B) upon written notice to a Participant, provide that the Participant’s unexercised Awards will terminate immediately prior to the consummation of such Reorganization Event unless exercised by the Participant within a specified period following the date of such notice, (C) provide that outstanding Awards shall become vested, exercisable, realizable, or deliverable, or restrictions applicable to an Award shall lapse, in whole or in part prior to or upon such Reorganization Event, (D) in the event of a Reorganization Event under the terms of which holders of Common Stock will receive upon consummation thereof a cash payment for each share surrendered in the Reorganization Event (the “</w:t>
      </w:r>
      <w:r>
        <w:rPr>
          <w:rFonts w:ascii="Times New Roman" w:hAnsi="Times New Roman"/>
          <w:b/>
          <w:sz w:val="20"/>
        </w:rPr>
        <w:t>Acquisition Price</w:t>
      </w:r>
      <w:r>
        <w:rPr>
          <w:rFonts w:ascii="Times New Roman" w:hAnsi="Times New Roman"/>
          <w:sz w:val="20"/>
        </w:rPr>
        <w:t xml:space="preserve">”), make or provide for a cash payment to a Participant equal to the excess, if any, of (I) the Acquisition Price times the number of shares of Common Stock subject to the Participant’s Awards (to the extent the exercise price does not equal or exceed the Acquisition Price) over (II) the aggregate exercise price of all such outstanding Awards and any applicable tax withholdings, in exchange for the termination of such Awards (and the Board may cancel and terminate without payment or consideration any Award with an exercise price equal to or in excess of the Acquisition Price), (E) provide that, in connection with a liquidation or dissolution of the Company, Awards shall convert into the right to receive liquidation proceeds (if applicable, net of the exercise price thereof and any applicable tax withholdings) and (F) any combination of the foregoing. In taking any of the actions permitted under this Section 8(b), the Board shall not be obligated by the Plan to treat all Awards, all Awards held by a Participant, or all Awards of the same type, identically.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clause (A) above, an Option shall be considered assumed if, following consummation of the Reorganization Event or Change in Control, the Option confers the right to purchase, for each share of Common Stock subject to the Option immediately prior to the consummation of the Reorganization Event or Change in Control, the consideration (whether cash, securities or other property) received as a result of the Reorganization Event or Change in Control by holders of Common Stock for each share of Common Stock held immediately prior to the consummation of the Reorganization Event or Change in Control (and if holders were offered a choice of consideration, the type of consideration chosen by the holders of a majority of the outstanding shares of Common Stock); </w:t>
      </w:r>
      <w:r>
        <w:rPr>
          <w:rFonts w:ascii="Times New Roman" w:hAnsi="Times New Roman"/>
          <w:i/>
          <w:sz w:val="20"/>
        </w:rPr>
        <w:t>provided, however</w:t>
      </w:r>
      <w:r>
        <w:rPr>
          <w:rFonts w:ascii="Times New Roman" w:hAnsi="Times New Roman"/>
          <w:sz w:val="20"/>
        </w:rPr>
        <w:t xml:space="preserve">, that if the consideration received as a result of the Reorganization Event or Change in Control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 or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General Provisions Applicable to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 of Awards</w:t>
      </w:r>
      <w:r>
        <w:rPr>
          <w:rFonts w:ascii="Times New Roman" w:hAnsi="Times New Roman"/>
          <w:sz w:val="20"/>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Notwithstanding the foregoing, as permitted by the Committee, a Participant may transfer or assign an Award as a gift to any “family member” (as such term is defined in Rule 701 promulgated under the Securities Act)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References to a Participant, to the extent relevant in the context, shall include references to authorized transferees.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Documentation</w:t>
      </w:r>
      <w:r>
        <w:rPr>
          <w:rFonts w:ascii="Times New Roman" w:hAnsi="Times New Roman"/>
          <w:sz w:val="20"/>
        </w:rPr>
        <w:t xml:space="preserve">. Each Award shall be evidenced in such form (written, electronic or otherwise) as the Board shall determine. Each Award may contain terms and conditions in addition to those set forth in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Discretion</w:t>
      </w:r>
      <w:r>
        <w:rPr>
          <w:rFonts w:ascii="Times New Roman" w:hAnsi="Times New Roman"/>
          <w:sz w:val="20"/>
        </w:rPr>
        <w:t xml:space="preserve">. Except as otherwise provided by the Plan, each Award may be made alone or in addition or in relation to any other Award. The terms of each Award need not be identical, and the Board need not treat Participants uniformly.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Status</w:t>
      </w:r>
      <w:r>
        <w:rPr>
          <w:rFonts w:ascii="Times New Roman" w:hAnsi="Times New Roman"/>
          <w:sz w:val="20"/>
        </w:rPr>
        <w:t xml:space="preserve">. The Board shall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p>
    <w:p>
      <w:pPr>
        <w:pStyle w:val="TextBody"/>
        <w:bidi w:val="0"/>
        <w:spacing w:before="240" w:after="0"/>
        <w:jc w:val="left"/>
        <w:rPr>
          <w:rFonts w:ascii="Times New Roman" w:hAnsi="Times New Roman"/>
          <w:sz w:val="20"/>
        </w:rPr>
      </w:pPr>
      <w:r>
        <w:rPr>
          <w:rFonts w:ascii="Times New Roman" w:hAnsi="Times New Roman"/>
          <w:sz w:val="20"/>
        </w:rPr>
        <w:t>(i) For purposes of the Plan, “</w:t>
      </w:r>
      <w:r>
        <w:rPr>
          <w:rFonts w:ascii="Times New Roman" w:hAnsi="Times New Roman"/>
          <w:b/>
          <w:sz w:val="20"/>
        </w:rPr>
        <w:t>Cause</w:t>
      </w:r>
      <w:r>
        <w:rPr>
          <w:rFonts w:ascii="Times New Roman" w:hAnsi="Times New Roman"/>
          <w:sz w:val="20"/>
        </w:rPr>
        <w:t xml:space="preserve">” has the meaning set forth in the written employment, offer, services or severance agreement or letter between the Participant and the Company or its subsidiary, or in any severance plan in which the Participant participates, or if there is no such agreement or plan or no such term is defined in such agreement or plan, means (A) the Participant’s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(B) the Participant’s conviction or plea of no contest to (1) a felony or (2) any misdemeanor involving moral turpitude, deceit, dishonesty or fraud; (C) the Participant’s failure to perform in all material respects the Participant’s assigned duties and responsibilities; (D) the Participant’s gross negligence, willful misconduct that results in or is reasonably anticipated to result in harm to the Company; or (E) the Participant’s violation of any material provision of any agreement(s) between the Participant and the Company or its subsidiary or any Company policies including, without limitation, agreements relating to non-competition, non-solicitation, non-disparagement, non-disclosure and/or assignment of inventions or policies related to ethics or workplace conduct. </w:t>
      </w:r>
    </w:p>
    <w:p>
      <w:pPr>
        <w:pStyle w:val="TextBody"/>
        <w:bidi w:val="0"/>
        <w:spacing w:before="240" w:after="0"/>
        <w:jc w:val="left"/>
        <w:rPr>
          <w:rFonts w:ascii="Times New Roman" w:hAnsi="Times New Roman"/>
          <w:sz w:val="20"/>
        </w:rPr>
      </w:pPr>
      <w:r>
        <w:rPr>
          <w:rFonts w:ascii="Times New Roman" w:hAnsi="Times New Roman"/>
          <w:sz w:val="20"/>
        </w:rPr>
        <w:t>(ii) For purposes of the Plan, “</w:t>
      </w:r>
      <w:r>
        <w:rPr>
          <w:rFonts w:ascii="Times New Roman" w:hAnsi="Times New Roman"/>
          <w:b/>
          <w:sz w:val="20"/>
        </w:rPr>
        <w:t>Disability</w:t>
      </w:r>
      <w:r>
        <w:rPr>
          <w:rFonts w:ascii="Times New Roman" w:hAnsi="Times New Roman"/>
          <w:sz w:val="20"/>
        </w:rPr>
        <w:t xml:space="preserve">” shall mean a permanent and total disability within the meaning of Section 22(e)(3)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Withholding</w:t>
      </w:r>
      <w:r>
        <w:rPr>
          <w:rFonts w:ascii="Times New Roman" w:hAnsi="Times New Roman"/>
          <w:sz w:val="20"/>
        </w:rPr>
        <w:t xml:space="preserve">. The Company shall not be obligated to deliver certificates, release from forfeiture, otherwise recognize a Participant’s unrestricted ownership in an Award or the cash or property proceeds therefrom, until the Company satisfies all applicable federal, state, and local or other income and employment tax withholding obligations. In its sole discretion, the Company may satisfy such withholding obligations by any of the following means or by a combination of such means: (i) causing the Participant to tender to the Company cash payment; (ii) withholding cash from an Award settled in cash; (iii) withholding from amounts otherwise payable by the Company to the Participant, including but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to additional withholding on the Participant’s salary or wages, or from proceeds from the sale of Common Stock issued pursuant to an Award; (iv) delivery of shares of Common Stock, including shares retained from the Award creating the tax obligation, valued at their Fair Market Value; </w:t>
      </w:r>
      <w:r>
        <w:rPr>
          <w:rFonts w:ascii="Times New Roman" w:hAnsi="Times New Roman"/>
          <w:i/>
          <w:sz w:val="20"/>
        </w:rPr>
        <w:t>provided, however</w:t>
      </w:r>
      <w:r>
        <w:rPr>
          <w:rFonts w:ascii="Times New Roman" w:hAnsi="Times New Roman"/>
          <w:sz w:val="20"/>
        </w:rPr>
        <w:t xml:space="preserve">, except as otherwise provided by the Board, that the total tax withholding where stock is being used to satisfy such tax obligations cannot exceed the Company’s maximum statutory withholding obligations (based on maximum statutory withholding rates for federal and state tax purposes, including payroll taxes, that are applicable to such supplemental taxable income), and </w:t>
      </w:r>
      <w:r>
        <w:rPr>
          <w:rFonts w:ascii="Times New Roman" w:hAnsi="Times New Roman"/>
          <w:i/>
          <w:sz w:val="20"/>
        </w:rPr>
        <w:t>provided, further</w:t>
      </w:r>
      <w:r>
        <w:rPr>
          <w:rFonts w:ascii="Times New Roman" w:hAnsi="Times New Roman"/>
          <w:sz w:val="20"/>
        </w:rPr>
        <w:t xml:space="preserve">, shares surrendered to satisfy tax withholding requirements cannot be subject to any repurchase, forfeiture, unfulfilled vesting or other similar requirements; or (v) by such other method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Board may amend, modify or terminate any outstanding Award, including but not limited to, substituting therefor another Award of the same or a different type, changing the date of exercise or settlement, and converting an Incentive Stock Option to a Nonstatutory Stock Option. The Participant’s consent to such action shall be required unless (A) the Board determines that the action, taking into account any related action, would not materially and adversely affect the Participant’s rights under the Plan, (B) the change is permitted under Section 8 hereof, or (C) the change is to ensure that an Option intended to qualify as an Incentive Stock Option qualifies as such. </w:t>
      </w:r>
    </w:p>
    <w:p>
      <w:pPr>
        <w:pStyle w:val="TextBody"/>
        <w:bidi w:val="0"/>
        <w:spacing w:before="240" w:after="0"/>
        <w:jc w:val="left"/>
        <w:rPr>
          <w:rFonts w:ascii="Times New Roman" w:hAnsi="Times New Roman"/>
          <w:sz w:val="20"/>
        </w:rPr>
      </w:pPr>
      <w:r>
        <w:rPr>
          <w:rFonts w:ascii="Times New Roman" w:hAnsi="Times New Roman"/>
          <w:sz w:val="20"/>
        </w:rPr>
        <w:t xml:space="preserve">(ii) 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Conditions on Delivery of Stock</w:t>
      </w:r>
      <w:r>
        <w:rPr>
          <w:rFonts w:ascii="Times New Roman" w:hAnsi="Times New Roman"/>
          <w:sz w:val="20"/>
        </w:rPr>
        <w:t xml:space="preserve">.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The inability of the Company to obtain authority from any regulatory body having jurisdiction, which authority is determined by the Board to be necessary to the lawful issuance and sale of any securities hereunder, shall relieve the Company of any liability in respect of the failure to issue or sell such shares as to which such requisite authority was not obtained.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Acceleration</w:t>
      </w:r>
      <w:r>
        <w:rPr>
          <w:rFonts w:ascii="Times New Roman" w:hAnsi="Times New Roman"/>
          <w:sz w:val="20"/>
        </w:rPr>
        <w:t xml:space="preserve">. The Board may at any time provide that any Award shall become immediately exercisable in full or in part, free of some or all restrictions or conditions, or otherwise realizable in full or in part, as the case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Miscellaneous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 To Employment or Other Status</w:t>
      </w:r>
      <w:r>
        <w:rPr>
          <w:rFonts w:ascii="Times New Roman" w:hAnsi="Times New Roman"/>
          <w:sz w:val="20"/>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Rights As Stockholder</w:t>
      </w:r>
      <w:r>
        <w:rPr>
          <w:rFonts w:ascii="Times New Roman" w:hAnsi="Times New Roman"/>
          <w:sz w:val="20"/>
        </w:rPr>
        <w:t xml:space="preserve">.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Board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any stock certificates issued under the Plan deemed necessary or appropriate by the Board in order to comply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Effective Date and Term of Plan</w:t>
      </w:r>
      <w:r>
        <w:rPr>
          <w:rFonts w:ascii="Times New Roman" w:hAnsi="Times New Roman"/>
          <w:sz w:val="20"/>
        </w:rPr>
        <w:t>. The Plan shall become effective on the date on which it is adopted by the Board (the “</w:t>
      </w:r>
      <w:r>
        <w:rPr>
          <w:rFonts w:ascii="Times New Roman" w:hAnsi="Times New Roman"/>
          <w:b/>
          <w:sz w:val="20"/>
        </w:rPr>
        <w:t>Effective Date</w:t>
      </w:r>
      <w:r>
        <w:rPr>
          <w:rFonts w:ascii="Times New Roman" w:hAnsi="Times New Roman"/>
          <w:sz w:val="20"/>
        </w:rPr>
        <w:t xml:space="preserve">”). No Awards shall be granted under the Plan after the expiration of 10 years from the earlier of (i) the Effective Date or (ii) the date the Plan was approved by the Company’s stockholders, but Awards previously granted may extend beyond that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Plan</w:t>
      </w:r>
      <w:r>
        <w:rPr>
          <w:rFonts w:ascii="Times New Roman" w:hAnsi="Times New Roman"/>
          <w:sz w:val="20"/>
        </w:rPr>
        <w:t xml:space="preserve">. The Board may amend, suspend or terminate the Plan or any portion thereof at any time; </w:t>
      </w:r>
      <w:r>
        <w:rPr>
          <w:rFonts w:ascii="Times New Roman" w:hAnsi="Times New Roman"/>
          <w:i/>
          <w:sz w:val="20"/>
        </w:rPr>
        <w:t>provided that</w:t>
      </w:r>
      <w:r>
        <w:rPr>
          <w:rFonts w:ascii="Times New Roman" w:hAnsi="Times New Roman"/>
          <w:sz w:val="20"/>
        </w:rPr>
        <w:t xml:space="preserve"> if at any time the approval of a Company stockholder is required as to any modification or amendment under Section 422 of the Code or any successor provision with respect to Incentive Stock Options or pursuant to any other applicable law or regulation, the Board may not effect such modification or amendment without stockholder approval. Unless otherwise specified in the amendment, any amendment to the Plan adopted in accordance with this Section 10(d) shall apply to, and be binding on the holders of, all Awards outstanding under the Plan at the time the amendment is adopted, </w:t>
      </w:r>
      <w:r>
        <w:rPr>
          <w:rFonts w:ascii="Times New Roman" w:hAnsi="Times New Roman"/>
          <w:i/>
          <w:sz w:val="20"/>
        </w:rPr>
        <w:t>provided</w:t>
      </w:r>
      <w:r>
        <w:rPr>
          <w:rFonts w:ascii="Times New Roman" w:hAnsi="Times New Roman"/>
          <w:sz w:val="20"/>
        </w:rPr>
        <w:t xml:space="preserve"> the Board determines that such amendment does not materially and adversely affect the rights of Participants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Authorization of Sub-Plans</w:t>
      </w:r>
      <w:r>
        <w:rPr>
          <w:rFonts w:ascii="Times New Roman" w:hAnsi="Times New Roman"/>
          <w:sz w:val="20"/>
        </w:rPr>
        <w:t xml:space="preserve">.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Code Section 409A</w:t>
      </w:r>
      <w:r>
        <w:rPr>
          <w:rFonts w:ascii="Times New Roman" w:hAnsi="Times New Roman"/>
          <w:sz w:val="20"/>
        </w:rPr>
        <w:t xml:space="preserve">. Unless otherwise expressly provided for in an Award, the Plan and Award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will incorporate the terms and conditions necessary to avoid the consequences specified in Section 409A(a)(1) of the Code, and to the extent an Award is silent on terms necessary for compliance, such terms as deemed necessary by the Board in its sole discretion are hereby incorporated by reference into the Award. Without limiting the generality of the foregoing, if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The Company shall have no liability to a Participant, or any other party, if an Award that is intended to be exempt from, or compliant with, Section 409A of the Code is not so exempt or compliant or for any other action taken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Governing Law</w:t>
      </w:r>
      <w:r>
        <w:rPr>
          <w:rFonts w:ascii="Times New Roman" w:hAnsi="Times New Roman"/>
          <w:sz w:val="20"/>
        </w:rPr>
        <w:t xml:space="preserve">.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Data Privacy</w:t>
      </w:r>
      <w:r>
        <w:rPr>
          <w:rFonts w:ascii="Times New Roman" w:hAnsi="Times New Roman"/>
          <w:sz w:val="20"/>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 w:hAnsi="Times New Roman"/>
          <w:b/>
          <w:sz w:val="20"/>
        </w:rPr>
        <w:t>Data</w:t>
      </w:r>
      <w:r>
        <w:rPr>
          <w:rFonts w:ascii="Times New Roman" w:hAnsi="Times New Roman"/>
          <w:sz w:val="20"/>
        </w:rPr>
        <w:t xml:space="preserve">”).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Board’s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Restrictions on Shares; Clawback Provisions</w:t>
      </w:r>
      <w:r>
        <w:rPr>
          <w:rFonts w:ascii="Times New Roman" w:hAnsi="Times New Roman"/>
          <w:sz w:val="20"/>
        </w:rPr>
        <w:t xml:space="preserve">. Shares of Common Stock acquired in respect of Awards shall be subject to such terms and conditions as the Board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Board, be contained in the applicable Award agreement or in an exercise notice, stockholders’ agreement or in such other agreement as the Board shall determine, in each case in a form determined by the Board.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2026 EQUITY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CALIFORNIA SUPPLEMENT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10(e) of the Plan, the Board has adopted this supplement for purposes of satisfying the requirements of Section 25102(o) of the California Corporations Code: </w:t>
      </w:r>
    </w:p>
    <w:p>
      <w:pPr>
        <w:pStyle w:val="TextBody"/>
        <w:bidi w:val="0"/>
        <w:spacing w:before="120" w:after="0"/>
        <w:jc w:val="left"/>
        <w:rPr>
          <w:rFonts w:ascii="Times New Roman" w:hAnsi="Times New Roman"/>
          <w:sz w:val="20"/>
        </w:rPr>
      </w:pPr>
      <w:r>
        <w:rPr>
          <w:rFonts w:ascii="Times New Roman" w:hAnsi="Times New Roman"/>
          <w:sz w:val="20"/>
        </w:rPr>
        <w:t>Any Awards granted under the Plan to a Participant who is a resident of the State of California on the date of grant (a “</w:t>
      </w:r>
      <w:r>
        <w:rPr>
          <w:rFonts w:ascii="Times New Roman" w:hAnsi="Times New Roman"/>
          <w:b/>
          <w:sz w:val="20"/>
        </w:rPr>
        <w:t>California Participant</w:t>
      </w:r>
      <w:r>
        <w:rPr>
          <w:rFonts w:ascii="Times New Roman" w:hAnsi="Times New Roman"/>
          <w:sz w:val="20"/>
        </w:rPr>
        <w:t xml:space="preserve">”) shall be subject to the following additional limitations,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on Options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Duration of Options</w:t>
      </w:r>
      <w:r>
        <w:rPr>
          <w:rFonts w:ascii="Times New Roman" w:hAnsi="Times New Roman"/>
          <w:sz w:val="20"/>
        </w:rPr>
        <w:t xml:space="preserve">. No Options granted to California Participants shall have a term in excess of 10 years measured from the Option grant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Exercise Period Following Termination</w:t>
      </w:r>
      <w:r>
        <w:rPr>
          <w:rFonts w:ascii="Times New Roman" w:hAnsi="Times New Roman"/>
          <w:sz w:val="20"/>
        </w:rPr>
        <w:t xml:space="preserve">.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for Other Stock-Based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terms of all Awards granted to a California Participant under Section 7 of the Plan shall comply, to the extent applicable, with Section 260.140.41 or Section 260.140.42 of the California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Requirement to Provide Information to California Participants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Section 260.140.46 of the California Regulations,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on Timing of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Restriction Regarding Recapitalizations, Stock Splits, Etc</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Section 8 of the Plan, in the event of a stock split, reverse stock split, stock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p>
    <w:p>
      <w:pPr>
        <w:pStyle w:val="TextBody"/>
        <w:bidi w:val="0"/>
        <w:spacing w:before="0" w:after="0"/>
        <w:jc w:val="right"/>
        <w:rPr>
          <w:rFonts w:ascii="Times New Roman" w:hAnsi="Times New Roman"/>
          <w:b/>
          <w:sz w:val="20"/>
        </w:rPr>
      </w:pPr>
      <w:bookmarkStart w:id="271" w:name="filename9.htm"/>
      <w:bookmarkStart w:id="272" w:name="ksfilename9"/>
      <w:bookmarkEnd w:id="271"/>
      <w:bookmarkEnd w:id="272"/>
      <w:r>
        <w:rPr>
          <w:rFonts w:ascii="Times New Roman" w:hAnsi="Times New Roman"/>
          <w:b/>
          <w:sz w:val="20"/>
        </w:rPr>
        <w:t xml:space="preserve">Exhibit 10.22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INDEMNIFICATION AGREEMENT </w:t>
      </w:r>
    </w:p>
    <w:p>
      <w:pPr>
        <w:pStyle w:val="TextBody"/>
        <w:bidi w:val="0"/>
        <w:spacing w:before="240" w:after="0"/>
        <w:jc w:val="left"/>
        <w:rPr>
          <w:rFonts w:ascii="Times New Roman" w:hAnsi="Times New Roman"/>
          <w:sz w:val="20"/>
        </w:rPr>
      </w:pPr>
      <w:r>
        <w:rPr>
          <w:rFonts w:ascii="Times New Roman" w:hAnsi="Times New Roman"/>
          <w:sz w:val="20"/>
        </w:rPr>
        <w:t>THIS INDEMNIFICATION AGREEMENT (the “</w:t>
      </w:r>
      <w:r>
        <w:rPr>
          <w:rFonts w:ascii="Times New Roman" w:hAnsi="Times New Roman"/>
          <w:b/>
          <w:sz w:val="20"/>
        </w:rPr>
        <w:t>Agreement</w:t>
      </w:r>
      <w:r>
        <w:rPr>
          <w:rFonts w:ascii="Times New Roman" w:hAnsi="Times New Roman"/>
          <w:sz w:val="20"/>
        </w:rPr>
        <w:t xml:space="preserve">”) is made and entered into as of [], 2026, by and between </w:t>
      </w:r>
      <w:r>
        <w:rPr>
          <w:rFonts w:ascii="Times New Roman" w:hAnsi="Times New Roman"/>
          <w:b/>
          <w:sz w:val="20"/>
        </w:rPr>
        <w:t>RTW Newco10,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and </w:t>
      </w:r>
      <w:r>
        <w:rPr>
          <w:rFonts w:ascii="Times New Roman" w:hAnsi="Times New Roman"/>
          <w:b/>
          <w:sz w:val="20"/>
        </w:rPr>
        <w:t xml:space="preserve">[] </w:t>
      </w:r>
      <w:r>
        <w:rPr>
          <w:rFonts w:ascii="Times New Roman" w:hAnsi="Times New Roman"/>
          <w:sz w:val="20"/>
        </w:rPr>
        <w:t>(“</w:t>
      </w:r>
      <w:r>
        <w:rPr>
          <w:rFonts w:ascii="Times New Roman" w:hAnsi="Times New Roman"/>
          <w:b/>
          <w:sz w:val="20"/>
        </w:rPr>
        <w:t>Indemnitee</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WITNESSETH THAT: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highly competent persons have become more reluctant to serve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b/>
          <w:sz w:val="20"/>
        </w:rPr>
        <w:t>Board</w:t>
      </w:r>
      <w:r>
        <w:rPr>
          <w:rFonts w:ascii="Times New Roman" w:hAnsi="Times New Roman"/>
          <w:sz w:val="20"/>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(the “</w:t>
      </w:r>
      <w:r>
        <w:rPr>
          <w:rFonts w:ascii="Times New Roman" w:hAnsi="Times New Roman"/>
          <w:b/>
          <w:sz w:val="20"/>
        </w:rPr>
        <w:t>Bylaws</w:t>
      </w:r>
      <w:r>
        <w:rPr>
          <w:rFonts w:ascii="Times New Roman" w:hAnsi="Times New Roman"/>
          <w:sz w:val="20"/>
        </w:rPr>
        <w:t>”) require indemnification of the officers and directors of the Company. Indemnitee may also be entitled to indemnification pursuant to the General Corporation Law of the State of Delaware (“</w:t>
      </w:r>
      <w:r>
        <w:rPr>
          <w:rFonts w:ascii="Times New Roman" w:hAnsi="Times New Roman"/>
          <w:b/>
          <w:sz w:val="20"/>
        </w:rPr>
        <w:t>DGCL</w:t>
      </w:r>
      <w:r>
        <w:rPr>
          <w:rFonts w:ascii="Times New Roman" w:hAnsi="Times New Roman"/>
          <w:sz w:val="20"/>
        </w:rPr>
        <w:t xml:space="preserve">”). The Bylaws and the DGCL expressly provide that the indemnification provisions set forth therein are not exclusive, and thereby contemplate that contracts may be entered into between the Company and members of the Board,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uncertainties relating to such insurance and to indemnification have increased the difficulty of attracting and retaining such persons;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this Agreement is a supplement to and in furtherance of the Bylaws and the Certificate of Incorporation of the Company (the “</w:t>
      </w:r>
      <w:r>
        <w:rPr>
          <w:rFonts w:ascii="Times New Roman" w:hAnsi="Times New Roman"/>
          <w:b/>
          <w:sz w:val="20"/>
        </w:rPr>
        <w:t>Certificate of Incorporation</w:t>
      </w:r>
      <w:r>
        <w:rPr>
          <w:rFonts w:ascii="Times New Roman" w:hAnsi="Times New Roman"/>
          <w:sz w:val="20"/>
        </w:rPr>
        <w:t xml:space="preserve">”) and any resolutions adopted pursuant thereto,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Indemnitee does not regard the protection available under the Bylaws and the Certificate of Incorporation and insurance as adequate in the present circumstances, and may not be willing to serve as a director without adequate protection, and the Company desires Indemnitee to serve in such capacity. Indemnitee is willing to serve, continue to serve and to take on additional service for or on behalf of the Company on the condition that Indemnitee be so indemnified;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Indemnitee has certain rights to indemnification and/or insurance provided by [] and/or its affiliated investment funds (collectively, “</w:t>
      </w:r>
      <w:r>
        <w:rPr>
          <w:rFonts w:ascii="Times New Roman" w:hAnsi="Times New Roman"/>
          <w:b/>
          <w:sz w:val="20"/>
        </w:rPr>
        <w:t>[]</w:t>
      </w:r>
      <w:r>
        <w:rPr>
          <w:rFonts w:ascii="Times New Roman" w:hAnsi="Times New Roman"/>
          <w:sz w:val="20"/>
        </w:rPr>
        <w:t xml:space="preserve">”) which Indemnitee and [] intend to be secondary to the primary obligation of the Company to indemnify Indemnitee as provided herein, with the Company’s acknowledgement and agreement to the foregoing being a material condition to Indemnitee’s willingness to serve on the Board.]1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Indemnitee’s agreement to serve as a director from and after the date hereof,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Indemnity of Indemnitee</w:t>
      </w:r>
      <w:r>
        <w:rPr>
          <w:rFonts w:ascii="Times New Roman" w:hAnsi="Times New Roman"/>
          <w:sz w:val="20"/>
        </w:rPr>
        <w:t xml:space="preserve">. The Company hereby agrees to hold harmless and indemnify Indemnitee to the fullest extent permitted by law, as such may be amended from time to time. In furtherance of the foregoing indemnification, and without limiting the generality thereof: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Proceedings Other Than Proceedings by or in the Right of the Company</w:t>
      </w:r>
      <w:r>
        <w:rPr>
          <w:rFonts w:ascii="Times New Roman" w:hAnsi="Times New Roman"/>
          <w:sz w:val="20"/>
        </w:rPr>
        <w:t xml:space="preserve">. Indemnitee shall be entitled to the rights of indemnification provided in this </w:t>
      </w:r>
      <w:r>
        <w:rPr>
          <w:rFonts w:ascii="Times New Roman" w:hAnsi="Times New Roman"/>
          <w:sz w:val="20"/>
          <w:u w:val="single"/>
        </w:rPr>
        <w:t>Section 1(a)</w:t>
      </w:r>
      <w:r>
        <w:rPr>
          <w:rFonts w:ascii="Times New Roman" w:hAnsi="Times New Roman"/>
          <w:sz w:val="20"/>
        </w:rPr>
        <w:t xml:space="preserve"> if, by reason of Indemnitee’s Corporate Status (as hereinafter defined), the Indemnitee is, or is threatened to be made, a party to or participant in any Proceeding (as hereinafter defined) other than a Proceeding by or in the right of the Company. Pursuant to this </w:t>
      </w:r>
      <w:r>
        <w:rPr>
          <w:rFonts w:ascii="Times New Roman" w:hAnsi="Times New Roman"/>
          <w:sz w:val="20"/>
          <w:u w:val="single"/>
        </w:rPr>
        <w:t>Section 1(a)</w:t>
      </w:r>
      <w:r>
        <w:rPr>
          <w:rFonts w:ascii="Times New Roman" w:hAnsi="Times New Roman"/>
          <w:sz w:val="20"/>
        </w:rPr>
        <w:t xml:space="preserve">, Indemnitee shall be indemnified against all Expenses (as hereinafter defined), judgments, penalties, fines and amounts paid in settlement actually and reasonably incurred by Indemnitee, or on Indemnitee’s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Proceedings by or in the Right of the Company</w:t>
      </w:r>
      <w:r>
        <w:rPr>
          <w:rFonts w:ascii="Times New Roman" w:hAnsi="Times New Roman"/>
          <w:sz w:val="20"/>
        </w:rPr>
        <w:t xml:space="preserve">. Indemnitee shall be entitled to the rights of indemnification provided in this </w:t>
      </w:r>
      <w:r>
        <w:rPr>
          <w:rFonts w:ascii="Times New Roman" w:hAnsi="Times New Roman"/>
          <w:sz w:val="20"/>
          <w:u w:val="single"/>
        </w:rPr>
        <w:t>Section 1(b)</w:t>
      </w:r>
      <w:r>
        <w:rPr>
          <w:rFonts w:ascii="Times New Roman" w:hAnsi="Times New Roman"/>
          <w:sz w:val="20"/>
        </w:rPr>
        <w:t xml:space="preserve"> if, by reason of Indemnitee’s Corporate Status, the Indemnitee is, or is threatened to be made, a party to or participant in any Proceeding brought by or in the right of the Company. Pursuant to this </w:t>
      </w:r>
      <w:r>
        <w:rPr>
          <w:rFonts w:ascii="Times New Roman" w:hAnsi="Times New Roman"/>
          <w:sz w:val="20"/>
          <w:u w:val="single"/>
        </w:rPr>
        <w:t>Section 1(b)</w:t>
      </w:r>
      <w:r>
        <w:rPr>
          <w:rFonts w:ascii="Times New Roman" w:hAnsi="Times New Roman"/>
          <w:sz w:val="20"/>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Indemnification for Expenses of a Party Who is Wholly or Partly Successful</w:t>
      </w:r>
      <w:r>
        <w:rPr>
          <w:rFonts w:ascii="Times New Roman" w:hAnsi="Times New Roman"/>
          <w:sz w:val="20"/>
        </w:rPr>
        <w:t xml:space="preserve">. Notwithstanding any other provision of this Agreement, to the extent that Indemnitee is, by reason of Indemnitee’s Corporate Status, a party to (or participant in) and is successful, on the merits or 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(1)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fund-affiliated individuals.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of Appointing Stockholder</w:t>
      </w:r>
      <w:r>
        <w:rPr>
          <w:rFonts w:ascii="Times New Roman" w:hAnsi="Times New Roman"/>
          <w:sz w:val="20"/>
        </w:rPr>
        <w:t>. If (i) Indemnitee is or was affiliated with one (1) or more venture capital or other investment funds that has invested in the Company (an “</w:t>
      </w:r>
      <w:r>
        <w:rPr>
          <w:rFonts w:ascii="Times New Roman" w:hAnsi="Times New Roman"/>
          <w:b/>
          <w:sz w:val="20"/>
        </w:rPr>
        <w:t>Appointing Stockholder</w:t>
      </w:r>
      <w:r>
        <w:rPr>
          <w:rFonts w:ascii="Times New Roman" w:hAnsi="Times New Roman"/>
          <w:sz w:val="20"/>
        </w:rPr>
        <w:t xml:space="preserve">”), and (ii) the Appointing Stockholder is, or is threatened to be made, a party to or a participant in any Proceeding, and (iii) the Appointing Stockholder’s involvement in the Proceeding (A) arises primarily out of, or relates to, any action taken by the Company that was approved by the Company’s Board, and (B) arises out of facts or circumstances that are the same or substantially similar to the facts and circumstances that form the basis of claims that have been, could have been or could be brought against the Indemnitee in a Proceeding, regardless of whether the legal basis of the claims against the Indemnitee and the Appointing Stockholder are the same or similar, then the Appointing Stockholder shall be entitled to all rights and remedies, including with respect to indemnification and advancement, provided to the Indemnitee under this Agreement as if the Appointing Stockholder were the Indemnitee. The rights provided to the Appointing Stockholder under this </w:t>
      </w:r>
      <w:r>
        <w:rPr>
          <w:rFonts w:ascii="Times New Roman" w:hAnsi="Times New Roman"/>
          <w:sz w:val="20"/>
          <w:u w:val="single"/>
        </w:rPr>
        <w:t>Section 1(d)</w:t>
      </w:r>
      <w:r>
        <w:rPr>
          <w:rFonts w:ascii="Times New Roman" w:hAnsi="Times New Roman"/>
          <w:sz w:val="20"/>
        </w:rPr>
        <w:t xml:space="preserve"> shall (i) be suspended during any period during which the Appointing Stockholder does not have a representative on the Company’s Board, and (ii) terminate on an initial public offering of the Company’s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any such suspension or termination, the Appointing Stockholder’s rights to indemnification and advancement of expenses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intend and agree that the Appointing Stockholder is an express third-party beneficiary of the terms of this </w:t>
      </w:r>
      <w:r>
        <w:rPr>
          <w:rFonts w:ascii="Times New Roman" w:hAnsi="Times New Roman"/>
          <w:sz w:val="20"/>
          <w:u w:val="single"/>
        </w:rPr>
        <w:t>Section 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Partial Indemnification</w:t>
      </w:r>
      <w:r>
        <w:rPr>
          <w:rFonts w:ascii="Times New Roman" w:hAnsi="Times New Roman"/>
          <w:sz w:val="20"/>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Additional Indemnity</w:t>
      </w:r>
      <w:r>
        <w:rPr>
          <w:rFonts w:ascii="Times New Roman" w:hAnsi="Times New Roman"/>
          <w:sz w:val="20"/>
        </w:rPr>
        <w:t xml:space="preserve">. In addition to, and without regard to any limitations on, the indemnification provided for in </w:t>
      </w:r>
      <w:r>
        <w:rPr>
          <w:rFonts w:ascii="Times New Roman" w:hAnsi="Times New Roman"/>
          <w:sz w:val="20"/>
          <w:u w:val="single"/>
        </w:rPr>
        <w:t>Section 1</w:t>
      </w:r>
      <w:r>
        <w:rPr>
          <w:rFonts w:ascii="Times New Roman" w:hAnsi="Times New Roman"/>
          <w:sz w:val="20"/>
        </w:rPr>
        <w:t xml:space="preserve"> of this Agreement, the Company shall and hereby does indemnify and hold harmless Indemnitee against all Expenses, judgments, penalties, fines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hAnsi="Times New Roman"/>
          <w:sz w:val="20"/>
          <w:u w:val="single"/>
        </w:rPr>
        <w:t>Sections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hereof) to be unlawful.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indemnification provided in </w:t>
      </w:r>
      <w:r>
        <w:rPr>
          <w:rFonts w:ascii="Times New Roman" w:hAnsi="Times New Roman"/>
          <w:sz w:val="20"/>
          <w:u w:val="single"/>
        </w:rPr>
        <w:t>Sections 1</w:t>
      </w:r>
      <w:r>
        <w:rPr>
          <w:rFonts w:ascii="Times New Roman" w:hAnsi="Times New Roman"/>
          <w:sz w:val="20"/>
        </w:rPr>
        <w:t xml:space="preserve"> and </w:t>
      </w:r>
      <w:r>
        <w:rPr>
          <w:rFonts w:ascii="Times New Roman" w:hAnsi="Times New Roman"/>
          <w:sz w:val="20"/>
          <w:u w:val="single"/>
        </w:rPr>
        <w:t>2</w:t>
      </w:r>
      <w:r>
        <w:rPr>
          <w:rFonts w:ascii="Times New Roman" w:hAnsi="Times New Roman"/>
          <w:sz w:val="20"/>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without the prior written consent of Indemnitee, enter into any settlement of any action, suit or proceeding in which the Company is jointly liable with Indemnitee (or would be if joined in such action, suit or proceeding) unless such settlement provides for a full and final release of all claims asserted against Indemnitee. </w:t>
      </w:r>
    </w:p>
    <w:p>
      <w:pPr>
        <w:pStyle w:val="TextBody"/>
        <w:bidi w:val="0"/>
        <w:spacing w:before="240" w:after="0"/>
        <w:jc w:val="left"/>
        <w:rPr>
          <w:rFonts w:ascii="Times New Roman" w:hAnsi="Times New Roman"/>
          <w:sz w:val="20"/>
        </w:rPr>
      </w:pPr>
      <w:r>
        <w:rPr>
          <w:rFonts w:ascii="Times New Roman" w:hAnsi="Times New Roman"/>
          <w:sz w:val="20"/>
        </w:rPr>
        <w:t xml:space="preserve">(b) 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hereby agrees to fully indemnify and hold Indemnitee harmless from any claims of contribution which may be brought by officers, directors, or employees of the Company, other than Indemnitee, who may be jointly liable with Indemnitee. </w:t>
      </w:r>
    </w:p>
    <w:p>
      <w:pPr>
        <w:pStyle w:val="TextBody"/>
        <w:bidi w:val="0"/>
        <w:spacing w:before="240" w:after="0"/>
        <w:jc w:val="left"/>
        <w:rPr>
          <w:rFonts w:ascii="Times New Roman" w:hAnsi="Times New Roman"/>
          <w:sz w:val="20"/>
        </w:rPr>
      </w:pPr>
      <w:r>
        <w:rPr>
          <w:rFonts w:ascii="Times New Roman" w:hAnsi="Times New Roman"/>
          <w:sz w:val="20"/>
        </w:rPr>
        <w:t xml:space="preserve">(d)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Indemnification for Expenses of a Witness</w:t>
      </w:r>
      <w:r>
        <w:rPr>
          <w:rFonts w:ascii="Times New Roman" w:hAnsi="Times New Roman"/>
          <w:sz w:val="20"/>
        </w:rPr>
        <w:t xml:space="preserve">. Notwithstanding any other provision of this Agreement, to the extent that Indemnitee is, by reason of Indemnitee’s Corporate Status, a witness, or is made (or asked) to respond to discovery requests, in any Proceeding to which Indemnitee is not a party, Indemnitee shall be indemnified against all Expenses actually and reasonably incurred by Indemnitee or on Indemnitee’s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Advancement of Expenses</w:t>
      </w:r>
      <w:r>
        <w:rPr>
          <w:rFonts w:ascii="Times New Roman" w:hAnsi="Times New Roman"/>
          <w:sz w:val="20"/>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hAnsi="Times New Roman"/>
          <w:sz w:val="20"/>
          <w:u w:val="single"/>
        </w:rPr>
        <w:t>Section 5</w:t>
      </w:r>
      <w:r>
        <w:rPr>
          <w:rFonts w:ascii="Times New Roman" w:hAnsi="Times New Roman"/>
          <w:sz w:val="20"/>
        </w:rPr>
        <w:t xml:space="preserve"> shall be unsecured and interest free. This </w:t>
      </w:r>
      <w:r>
        <w:rPr>
          <w:rFonts w:ascii="Times New Roman" w:hAnsi="Times New Roman"/>
          <w:sz w:val="20"/>
          <w:u w:val="single"/>
        </w:rPr>
        <w:t>Section 5</w:t>
      </w:r>
      <w:r>
        <w:rPr>
          <w:rFonts w:ascii="Times New Roman" w:hAnsi="Times New Roman"/>
          <w:sz w:val="20"/>
        </w:rPr>
        <w:t xml:space="preserve"> shall not apply to any claim made by Indemnitee for which indemnity is excluded pursuant to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Procedures and Presumptions for Determination of Entitlement to Indemnification</w:t>
      </w:r>
      <w:r>
        <w:rPr>
          <w:rFonts w:ascii="Times New Roman" w:hAnsi="Times New Roman"/>
          <w:sz w:val="20"/>
        </w:rPr>
        <w:t xml:space="preserve">.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(b) Upon written request by Indemnitee for indemnification pursuant to the first sentence of </w:t>
      </w:r>
      <w:r>
        <w:rPr>
          <w:rFonts w:ascii="Times New Roman" w:hAnsi="Times New Roman"/>
          <w:sz w:val="20"/>
          <w:u w:val="single"/>
        </w:rPr>
        <w:t>Section 6(a)</w:t>
      </w:r>
      <w:r>
        <w:rPr>
          <w:rFonts w:ascii="Times New Roman" w:hAnsi="Times New Roman"/>
          <w:sz w:val="20"/>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 </w:t>
      </w:r>
    </w:p>
    <w:p>
      <w:pPr>
        <w:pStyle w:val="TextBody"/>
        <w:bidi w:val="0"/>
        <w:spacing w:before="240" w:after="0"/>
        <w:jc w:val="left"/>
        <w:rPr>
          <w:rFonts w:ascii="Times New Roman" w:hAnsi="Times New Roman"/>
          <w:sz w:val="20"/>
        </w:rPr>
      </w:pPr>
      <w:r>
        <w:rPr>
          <w:rFonts w:ascii="Times New Roman" w:hAnsi="Times New Roman"/>
          <w:sz w:val="20"/>
        </w:rPr>
        <w:t xml:space="preserve">(c) If the determination of entitlement to indemnification is to be made by Independent Counsel pursuant to </w:t>
      </w:r>
      <w:r>
        <w:rPr>
          <w:rFonts w:ascii="Times New Roman" w:hAnsi="Times New Roman"/>
          <w:sz w:val="20"/>
          <w:u w:val="single"/>
        </w:rPr>
        <w:t>Section 6(b)</w:t>
      </w:r>
      <w:r>
        <w:rPr>
          <w:rFonts w:ascii="Times New Roman" w:hAnsi="Times New Roman"/>
          <w:sz w:val="20"/>
        </w:rPr>
        <w:t xml:space="preserve"> hereof, the Independent Counsel shall be selected as provided in this </w:t>
      </w:r>
      <w:r>
        <w:rPr>
          <w:rFonts w:ascii="Times New Roman" w:hAnsi="Times New Roman"/>
          <w:sz w:val="20"/>
          <w:u w:val="single"/>
        </w:rPr>
        <w:t>Section 6(c)</w:t>
      </w:r>
      <w:r>
        <w:rPr>
          <w:rFonts w:ascii="Times New Roman" w:hAnsi="Times New Roman"/>
          <w:sz w:val="20"/>
        </w:rPr>
        <w:t>. The Independent Counsel shall be selected by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 w:hAnsi="Times New Roman"/>
          <w:b/>
          <w:sz w:val="20"/>
        </w:rPr>
        <w:t>Independent Counsel</w:t>
      </w:r>
      <w:r>
        <w:rPr>
          <w:rFonts w:ascii="Times New Roman" w:hAnsi="Times New Roman"/>
          <w:sz w:val="20"/>
        </w:rPr>
        <w:t xml:space="preserve">” as defined in </w:t>
      </w:r>
      <w:r>
        <w:rPr>
          <w:rFonts w:ascii="Times New Roman" w:hAnsi="Times New Roman"/>
          <w:sz w:val="20"/>
          <w:u w:val="single"/>
        </w:rPr>
        <w:t>Section 13</w:t>
      </w:r>
      <w:r>
        <w:rPr>
          <w:rFonts w:ascii="Times New Roman" w:hAnsi="Times New Roman"/>
          <w:sz w:val="20"/>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 w:hAnsi="Times New Roman"/>
          <w:sz w:val="20"/>
          <w:u w:val="single"/>
        </w:rPr>
        <w:t>Section 6(a)</w:t>
      </w:r>
      <w:r>
        <w:rPr>
          <w:rFonts w:ascii="Times New Roman" w:hAnsi="Times New Roman"/>
          <w:sz w:val="20"/>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hAnsi="Times New Roman"/>
          <w:sz w:val="20"/>
          <w:u w:val="single"/>
        </w:rPr>
        <w:t>Section 6(b)</w:t>
      </w:r>
      <w:r>
        <w:rPr>
          <w:rFonts w:ascii="Times New Roman" w:hAnsi="Times New Roman"/>
          <w:sz w:val="20"/>
        </w:rPr>
        <w:t xml:space="preserve"> hereof. The Company shall pay any and all reasonable fees and expenses of Independent Counsel incurred by such Independent Counsel in connection with acting pursuant to </w:t>
      </w:r>
      <w:r>
        <w:rPr>
          <w:rFonts w:ascii="Times New Roman" w:hAnsi="Times New Roman"/>
          <w:sz w:val="20"/>
          <w:u w:val="single"/>
        </w:rPr>
        <w:t>Section 6(b)</w:t>
      </w:r>
      <w:r>
        <w:rPr>
          <w:rFonts w:ascii="Times New Roman" w:hAnsi="Times New Roman"/>
          <w:sz w:val="20"/>
        </w:rPr>
        <w:t xml:space="preserve"> hereof, and the Company shall pay all reasonable fees and expenses incurred by the Company and the Indemnitee incident to the procedures of this </w:t>
      </w:r>
      <w:r>
        <w:rPr>
          <w:rFonts w:ascii="Times New Roman" w:hAnsi="Times New Roman"/>
          <w:sz w:val="20"/>
          <w:u w:val="single"/>
        </w:rPr>
        <w:t>Section 6(c)</w:t>
      </w:r>
      <w:r>
        <w:rPr>
          <w:rFonts w:ascii="Times New Roman" w:hAnsi="Times New Roman"/>
          <w:sz w:val="20"/>
        </w:rPr>
        <w:t xml:space="preserve">, regardless of the manner in which such Independent Counsel was selected or appointed. </w:t>
      </w:r>
    </w:p>
    <w:p>
      <w:pPr>
        <w:pStyle w:val="TextBody"/>
        <w:bidi w:val="0"/>
        <w:spacing w:before="240" w:after="0"/>
        <w:jc w:val="left"/>
        <w:rPr>
          <w:rFonts w:ascii="Times New Roman" w:hAnsi="Times New Roman"/>
          <w:sz w:val="20"/>
        </w:rPr>
      </w:pPr>
      <w:r>
        <w:rPr>
          <w:rFonts w:ascii="Times New Roman" w:hAnsi="Times New Roman"/>
          <w:sz w:val="20"/>
        </w:rPr>
        <w:t xml:space="preserve">(d) 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The provisions of this </w:t>
      </w:r>
      <w:r>
        <w:rPr>
          <w:rFonts w:ascii="Times New Roman" w:hAnsi="Times New Roman"/>
          <w:sz w:val="20"/>
          <w:u w:val="single"/>
        </w:rPr>
        <w:t>Section 6(e)</w:t>
      </w:r>
      <w:r>
        <w:rPr>
          <w:rFonts w:ascii="Times New Roman" w:hAnsi="Times New Roman"/>
          <w:sz w:val="20"/>
        </w:rPr>
        <w:t xml:space="preserve"> shall not be deemed to be exclusive or to limit in any way the other circumstances in which the Indemnitee may be deemed to have met the applicable standard of conduct set forth in this Agreement.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hAnsi="Times New Roman"/>
          <w:sz w:val="20"/>
          <w:u w:val="single"/>
        </w:rPr>
        <w:t>Section 6(e)</w:t>
      </w:r>
      <w:r>
        <w:rPr>
          <w:rFonts w:ascii="Times New Roman" w:hAnsi="Times New Roman"/>
          <w:sz w:val="20"/>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240" w:after="0"/>
        <w:jc w:val="left"/>
        <w:rPr>
          <w:rFonts w:ascii="Times New Roman" w:hAnsi="Times New Roman"/>
          <w:sz w:val="20"/>
        </w:rPr>
      </w:pPr>
      <w:r>
        <w:rPr>
          <w:rFonts w:ascii="Times New Roman" w:hAnsi="Times New Roman"/>
          <w:sz w:val="20"/>
        </w:rPr>
        <w:t xml:space="preserve">(f) If the person, persons or entity empowered or selected under </w:t>
      </w:r>
      <w:r>
        <w:rPr>
          <w:rFonts w:ascii="Times New Roman" w:hAnsi="Times New Roman"/>
          <w:sz w:val="20"/>
          <w:u w:val="single"/>
        </w:rPr>
        <w:t>Section 6</w:t>
      </w:r>
      <w:r>
        <w:rPr>
          <w:rFonts w:ascii="Times New Roman" w:hAnsi="Times New Roman"/>
          <w:sz w:val="20"/>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provisions of this </w:t>
      </w:r>
      <w:r>
        <w:rPr>
          <w:rFonts w:ascii="Times New Roman" w:hAnsi="Times New Roman"/>
          <w:sz w:val="20"/>
          <w:u w:val="single"/>
        </w:rPr>
        <w:t>Section 6(f)</w:t>
      </w:r>
      <w:r>
        <w:rPr>
          <w:rFonts w:ascii="Times New Roman" w:hAnsi="Times New Roman"/>
          <w:sz w:val="20"/>
        </w:rPr>
        <w:t xml:space="preserve"> shall not apply if the determination of entitlement to indemnification is to be made by the stockholders pursuant to </w:t>
      </w:r>
      <w:r>
        <w:rPr>
          <w:rFonts w:ascii="Times New Roman" w:hAnsi="Times New Roman"/>
          <w:sz w:val="20"/>
          <w:u w:val="single"/>
        </w:rPr>
        <w:t>Section 6(b)</w:t>
      </w:r>
      <w:r>
        <w:rPr>
          <w:rFonts w:ascii="Times New Roman" w:hAnsi="Times New Roman"/>
          <w:sz w:val="20"/>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w:t>
      </w:r>
    </w:p>
    <w:p>
      <w:pPr>
        <w:pStyle w:val="TextBody"/>
        <w:bidi w:val="0"/>
        <w:spacing w:before="240" w:after="0"/>
        <w:jc w:val="left"/>
        <w:rPr>
          <w:rFonts w:ascii="Times New Roman" w:hAnsi="Times New Roman"/>
          <w:sz w:val="20"/>
        </w:rPr>
      </w:pPr>
      <w:r>
        <w:rPr>
          <w:rFonts w:ascii="Times New Roman" w:hAnsi="Times New Roman"/>
          <w:sz w:val="20"/>
        </w:rPr>
        <w:t xml:space="preserve">(g)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the event that any action, suit or proceeding to which Indemnitee is a party is resolved in any manner other than by adverse judgment against Indemnitee (including, without limitation, settlement of such action, suit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 </w:t>
      </w:r>
    </w:p>
    <w:p>
      <w:pPr>
        <w:pStyle w:val="TextBody"/>
        <w:bidi w:val="0"/>
        <w:spacing w:before="240" w:after="0"/>
        <w:jc w:val="left"/>
        <w:rPr>
          <w:rFonts w:ascii="Times New Roman" w:hAnsi="Times New Roman"/>
          <w:sz w:val="20"/>
        </w:rPr>
      </w:pPr>
      <w:r>
        <w:rPr>
          <w:rFonts w:ascii="Times New Roman" w:hAnsi="Times New Roman"/>
          <w:sz w:val="20"/>
        </w:rPr>
        <w:t xml:space="preserve">(i)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Remedies of Indemnitee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(i) a determination is made pursuant to </w:t>
      </w:r>
      <w:r>
        <w:rPr>
          <w:rFonts w:ascii="Times New Roman" w:hAnsi="Times New Roman"/>
          <w:sz w:val="20"/>
          <w:u w:val="single"/>
        </w:rPr>
        <w:t>Section 6</w:t>
      </w:r>
      <w:r>
        <w:rPr>
          <w:rFonts w:ascii="Times New Roman" w:hAnsi="Times New Roman"/>
          <w:sz w:val="20"/>
        </w:rPr>
        <w:t xml:space="preserve"> of this Agreement that Indemnitee is not entitled to indemnification under this Agreement, (ii) advancement of Expenses is not timely made pursuant to </w:t>
      </w:r>
      <w:r>
        <w:rPr>
          <w:rFonts w:ascii="Times New Roman" w:hAnsi="Times New Roman"/>
          <w:sz w:val="20"/>
          <w:u w:val="single"/>
        </w:rPr>
        <w:t>Section 5</w:t>
      </w:r>
      <w:r>
        <w:rPr>
          <w:rFonts w:ascii="Times New Roman" w:hAnsi="Times New Roman"/>
          <w:sz w:val="20"/>
        </w:rPr>
        <w:t xml:space="preserve"> of this Agreement, (iii) no determination of entitlement to indemnification is made pursuant to </w:t>
      </w:r>
      <w:r>
        <w:rPr>
          <w:rFonts w:ascii="Times New Roman" w:hAnsi="Times New Roman"/>
          <w:sz w:val="20"/>
          <w:u w:val="single"/>
        </w:rPr>
        <w:t>Section 6(b)</w:t>
      </w:r>
      <w:r>
        <w:rPr>
          <w:rFonts w:ascii="Times New Roman" w:hAnsi="Times New Roman"/>
          <w:sz w:val="20"/>
        </w:rPr>
        <w:t xml:space="preserve"> of this Agreement within ninety (90) days after receipt by the Company of the request for indemnification, (iv) payment of indemnification is not made pursuant to </w:t>
      </w:r>
      <w:r>
        <w:rPr>
          <w:rFonts w:ascii="Times New Roman" w:hAnsi="Times New Roman"/>
          <w:sz w:val="20"/>
          <w:u w:val="single"/>
        </w:rPr>
        <w:t>Sections 1(c), 1(e), 4</w:t>
      </w:r>
      <w:r>
        <w:rPr>
          <w:rFonts w:ascii="Times New Roman" w:hAnsi="Times New Roman"/>
          <w:sz w:val="20"/>
        </w:rPr>
        <w:t xml:space="preserve"> or the last sentence of </w:t>
      </w:r>
      <w:r>
        <w:rPr>
          <w:rFonts w:ascii="Times New Roman" w:hAnsi="Times New Roman"/>
          <w:sz w:val="20"/>
          <w:u w:val="single"/>
        </w:rPr>
        <w:t>Section 6(g)</w:t>
      </w:r>
      <w:r>
        <w:rPr>
          <w:rFonts w:ascii="Times New Roman" w:hAnsi="Times New Roman"/>
          <w:sz w:val="20"/>
        </w:rPr>
        <w:t xml:space="preserve"> of this Agreement within ten (10) days after receipt by the Company of a written request therefor, or (v) payment of indemnification is not made pursuant to Sections 1(a), 1(b) and 2 of this Agreement within ten (10) days after a determination has been made that Indemnitee is entitled to indemnification or such determination is deemed to have been made pursuant to </w:t>
      </w:r>
      <w:r>
        <w:rPr>
          <w:rFonts w:ascii="Times New Roman" w:hAnsi="Times New Roman"/>
          <w:sz w:val="20"/>
          <w:u w:val="single"/>
        </w:rPr>
        <w:t>Section 6</w:t>
      </w:r>
      <w:r>
        <w:rPr>
          <w:rFonts w:ascii="Times New Roman" w:hAnsi="Times New Roman"/>
          <w:sz w:val="20"/>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hAnsi="Times New Roman"/>
          <w:sz w:val="20"/>
          <w:u w:val="single"/>
        </w:rPr>
        <w:t>Section 7(a)</w:t>
      </w:r>
      <w:r>
        <w:rPr>
          <w:rFonts w:ascii="Times New Roman" w:hAnsi="Times New Roman"/>
          <w:sz w:val="20"/>
        </w:rPr>
        <w:t xml:space="preserve">. The Company shall not oppose Indemnitee’s right to seek any such adjudication.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 determination shall have been made pursuant to </w:t>
      </w:r>
      <w:r>
        <w:rPr>
          <w:rFonts w:ascii="Times New Roman" w:hAnsi="Times New Roman"/>
          <w:sz w:val="20"/>
          <w:u w:val="single"/>
        </w:rPr>
        <w:t>Section 6(b)</w:t>
      </w:r>
      <w:r>
        <w:rPr>
          <w:rFonts w:ascii="Times New Roman" w:hAnsi="Times New Roman"/>
          <w:sz w:val="20"/>
        </w:rPr>
        <w:t xml:space="preserve"> of this Agreement that Indemnitee is not entitled to indemnification, any judicial proceeding commenced pursuant to this </w:t>
      </w:r>
      <w:r>
        <w:rPr>
          <w:rFonts w:ascii="Times New Roman" w:hAnsi="Times New Roman"/>
          <w:sz w:val="20"/>
          <w:u w:val="single"/>
        </w:rPr>
        <w:t>Section 7</w:t>
      </w:r>
      <w:r>
        <w:rPr>
          <w:rFonts w:ascii="Times New Roman" w:hAnsi="Times New Roman"/>
          <w:sz w:val="20"/>
        </w:rPr>
        <w:t xml:space="preserve"> shall be conducted in all respects as a de novo trial on the merits, and Indemnitee shall not be prejudiced by reason of the adverse determination under </w:t>
      </w:r>
      <w:r>
        <w:rPr>
          <w:rFonts w:ascii="Times New Roman" w:hAnsi="Times New Roman"/>
          <w:sz w:val="20"/>
          <w:u w:val="single"/>
        </w:rPr>
        <w:t>Section 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a determination shall have been made pursuant to </w:t>
      </w:r>
      <w:r>
        <w:rPr>
          <w:rFonts w:ascii="Times New Roman" w:hAnsi="Times New Roman"/>
          <w:sz w:val="20"/>
          <w:u w:val="single"/>
        </w:rPr>
        <w:t>Section 6(b)</w:t>
      </w:r>
      <w:r>
        <w:rPr>
          <w:rFonts w:ascii="Times New Roman" w:hAnsi="Times New Roman"/>
          <w:sz w:val="20"/>
        </w:rPr>
        <w:t xml:space="preserve"> of this Agreement that Indemnitee is entitled to indemnification, the Company shall be bound by such determination in any judicial proceeding commenced pursuant to this </w:t>
      </w:r>
      <w:r>
        <w:rPr>
          <w:rFonts w:ascii="Times New Roman" w:hAnsi="Times New Roman"/>
          <w:sz w:val="20"/>
          <w:u w:val="single"/>
        </w:rPr>
        <w:t>Section 7</w:t>
      </w:r>
      <w:r>
        <w:rPr>
          <w:rFonts w:ascii="Times New Roman" w:hAnsi="Times New Roman"/>
          <w:sz w:val="20"/>
        </w:rPr>
        <w:t xml:space="preserve">,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Indemnitee, pursuant to this </w:t>
      </w:r>
      <w:r>
        <w:rPr>
          <w:rFonts w:ascii="Times New Roman" w:hAnsi="Times New Roman"/>
          <w:sz w:val="20"/>
          <w:u w:val="single"/>
        </w:rPr>
        <w:t>Section 7</w:t>
      </w:r>
      <w:r>
        <w:rPr>
          <w:rFonts w:ascii="Times New Roman" w:hAnsi="Times New Roman"/>
          <w:sz w:val="20"/>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Times New Roman" w:hAnsi="Times New Roman"/>
          <w:sz w:val="20"/>
          <w:u w:val="single"/>
        </w:rPr>
        <w:t>Section 13</w:t>
      </w:r>
      <w:r>
        <w:rPr>
          <w:rFonts w:ascii="Times New Roman" w:hAnsi="Times New Roman"/>
          <w:sz w:val="20"/>
        </w:rPr>
        <w:t xml:space="preserve"> of this Agreement) actually and reasonably incurred by Indemnitee in such judicial adjudication, regardless of whether Indemnitee ultimately is determined to be entitled to such indemnification, advancement of expenses or insurance recovery.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be precluded from asserting in any judicial proceeding commenced pursuant to this </w:t>
      </w:r>
      <w:r>
        <w:rPr>
          <w:rFonts w:ascii="Times New Roman" w:hAnsi="Times New Roman"/>
          <w:sz w:val="20"/>
          <w:u w:val="single"/>
        </w:rPr>
        <w:t>Section 7</w:t>
      </w:r>
      <w:r>
        <w:rPr>
          <w:rFonts w:ascii="Times New Roman" w:hAnsi="Times New Roman"/>
          <w:sz w:val="20"/>
        </w:rPr>
        <w:t xml:space="preserve"> that the procedures and presumptions of this Agreement are not valid, binding and enforceable and shall stipulate in any such court that the Company is bound by all the provisions of this Agreement. It is the intent of the Company that, to the fullest extent permitted by law, that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Non-Exclusivity; Survival of Rights; Insurance; Primacy of Indemnification;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w:t>
      </w:r>
    </w:p>
    <w:p>
      <w:pPr>
        <w:pStyle w:val="TextBody"/>
        <w:bidi w:val="0"/>
        <w:spacing w:before="240" w:after="0"/>
        <w:jc w:val="left"/>
        <w:rPr>
          <w:rFonts w:ascii="Times New Roman" w:hAnsi="Times New Roman"/>
          <w:sz w:val="20"/>
        </w:rPr>
      </w:pPr>
      <w:r>
        <w:rPr>
          <w:rFonts w:ascii="Times New Roman" w:hAnsi="Times New Roman"/>
          <w:sz w:val="20"/>
        </w:rPr>
        <w:t>(c) [The Company hereby acknowledges that Indemnitee has certain rights to indemnification, advancement of expenses and/or insurance provided by [] (collectively, the “</w:t>
      </w:r>
      <w:r>
        <w:rPr>
          <w:rFonts w:ascii="Times New Roman" w:hAnsi="Times New Roman"/>
          <w:b/>
          <w:sz w:val="20"/>
        </w:rPr>
        <w:t>Fund Indemnitors</w:t>
      </w:r>
      <w:r>
        <w:rPr>
          <w:rFonts w:ascii="Times New Roman" w:hAnsi="Times New Roman"/>
          <w:sz w:val="20"/>
        </w:rPr>
        <w:t xml:space="preserve">”).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third-party beneficiaries of the terms of this Section 8(c).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enterprise.]2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Exception to Right of Indemnification</w:t>
      </w:r>
      <w:r>
        <w:rPr>
          <w:rFonts w:ascii="Times New Roman" w:hAnsi="Times New Roman"/>
          <w:sz w:val="20"/>
        </w:rPr>
        <w:t xml:space="preserve">. Notwithstanding any provision in this Agreement, the Company shall not be obligated under this Agreement to make any indemnity in connection with any claim made against Indemnitee: </w:t>
      </w:r>
    </w:p>
    <w:p>
      <w:pPr>
        <w:pStyle w:val="TextBody"/>
        <w:bidi w:val="0"/>
        <w:spacing w:before="120" w:after="0"/>
        <w:jc w:val="left"/>
        <w:rPr>
          <w:rFonts w:ascii="Times New Roman" w:hAnsi="Times New Roman"/>
          <w:sz w:val="20"/>
        </w:rPr>
      </w:pPr>
      <w:r>
        <w:rPr>
          <w:rFonts w:ascii="Times New Roman" w:hAnsi="Times New Roman"/>
          <w:sz w:val="20"/>
        </w:rPr>
        <w:t xml:space="preserve">(a) 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w:t>
      </w:r>
      <w:r>
        <w:rPr>
          <w:rFonts w:ascii="Times New Roman" w:hAnsi="Times New Roman"/>
          <w:sz w:val="20"/>
          <w:u w:val="single"/>
        </w:rPr>
        <w:t>Section 8(c)</w:t>
      </w:r>
      <w:r>
        <w:rPr>
          <w:rFonts w:ascii="Times New Roman" w:hAnsi="Times New Roman"/>
          <w:sz w:val="20"/>
        </w:rPr>
        <w:t xml:space="preserve"> above; or </w:t>
      </w:r>
    </w:p>
    <w:p>
      <w:pPr>
        <w:pStyle w:val="TextBody"/>
        <w:bidi w:val="0"/>
        <w:spacing w:before="240" w:after="0"/>
        <w:jc w:val="left"/>
        <w:rPr>
          <w:rFonts w:ascii="Times New Roman" w:hAnsi="Times New Roman"/>
          <w:sz w:val="20"/>
        </w:rPr>
      </w:pPr>
      <w:r>
        <w:rPr>
          <w:rFonts w:ascii="Times New Roman" w:hAnsi="Times New Roman"/>
          <w:sz w:val="20"/>
        </w:rPr>
        <w:t xml:space="preserve">(b) for (i) an accounting of profits made from the purchase and sale (or sale and purchase) by Indemnitee of securities of the Company within the meaning of </w:t>
      </w:r>
      <w:r>
        <w:rPr>
          <w:rFonts w:ascii="Times New Roman" w:hAnsi="Times New Roman"/>
          <w:sz w:val="20"/>
          <w:u w:val="single"/>
        </w:rPr>
        <w:t>Section 16(b)</w:t>
      </w:r>
      <w:r>
        <w:rPr>
          <w:rFonts w:ascii="Times New Roman" w:hAnsi="Times New Roman"/>
          <w:sz w:val="20"/>
        </w:rPr>
        <w:t xml:space="preserve"> of the Securities Exchange Act of 1934, as amended,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fund-affiliated individuals.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7(e)</w:t>
      </w:r>
      <w:r>
        <w:rPr>
          <w:rFonts w:ascii="Times New Roman" w:hAnsi="Times New Roman"/>
          <w:sz w:val="20"/>
        </w:rPr>
        <w:t xml:space="preserve">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any part of any Proceeding) or (iii) the Company provides the indemnification, in its sole discretion, pursuant to the powers vested in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Duration of Agreement</w:t>
      </w:r>
      <w:r>
        <w:rPr>
          <w:rFonts w:ascii="Times New Roman" w:hAnsi="Times New Roman"/>
          <w:sz w:val="20"/>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for so long as Indemnitee shall be subject to any Proceeding (or any proceeding commenced under </w:t>
      </w:r>
      <w:r>
        <w:rPr>
          <w:rFonts w:ascii="Times New Roman" w:hAnsi="Times New Roman"/>
          <w:sz w:val="20"/>
          <w:u w:val="single"/>
        </w:rPr>
        <w:t>Section 7</w:t>
      </w:r>
      <w:r>
        <w:rPr>
          <w:rFonts w:ascii="Times New Roman" w:hAnsi="Times New Roman"/>
          <w:sz w:val="20"/>
        </w:rPr>
        <w:t xml:space="preserve"> hereof) by reason of Indemnitee’s Corporate Status, whether or not Indemnitee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Security</w:t>
      </w:r>
      <w:r>
        <w:rPr>
          <w:rFonts w:ascii="Times New Roman" w:hAnsi="Times New Roman"/>
          <w:sz w:val="20"/>
        </w:rPr>
        <w:t xml:space="preserve">.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not seek from a court, or agree to, a “bar order” which would have the effect of prohibiting or limiting the Indemnitee’s rights to receive advancement of expenses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Corporate Status</w:t>
      </w:r>
      <w:r>
        <w:rPr>
          <w:rFonts w:ascii="Times New Roman" w:hAnsi="Times New Roman"/>
          <w:sz w:val="20"/>
        </w:rPr>
        <w:t xml:space="preserve">” describes the status of a person who is or was a director, officer, employee, agent or fiduciary of the Company or of any other corporation, partnership, joint venture, trust, employee benefit plan or other enterprise that such person is or was serving at the request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sz w:val="20"/>
        </w:rPr>
        <w:t>Disinterested Director</w:t>
      </w:r>
      <w:r>
        <w:rPr>
          <w:rFonts w:ascii="Times New Roman" w:hAnsi="Times New Roman"/>
          <w:sz w:val="20"/>
        </w:rPr>
        <w:t xml:space="preserve">” means a director of the Company who is not and was not a party to the Proceeding in respect of which indemnification is sought by Indemnitee.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Enterprise</w:t>
      </w:r>
      <w:r>
        <w:rPr>
          <w:rFonts w:ascii="Times New Roman" w:hAnsi="Times New Roman"/>
          <w:sz w:val="20"/>
        </w:rPr>
        <w:t xml:space="preserve">” shall mean the Company and any other corporation, partnership, joint venture, trust, employee benefit plan or other enterprise that Indemnitee is or was serving at the request of the Company as a director, officer, employee, agent or fiduciary.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Expenses</w:t>
      </w:r>
      <w:r>
        <w:rPr>
          <w:rFonts w:ascii="Times New Roman" w:hAnsi="Times New Roman"/>
          <w:sz w:val="20"/>
        </w:rPr>
        <w:t xml:space="preserve">” shall include all reasonable attorneys’ fees, retainers, court costs, transcript costs, fees of experts, witness fees, travel expenses, duplicating costs, printing and binding costs, telephone charges, postage, delivery service fees and any federal, state, local or foreign taxes imposed on the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Section 7(e) only, Expenses incurred by Indemnitee in connection with the interpretation, enforcement or defense of Indemnitee’s rights under this Agreement, the Certificate of Incorporation, the Bylaws or under any directors’ and officers’ liability insurance policies maintained by the Company, by litigation or otherwise. Expenses, however, shall not include amounts paid in settlement by Indemnitee or the amount of judgments or fines against Indemnitee.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Independent Counsel</w:t>
      </w:r>
      <w:r>
        <w:rPr>
          <w:rFonts w:ascii="Times New Roman" w:hAnsi="Times New Roman"/>
          <w:sz w:val="20"/>
        </w:rPr>
        <w:t xml:space="preserve">” means a law firm, or a member of a law firm, that is experienced in matters of corporation law and neither at present is,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Proceeding</w:t>
      </w:r>
      <w:r>
        <w:rPr>
          <w:rFonts w:ascii="Times New Roman" w:hAnsi="Times New Roman"/>
          <w:sz w:val="20"/>
        </w:rPr>
        <w:t xml:space="preserve">” 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including any appeal therefrom, in which Indemnitee was, is or will be involved as a party or otherwise, by reason of Indemnitee’s Corporate Status, by reason of any action taken by Indemnitee or of any inaction on Indemnitee’s part while acting in Indemnitee’s Corporate Status; in each case whether or not Indemnitee is acting or serving in any such capacity at the time any liability or expense is incurred for which indemnification, reimbursement or advancement of Expenses can be provided under this Agreement; including one pending on or before the date of this Agreement, but excluding one initiated by an Indemnitee pursuant to </w:t>
      </w:r>
      <w:r>
        <w:rPr>
          <w:rFonts w:ascii="Times New Roman" w:hAnsi="Times New Roman"/>
          <w:sz w:val="20"/>
          <w:u w:val="single"/>
        </w:rPr>
        <w:t>Section 7</w:t>
      </w:r>
      <w:r>
        <w:rPr>
          <w:rFonts w:ascii="Times New Roman" w:hAnsi="Times New Roman"/>
          <w:sz w:val="20"/>
        </w:rPr>
        <w:t xml:space="preserve"> of this Agreement to enforce Indemnitee’s rights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Modification and Waiver</w:t>
      </w:r>
      <w:r>
        <w:rPr>
          <w:rFonts w:ascii="Times New Roman" w:hAnsi="Times New Roman"/>
          <w:sz w:val="20"/>
        </w:rPr>
        <w:t xml:space="preserve">.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Notices</w:t>
      </w:r>
      <w:r>
        <w:rPr>
          <w:rFonts w:ascii="Times New Roman" w:hAnsi="Times New Roman"/>
          <w:sz w:val="20"/>
        </w:rPr>
        <w:t xml:space="preserve">.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Indemnitee at the address set forth below Indemnitee signature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at: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40 10th Avenue </w:t>
      </w:r>
    </w:p>
    <w:p>
      <w:pPr>
        <w:pStyle w:val="TextBody"/>
        <w:bidi w:val="0"/>
        <w:spacing w:before="0" w:after="0"/>
        <w:jc w:val="left"/>
        <w:rPr>
          <w:rFonts w:ascii="Times New Roman" w:hAnsi="Times New Roman"/>
          <w:sz w:val="20"/>
        </w:rPr>
      </w:pPr>
      <w:r>
        <w:rPr>
          <w:rFonts w:ascii="Times New Roman" w:hAnsi="Times New Roman"/>
          <w:sz w:val="20"/>
        </w:rPr>
        <w:t xml:space="preserve">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120" w:after="0"/>
        <w:jc w:val="left"/>
        <w:rPr>
          <w:rFonts w:ascii="Times New Roman" w:hAnsi="Times New Roman"/>
          <w:sz w:val="20"/>
        </w:rPr>
      </w:pPr>
      <w:r>
        <w:rPr>
          <w:rFonts w:ascii="Times New Roman" w:hAnsi="Times New Roman"/>
          <w:sz w:val="20"/>
        </w:rPr>
        <w:t xml:space="preserve">Attention: President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may have been furnished to Indemnitee by the Company or to the Company by Indemnitee,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Counterparts</w:t>
      </w:r>
      <w:r>
        <w:rPr>
          <w:rFonts w:ascii="Times New Roman" w:hAnsi="Times New Roman"/>
          <w:sz w:val="20"/>
        </w:rPr>
        <w:t xml:space="preserve">. This Agreement may be executed in two (2) or more counterparts, each of which shall be deemed an original, but all of which together shall constitute one and the same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Governing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hAnsi="Times New Roman"/>
          <w:b/>
          <w:sz w:val="20"/>
        </w:rPr>
        <w:t>Delaware Court</w:t>
      </w:r>
      <w:r>
        <w:rPr>
          <w:rFonts w:ascii="Times New Roman" w:hAnsi="Times New Roman"/>
          <w:sz w:val="20"/>
        </w:rPr>
        <w:t xml:space="preserve">”),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Indemnification Agreement on and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4"/>
        <w:gridCol w:w="60"/>
        <w:gridCol w:w="698"/>
        <w:gridCol w:w="60"/>
        <w:gridCol w:w="2390"/>
      </w:tblGrid>
      <w:tr>
        <w:trPr/>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8" w:type="dxa"/>
            <w:gridSpan w:val="3"/>
            <w:tcBorders/>
          </w:tcPr>
          <w:p>
            <w:pPr>
              <w:pStyle w:val="TableContents"/>
              <w:bidi w:val="0"/>
              <w:spacing w:before="0" w:after="283"/>
              <w:jc w:val="left"/>
              <w:rPr>
                <w:b/>
              </w:rPr>
            </w:pPr>
            <w:r>
              <w:rPr>
                <w:b/>
              </w:rPr>
              <w:t>RTW NEWCO10, INC.</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758" w:type="dxa"/>
            <w:gridSpan w:val="2"/>
            <w:tcBorders/>
            <w:vAlign w:val="center"/>
          </w:tcPr>
          <w:p>
            <w:pPr>
              <w:pStyle w:val="TableContents"/>
              <w:bidi w:val="0"/>
              <w:spacing w:before="0" w:after="283"/>
              <w:jc w:val="left"/>
              <w:rPr>
                <w:sz w:val="4"/>
                <w:szCs w:val="4"/>
              </w:rPr>
            </w:pPr>
            <w:r>
              <w:rPr>
                <w:sz w:val="4"/>
                <w:szCs w:val="4"/>
              </w:rPr>
            </w:r>
          </w:p>
        </w:tc>
        <w:tc>
          <w:tcPr>
            <w:tcW w:w="2450"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pBdr>
                <w:bottom w:val="single" w:sz="2" w:space="1" w:color="000000"/>
              </w:pBdr>
              <w:bidi w:val="0"/>
              <w:spacing w:before="0" w:after="20"/>
              <w:jc w:val="left"/>
              <w:rPr/>
            </w:pPr>
            <w:r>
              <w:rPr/>
              <w:t> </w:t>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pPr>
            <w:r>
              <w:rPr/>
              <w:t>Alice Lee</w:t>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pPr>
            <w:r>
              <w:rPr/>
              <w:t>President</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3208"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8" w:type="dxa"/>
            <w:gridSpan w:val="3"/>
            <w:tcBorders/>
          </w:tcPr>
          <w:p>
            <w:pPr>
              <w:pStyle w:val="TableContents"/>
              <w:bidi w:val="0"/>
              <w:spacing w:before="0" w:after="283"/>
              <w:jc w:val="left"/>
              <w:rPr>
                <w:b/>
              </w:rPr>
            </w:pPr>
            <w:r>
              <w:rPr>
                <w:b/>
              </w:rPr>
              <w:t>INDEMNITEE</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3208"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8" w:type="dxa"/>
            <w:gridSpan w:val="3"/>
            <w:tcBorders/>
          </w:tcPr>
          <w:p>
            <w:pPr>
              <w:pStyle w:val="TableContents"/>
              <w:pBdr>
                <w:bottom w:val="single" w:sz="2" w:space="1" w:color="000000"/>
              </w:pBdr>
              <w:bidi w:val="0"/>
              <w:spacing w:before="0" w:after="20"/>
              <w:jc w:val="left"/>
              <w:rPr/>
            </w:pPr>
            <w:r>
              <w:rPr/>
              <w:t> </w:t>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758" w:type="dxa"/>
            <w:gridSpan w:val="2"/>
            <w:tcBorders/>
            <w:vAlign w:val="center"/>
          </w:tcPr>
          <w:p>
            <w:pPr>
              <w:pStyle w:val="TableContents"/>
              <w:bidi w:val="0"/>
              <w:spacing w:before="0" w:after="283"/>
              <w:jc w:val="left"/>
              <w:rPr>
                <w:sz w:val="4"/>
                <w:szCs w:val="4"/>
              </w:rPr>
            </w:pPr>
            <w:r>
              <w:rPr>
                <w:sz w:val="4"/>
                <w:szCs w:val="4"/>
              </w:rPr>
            </w:r>
          </w:p>
        </w:tc>
        <w:tc>
          <w:tcPr>
            <w:tcW w:w="2450"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73" w:name="filename10.htm"/>
      <w:bookmarkStart w:id="274" w:name="ksfilename10"/>
      <w:bookmarkEnd w:id="273"/>
      <w:bookmarkEnd w:id="274"/>
      <w:r>
        <w:rPr>
          <w:rFonts w:ascii="Times New Roman" w:hAnsi="Times New Roman"/>
          <w:b/>
          <w:sz w:val="20"/>
        </w:rPr>
        <w:t xml:space="preserve">Exhibit 10.23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857250" cy="838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3"/>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June 15, 2026 </w:t>
      </w:r>
    </w:p>
    <w:p>
      <w:pPr>
        <w:pStyle w:val="TextBody"/>
        <w:bidi w:val="0"/>
        <w:spacing w:before="240" w:after="0"/>
        <w:jc w:val="left"/>
        <w:rPr>
          <w:rFonts w:ascii="Times New Roman" w:hAnsi="Times New Roman"/>
          <w:sz w:val="20"/>
        </w:rPr>
      </w:pPr>
      <w:r>
        <w:rPr>
          <w:rFonts w:ascii="Times New Roman" w:hAnsi="Times New Roman"/>
          <w:sz w:val="20"/>
        </w:rPr>
        <w:t xml:space="preserve">Kenneth Mills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Kenneth, </w:t>
      </w:r>
    </w:p>
    <w:p>
      <w:pPr>
        <w:pStyle w:val="TextBody"/>
        <w:bidi w:val="0"/>
        <w:spacing w:before="120" w:after="0"/>
        <w:jc w:val="left"/>
        <w:rPr>
          <w:rFonts w:ascii="Times New Roman" w:hAnsi="Times New Roman"/>
          <w:sz w:val="20"/>
        </w:rPr>
      </w:pPr>
      <w:r>
        <w:rPr>
          <w:rFonts w:ascii="Times New Roman" w:hAnsi="Times New Roman"/>
          <w:sz w:val="20"/>
        </w:rPr>
        <w:t>On behalf of RTW Newco10, Inc. (the “</w:t>
      </w:r>
      <w:r>
        <w:rPr>
          <w:rFonts w:ascii="Times New Roman" w:hAnsi="Times New Roman"/>
          <w:b/>
          <w:sz w:val="20"/>
        </w:rPr>
        <w:t>Company</w:t>
      </w:r>
      <w:r>
        <w:rPr>
          <w:rFonts w:ascii="Times New Roman" w:hAnsi="Times New Roman"/>
          <w:sz w:val="20"/>
        </w:rPr>
        <w:t>”) we are pleased to offer you (“</w:t>
      </w:r>
      <w:r>
        <w:rPr>
          <w:rFonts w:ascii="Times New Roman" w:hAnsi="Times New Roman"/>
          <w:b/>
          <w:sz w:val="20"/>
        </w:rPr>
        <w:t>you</w:t>
      </w:r>
      <w:r>
        <w:rPr>
          <w:rFonts w:ascii="Times New Roman" w:hAnsi="Times New Roman"/>
          <w:sz w:val="20"/>
        </w:rPr>
        <w:t>” or the “</w:t>
      </w:r>
      <w:r>
        <w:rPr>
          <w:rFonts w:ascii="Times New Roman" w:hAnsi="Times New Roman"/>
          <w:b/>
          <w:sz w:val="20"/>
        </w:rPr>
        <w:t>Executive</w:t>
      </w:r>
      <w:r>
        <w:rPr>
          <w:rFonts w:ascii="Times New Roman" w:hAnsi="Times New Roman"/>
          <w:sz w:val="20"/>
        </w:rPr>
        <w:t xml:space="preserve">”) employment with the Company based on the general terms that are outlined in this letter.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6"/>
        <w:gridCol w:w="121"/>
        <w:gridCol w:w="7688"/>
      </w:tblGrid>
      <w:tr>
        <w:trPr/>
        <w:tc>
          <w:tcPr>
            <w:tcW w:w="239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Position:</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President and Chief Executive Officer</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Reporting to:</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Board of Directors of the Company (the “</w:t>
            </w:r>
            <w:r>
              <w:rPr>
                <w:b/>
              </w:rPr>
              <w:t>Board</w:t>
            </w:r>
            <w:r>
              <w:rPr/>
              <w:t>”)</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Employment Start Date:</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August 1, 2026</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Location:</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Maryland and New York</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Annual Base Salary:</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$615,000, payable in semi-monthly installments and otherwise in accordance with the Company’s payroll methods and procedures, subject to all applicable taxes and withholding.</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Target Bonus:</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55%</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Equity:</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You will be granted equity in the Company (the “</w:t>
            </w:r>
            <w:r>
              <w:rPr>
                <w:b/>
              </w:rPr>
              <w:t>Equity Grant</w:t>
            </w:r>
            <w:r>
              <w:rPr/>
              <w:t>”) representing approximately 5% of the fully diluted capitalization of the Company (reflecting all outstanding convertible preferred stock, warrants, options and other equity interests that are convertible into or exercisable for common stock on an as-converted and as-exercised basis) as of the Company’s initial financing following the date hereof, consisting of (i) stock options representing approximately 2/3 of the Equity Grant and (ii) restricted stock units (“</w:t>
            </w:r>
            <w:r>
              <w:rPr>
                <w:b/>
              </w:rPr>
              <w:t>RSUs</w:t>
            </w:r>
            <w:r>
              <w:rPr/>
              <w:t>”) representing approximately 1/3 of the Equity Grant, provided that you will be granted additional RSUs to offset any dilution resulting from the Company’s financing commitments in amounts up to $230,000,000 and restore your equity awards to a full 5% of the fully diluted capitalization of the Company. The Equity Grant is subject to a 4-year vesting period (with 25% of the shares vesting on the first anniversary of your Employment Start Date and monthly thereafter) and the terms of the equity agreements and the Company’s equity plan.</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4"/>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following pages have more details on your offer and should be read in conjunction with the details above. If you have any questions about this information, please contact Shalini Sinha (</w:t>
      </w:r>
      <w:r>
        <w:rPr>
          <w:rFonts w:ascii="Times New Roman" w:hAnsi="Times New Roman"/>
          <w:sz w:val="20"/>
          <w:u w:val="single"/>
        </w:rPr>
        <w:t>[***]</w:t>
      </w:r>
      <w:r>
        <w:rPr>
          <w:rFonts w:ascii="Times New Roman" w:hAnsi="Times New Roman"/>
          <w:sz w:val="20"/>
        </w:rPr>
        <w:t xml:space="preserve">). Otherwise, please confirm your acceptance of this offer of employment with RTW Newco10, Inc. by signing below and returning a copy by June 15, 2026. We look forward to having you join the team. </w:t>
      </w:r>
    </w:p>
    <w:p>
      <w:pPr>
        <w:pStyle w:val="TextBody"/>
        <w:bidi w:val="0"/>
        <w:spacing w:before="360" w:after="0"/>
        <w:jc w:val="left"/>
        <w:rPr>
          <w:rFonts w:ascii="Times New Roman" w:hAnsi="Times New Roman"/>
          <w:b/>
          <w:sz w:val="20"/>
        </w:rPr>
      </w:pPr>
      <w:r>
        <w:rPr>
          <w:rFonts w:ascii="Times New Roman" w:hAnsi="Times New Roman"/>
          <w:b/>
          <w:sz w:val="20"/>
        </w:rPr>
        <w:t xml:space="preserve">More terms on your offer: </w:t>
      </w:r>
    </w:p>
    <w:p>
      <w:pPr>
        <w:pStyle w:val="TextBody"/>
        <w:bidi w:val="0"/>
        <w:spacing w:before="120" w:after="0"/>
        <w:jc w:val="left"/>
        <w:rPr>
          <w:rFonts w:ascii="Times New Roman" w:hAnsi="Times New Roman"/>
          <w:sz w:val="20"/>
        </w:rPr>
      </w:pPr>
      <w:r>
        <w:rPr>
          <w:rFonts w:ascii="Times New Roman" w:hAnsi="Times New Roman"/>
          <w:sz w:val="20"/>
        </w:rPr>
        <w:t xml:space="preserve">Our offer to you is contingent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Execution of a Proprietary Information, Inventions and Non-Solicitation/Non-Competition Agreement (attached below) by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your background check, satisfactory reference checks, and submission of valid proof of your identity and your legal authorization to work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representing and warranting that you are free to enter into and perform each of the terms and conditions of this Agreement; and that your execution and/or performance of all your obligations under this Agreement does not and will not violate or breach any other agreement (including, without limitation any non-competition agreement) between you and any other person or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Agreement contains the entire understanding between you and the Company regarding your employment with the Company and supersedes all prior understandings and agreements between you and the Company regarding your employment by the Company. This Agreement shall be construed in accordance with the laws of the State of New York without giving effect to conflict-of-laws provisions. </w:t>
      </w:r>
    </w:p>
    <w:p>
      <w:pPr>
        <w:pStyle w:val="TextBody"/>
        <w:bidi w:val="0"/>
        <w:spacing w:before="240" w:after="0"/>
        <w:jc w:val="left"/>
        <w:rPr>
          <w:rFonts w:ascii="Times New Roman" w:hAnsi="Times New Roman"/>
          <w:sz w:val="20"/>
        </w:rPr>
      </w:pPr>
      <w:r>
        <w:rPr>
          <w:rFonts w:ascii="Times New Roman" w:hAnsi="Times New Roman"/>
          <w:sz w:val="20"/>
        </w:rPr>
        <w:t xml:space="preserve">During your employment, you agree to remain in compliance with applicable Company policies as in effect from time to time; provided that any such policies are provided to you in writing and consistent with this Agreement and your position as Chief Executive Officer and President. </w:t>
      </w:r>
    </w:p>
    <w:p>
      <w:pPr>
        <w:pStyle w:val="TextBody"/>
        <w:bidi w:val="0"/>
        <w:spacing w:before="240" w:after="0"/>
        <w:jc w:val="left"/>
        <w:rPr>
          <w:rFonts w:ascii="Times New Roman" w:hAnsi="Times New Roman"/>
          <w:sz w:val="20"/>
        </w:rPr>
      </w:pPr>
      <w:r>
        <w:rPr>
          <w:rFonts w:ascii="Times New Roman" w:hAnsi="Times New Roman"/>
          <w:sz w:val="20"/>
        </w:rPr>
        <w:t xml:space="preserve">Your employment is classified as exempt from overtime and is on an at-will basis, subject to the terms of this letter. You or the Company may terminate your employment for any reason or no reason at any time. </w:t>
      </w:r>
    </w:p>
    <w:p>
      <w:pPr>
        <w:pStyle w:val="TextBody"/>
        <w:bidi w:val="0"/>
        <w:spacing w:before="240" w:after="0"/>
        <w:jc w:val="left"/>
        <w:rPr>
          <w:rFonts w:ascii="Times New Roman" w:hAnsi="Times New Roman"/>
          <w:sz w:val="20"/>
        </w:rPr>
      </w:pPr>
      <w:r>
        <w:rPr>
          <w:rFonts w:ascii="Times New Roman" w:hAnsi="Times New Roman"/>
          <w:b/>
          <w:sz w:val="20"/>
        </w:rPr>
        <w:t>Your</w:t>
      </w:r>
      <w:r>
        <w:rPr>
          <w:rFonts w:ascii="Times New Roman" w:hAnsi="Times New Roman"/>
          <w:sz w:val="20"/>
        </w:rPr>
        <w:t xml:space="preserve"> </w:t>
      </w:r>
      <w:r>
        <w:rPr>
          <w:rFonts w:ascii="Times New Roman" w:hAnsi="Times New Roman"/>
          <w:b/>
          <w:sz w:val="20"/>
        </w:rPr>
        <w:t>Position</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w:t>
      </w:r>
      <w:r>
        <w:rPr>
          <w:rFonts w:ascii="Times New Roman" w:hAnsi="Times New Roman"/>
          <w:b/>
          <w:sz w:val="20"/>
        </w:rPr>
        <w:t>Role:</w:t>
      </w:r>
      <w:r>
        <w:rPr>
          <w:rFonts w:ascii="Times New Roman" w:hAnsi="Times New Roman"/>
          <w:sz w:val="20"/>
        </w:rPr>
        <w:t xml:space="preserve"> You will serve as the Chief Executive Officer and President of the Company. In addition to your executive role, you will hold the CEO-designated seat on the Board, effective as of your Employment Start Date or as soon thereafter as reasonably practicable. You shall be the most senior executive officer in the Company’s affiliated controlled group and hold the CEO-designated seat on the ultimate parent board of directors of the Company’s controlled group. The Company currently anticipates that you will begin full-time employee status on or around your Start Date. Upon the Start Date, you will become eligible for the employee benefits customarily provided by the Company to senior executives and set forth herein. Your role on the Board will automatically terminate upon your separation from the Company for any reason, unless otherwise agreed in writing by the Company and you.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5"/>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Compensation: </w:t>
      </w:r>
      <w:r>
        <w:rPr>
          <w:rFonts w:ascii="Times New Roman" w:hAnsi="Times New Roman"/>
          <w:sz w:val="20"/>
        </w:rPr>
        <w:t xml:space="preserve">All compensation components are subject to annual review, provided that your Annual Base Salary shall not be reduced nor shall your Target Bonus percentage, except in each case as mutually approved by you and the Board. </w:t>
      </w:r>
    </w:p>
    <w:p>
      <w:pPr>
        <w:pStyle w:val="TextBody"/>
        <w:bidi w:val="0"/>
        <w:spacing w:before="240" w:after="0"/>
        <w:jc w:val="left"/>
        <w:rPr>
          <w:rFonts w:ascii="Times New Roman" w:hAnsi="Times New Roman"/>
          <w:sz w:val="20"/>
        </w:rPr>
      </w:pPr>
      <w:r>
        <w:rPr>
          <w:rFonts w:ascii="Times New Roman" w:hAnsi="Times New Roman"/>
          <w:b/>
          <w:sz w:val="20"/>
        </w:rPr>
        <w:t xml:space="preserve">Target Bonus: </w:t>
      </w:r>
      <w:r>
        <w:rPr>
          <w:rFonts w:ascii="Times New Roman" w:hAnsi="Times New Roman"/>
          <w:sz w:val="20"/>
        </w:rPr>
        <w:t xml:space="preserve">The Target Bonus is a percentage of your Annual Base Salary. The bonus will be payable based on the achievement of objectives set by the Board after consultation with you, and the Board’s assessment of your performance relative to such objectives agreed upon and general business conditions. For the avoidance of doubt, your annual Target Bonus will not be pro-rated for the 2026 fiscal year. Your bonus is payable within ninety (90) days from the end of the fiscal year (December 31st). Except as set forth below, you must be employed by the Company at the time the bonus is paid to be eligible to receive the bonus. </w:t>
      </w:r>
    </w:p>
    <w:p>
      <w:pPr>
        <w:pStyle w:val="TextBody"/>
        <w:bidi w:val="0"/>
        <w:spacing w:before="240" w:after="0"/>
        <w:jc w:val="left"/>
        <w:rPr>
          <w:rFonts w:ascii="Times New Roman" w:hAnsi="Times New Roman"/>
          <w:sz w:val="20"/>
        </w:rPr>
      </w:pPr>
      <w:r>
        <w:rPr>
          <w:rFonts w:ascii="Times New Roman" w:hAnsi="Times New Roman"/>
          <w:b/>
          <w:sz w:val="20"/>
        </w:rPr>
        <w:t xml:space="preserve">Benefits: </w:t>
      </w:r>
      <w:r>
        <w:rPr>
          <w:rFonts w:ascii="Times New Roman" w:hAnsi="Times New Roman"/>
          <w:sz w:val="20"/>
        </w:rPr>
        <w:t xml:space="preserve">You will be eligible to participate in the Company’s employee benefit plans, subject to the eligibility requirements and other terms and conditions of those plans. These benefits include medical, dental, vision, life and disability insurance, and a 401(k) program with company match. Paid time off, including vacation, sick leave, and holidays, will be provided in accordance with the policies and practices of the Company. Notwithstanding the foregoing, for a period of up to twelve (12) months following your Employment Start Date, the Company shall reimburse you for the cost of maintaining coverage under your current Maryland healthcare plan (or provide a comparable COBRA-related reimbursement or offset arrangements) subject to applicable law and Company policy. The parties will work together in good faith to implement this arrangement in a tax-efficient and administratively practical manner following review of current plan details. </w:t>
      </w:r>
    </w:p>
    <w:p>
      <w:pPr>
        <w:pStyle w:val="TextBody"/>
        <w:bidi w:val="0"/>
        <w:spacing w:before="240" w:after="0"/>
        <w:jc w:val="left"/>
        <w:rPr>
          <w:rFonts w:ascii="Times New Roman" w:hAnsi="Times New Roman"/>
          <w:sz w:val="20"/>
        </w:rPr>
      </w:pPr>
      <w:r>
        <w:rPr>
          <w:rFonts w:ascii="Times New Roman" w:hAnsi="Times New Roman"/>
          <w:b/>
          <w:sz w:val="20"/>
        </w:rPr>
        <w:t xml:space="preserve">Severance: </w:t>
      </w:r>
      <w:r>
        <w:rPr>
          <w:rFonts w:ascii="Times New Roman" w:hAnsi="Times New Roman"/>
          <w:sz w:val="20"/>
        </w:rPr>
        <w:t xml:space="preserve">In the event that your employment with the Company is (i) involuntarily terminated without Cause (as defined below) or (ii) terminated by you for Good Reason (as defined below), in each case prior to three (3) months before a Change in Control (as defined below) or after twelve (12) months following a Change in Control, you shall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severance amount equal to twelve (12) months of your Annual Base Salary at the time of your termination of employment plus your Target Bonus, payable in a lump sum within sixty (60) days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or reimbursement of, a monthly amount equal to the employer portion of the premiums under your applicable healthcare plans for you and your covered dependents, if any, during the twelve (12) months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rata portion of your Target Bonus for the year in which such termination occurs, payable within sixty (60) days following your termination of employment;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then-vested equity awards, plus an additional twenty-five percent (25%) of your then-unvested equity awards (including stock options, RSUs and any other equity-based awards) which immediately vest and, if applicable, become exercisable as of the date of such termination and remain exercisable through the date that is twelve (12) months following your termination of employment, but no later than the expiration of the award.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6"/>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the event that your employment with the Company is (i) involuntarily terminated without Cause or (ii) terminated by you for Good Reason, in each case, within the three (3) months before or twelve (12) months following a Change in Control, you shall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severance amount equal to eighteen (18) months of your Annual Base Salary plus 1.5 times your Target Bonus, payable in a lump sum within sixty (60) days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or reimbursement of, a monthly amount equal to the employer portion of the premiums under your applicable healthcare plans for you and your covered dependents, if any, during the eighteen (18) months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rata portion of your Target Bonus for the year in which such termination occurs, payable within sixty (60) days following your termination of employment;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then-vested equity awards, plus an additional one hundred percent (100%) of your then-unvested equity awards (including stock options, RSUs and any other equity-based awards) which immediately vest and, if applicable, become exercisable as of the date of such termination and remain exercisable through the date that is twelve (12) months following your termination of employment, but no later than the expiration of the award. </w:t>
            </w:r>
          </w:p>
        </w:tc>
      </w:tr>
    </w:tbl>
    <w:p>
      <w:pPr>
        <w:pStyle w:val="TextBody"/>
        <w:bidi w:val="0"/>
        <w:spacing w:before="240" w:after="0"/>
        <w:jc w:val="left"/>
        <w:rPr/>
      </w:pPr>
      <w:r>
        <w:rPr/>
        <w:t>“</w:t>
      </w:r>
      <w:r>
        <w:rPr>
          <w:rFonts w:ascii="Times New Roman" w:hAnsi="Times New Roman"/>
          <w:b/>
          <w:sz w:val="20"/>
        </w:rPr>
        <w:t>Cause</w:t>
      </w:r>
      <w:r>
        <w:rPr>
          <w:rFonts w:ascii="Times New Roman" w:hAnsi="Times New Roman"/>
          <w:sz w:val="20"/>
        </w:rPr>
        <w:t xml:space="preserve">” shall mean the occurrence of any of the following: (a) your gross negligence or willful misconduct in connection with the performance of your duties that is materially detrimental to the Company, detailed in a written notice thereof, and, if such action is curable, your failure to cure such action within thirty (30) days after receiving such notice; (b) your conviction or entry of a plea of </w:t>
      </w:r>
      <w:r>
        <w:rPr>
          <w:rFonts w:ascii="Times New Roman" w:hAnsi="Times New Roman"/>
          <w:i/>
          <w:sz w:val="20"/>
        </w:rPr>
        <w:t xml:space="preserve">nolo contendere </w:t>
      </w:r>
      <w:r>
        <w:rPr>
          <w:rFonts w:ascii="Times New Roman" w:hAnsi="Times New Roman"/>
          <w:sz w:val="20"/>
        </w:rPr>
        <w:t xml:space="preserve">for dishonesty, fraud or embezzlement, or any felony or crime of moral turpitude; (c) your material violation of any material provision of any agreement(s) between you and the Company or any written Company policies including, without limitation, agreements relating to non-solicitation, non-disclosure and/or assignment of inventions or policies related to ethics or workplace conduct and, if such violation is curable, your failure to cure such breach within 30 days after receiving such notice; or (d) the insolvency or dissolution of the Company. </w:t>
      </w:r>
    </w:p>
    <w:p>
      <w:pPr>
        <w:pStyle w:val="TextBody"/>
        <w:bidi w:val="0"/>
        <w:spacing w:before="240" w:after="0"/>
        <w:jc w:val="left"/>
        <w:rPr/>
      </w:pPr>
      <w:r>
        <w:rPr/>
        <w:t>“</w:t>
      </w:r>
      <w:r>
        <w:rPr>
          <w:rFonts w:ascii="Times New Roman" w:hAnsi="Times New Roman"/>
          <w:b/>
          <w:sz w:val="20"/>
        </w:rPr>
        <w:t xml:space="preserve">Good Reason” </w:t>
      </w:r>
      <w:r>
        <w:rPr>
          <w:rFonts w:ascii="Times New Roman" w:hAnsi="Times New Roman"/>
          <w:sz w:val="20"/>
        </w:rPr>
        <w:t xml:space="preserve">shall mean the occurrence of any one or more of the following events without your consent: (a) a material, adverse change in title or material reduction in authority, reporting relationship, or duties (including assignment of duties materially inconsistent with your position other than any temporary assignment made in good faith due to exigent business circumstances, and including, if you cease to be the most senior executive officer of the Company’s controlled group, if you cease to hold the CEO-designated seat on the board of directors of the Company or the ultimate parent entity of the Company’s controlled group, or if you are required to report to any person other than the board of directors of the Company or the ultimate parent entity of the Company’s controlled group); (b) a required relocation of your principal worksites by more than fifty (50) miles that materially increases your commute; (c) a material reduction in your Annual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7"/>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 Salary or Target Bonus, except for across-the-board salary reductions of no more than 10% similarly affecting all or substantially all senior management employees of the Company; or (d) a material breach by the Company of any of its obligations under any agreement between the Company and you or applicable to you, including the Company’s failure to grant the equity described in this Agreement; provided that none of the foregoing shall constitute Good Reason unless you provide written objection within thirty (30) days of the event and the Company fails to cure the issue within thirty (30) days of such notice.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Change in Control</w:t>
      </w:r>
      <w:r>
        <w:rPr>
          <w:rFonts w:ascii="Times New Roman" w:hAnsi="Times New Roman"/>
          <w:sz w:val="20"/>
        </w:rPr>
        <w:t xml:space="preserve">” shall occur if: (a) an individual or entity that is not an affiliate of the Company acquires 50% or more of the ownership interest in the Company representing a majority of the Company’s outstanding voting power immediately following such acquisition; (b) there is a merger, acquisition or similar transaction involving the Company that results in the voting securities of the Company outstanding immediately prior thereto ceasing to represent at least 50% of the combined voting power of the surviving entity immediately following such merger, acquisition or similar transaction; or (c) there is a sale of all or substantially all of the Company’s assets; provided that the following events shall not constitute a “Change in Control”: (i) a transaction (other than a sale of all or substantially all of the Company’s assets) in which the holders of the voting securities of the Company immediately prior to the merger or consolidation hold, directly or indirectly, a majority of the voting securities in the successor corporation or its parent immediately after the merger or consolidation; (ii) a sale, lease, exchange or other transaction in one transaction or a series of related transactions of all or substantially all of the Company’s assets to an affiliate of the Company; (iii) an initial public offering of any of the Company’s securities or any other transaction or series of related transactions principally for bona fide equity financing purposes; (iv) a reincorporation of the Company solely to change its jurisdiction; or (v) a transaction undertaken for the primary purpose of creating a holding company that will be owned in substantially the same proportion by the persons who held the Company’s securities immediately before such transaction. For the avoidance of doubt, the consummation of a merger that results in the Company first becoming publicly traded shall in no event be considered a Change in Control for purposes hereof. </w:t>
      </w:r>
    </w:p>
    <w:p>
      <w:pPr>
        <w:pStyle w:val="TextBody"/>
        <w:bidi w:val="0"/>
        <w:spacing w:before="240" w:after="0"/>
        <w:jc w:val="left"/>
        <w:rPr>
          <w:rFonts w:ascii="Times New Roman" w:hAnsi="Times New Roman"/>
          <w:sz w:val="20"/>
        </w:rPr>
      </w:pPr>
      <w:r>
        <w:rPr>
          <w:rFonts w:ascii="Times New Roman" w:hAnsi="Times New Roman"/>
          <w:b/>
          <w:sz w:val="20"/>
        </w:rPr>
        <w:t xml:space="preserve">Legal and Advisory Expenses: </w:t>
      </w:r>
      <w:r>
        <w:rPr>
          <w:rFonts w:ascii="Times New Roman" w:hAnsi="Times New Roman"/>
          <w:sz w:val="20"/>
        </w:rPr>
        <w:t xml:space="preserve">The Company will reimburse the Executive for an amount not to exceed $20,000 for legal and advisory expenses incurred by the Executive in negotiating and finalizing this Agreement and all related agreements, with the understanding that such reimbursement will only be made after the Executive has commenced employment under this Agreement and will be paid within 30 days following issuance of invoices therefore.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(a) Anything in this Agreement to the contrary notwithstanding, if at the time of Executive’s separation from service within the meaning of Section 409A, the Company determines that Executive is a “specified employee” within the meaning of Section 409A(a)(2)(B)(i), then to the extent any payment or benefit that Executive becomes entitled to under this Agreement on account of Executive’s separation from service would be considered “non-qualified deferred compensation” otherwise subject to the 20% additional tax imposed pursuant to Section 409A(a) as a result of the application of Section 409A(a)(2)(B)(i) and does not qualify for any exemption, exclusion or deferral exception otherwise available under Section 409A,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8"/>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payment shall not be payable and such benefit shall not be provided until the date that is the earlier of (A) six months and one day after Executive’s separation from service, or (B) Executive’s death (the “</w:t>
      </w:r>
      <w:r>
        <w:rPr>
          <w:rFonts w:ascii="Times New Roman" w:hAnsi="Times New Roman"/>
          <w:b/>
          <w:sz w:val="20"/>
        </w:rPr>
        <w:t>Delay Period</w:t>
      </w:r>
      <w:r>
        <w:rPr>
          <w:rFonts w:ascii="Times New Roman" w:hAnsi="Times New Roman"/>
          <w:sz w:val="20"/>
        </w:rPr>
        <w:t xml:space="preserve">”). Upon the expiration of the Delay Period, all payments and benefits delayed pursuant to this paragraph (whether they would have otherwise been payable in a single sum or in installments in the absence of such delay) shall be paid or reimbursed on the first business day following the expiration of the Delay Period to Executive in a lump sum (without interest) and any remaining payments and benefits due under this Agreement shall be paid or provided in accordance with the normal payment dates specified for them herein. </w:t>
      </w:r>
    </w:p>
    <w:p>
      <w:pPr>
        <w:pStyle w:val="TextBody"/>
        <w:bidi w:val="0"/>
        <w:spacing w:before="240" w:after="0"/>
        <w:jc w:val="left"/>
        <w:rPr>
          <w:rFonts w:ascii="Times New Roman" w:hAnsi="Times New Roman"/>
          <w:sz w:val="20"/>
        </w:rPr>
      </w:pPr>
      <w:r>
        <w:rPr>
          <w:rFonts w:ascii="Times New Roman" w:hAnsi="Times New Roman"/>
          <w:sz w:val="20"/>
        </w:rPr>
        <w:t xml:space="preserve">(b) 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payment or benefit described in this Agreement constitutes “non-qualified deferred compensation” under Section 409A,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(d) The parties intend that this Agreement will be administered in accordance with Section 409A. To the extent that any provision of this Agreement is ambiguous as to its compliance with Section 409A, the provision shall be read in such a manner so that all payments hereunder comply with Section 409A.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and all related rules and regulations in order to preserve the payments and benefits provided hereunder without additional cost to either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9"/>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Alice Lee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Alice Lee</w:t>
            </w:r>
          </w:p>
          <w:p>
            <w:pPr>
              <w:pStyle w:val="TableContents"/>
              <w:bidi w:val="0"/>
              <w:spacing w:before="0" w:after="20"/>
              <w:jc w:val="left"/>
              <w:rPr>
                <w:rFonts w:ascii="Times New Roman" w:hAnsi="Times New Roman"/>
                <w:sz w:val="20"/>
              </w:rPr>
            </w:pPr>
            <w:r>
              <w:rPr>
                <w:rFonts w:ascii="Times New Roman" w:hAnsi="Times New Roman"/>
                <w:sz w:val="20"/>
              </w:rPr>
              <w:t>President</w:t>
            </w:r>
          </w:p>
        </w:tc>
      </w:tr>
      <w:tr>
        <w:trPr/>
        <w:tc>
          <w:tcPr>
            <w:tcW w:w="4082" w:type="dxa"/>
            <w:tcBorders/>
          </w:tcPr>
          <w:p>
            <w:pPr>
              <w:pStyle w:val="TableContents"/>
              <w:bidi w:val="0"/>
              <w:spacing w:before="0" w:after="283"/>
              <w:jc w:val="left"/>
              <w:rPr/>
            </w:pPr>
            <w:r>
              <w:rPr/>
              <w:t>RTW Newco10,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I accept the terms of employment as stated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0"/>
        <w:gridCol w:w="408"/>
        <w:gridCol w:w="61"/>
        <w:gridCol w:w="23"/>
        <w:gridCol w:w="100"/>
        <w:gridCol w:w="4706"/>
      </w:tblGrid>
      <w:tr>
        <w:trPr/>
        <w:tc>
          <w:tcPr>
            <w:tcW w:w="480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Mills</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Dated: June 15, 2026</w:t>
            </w:r>
          </w:p>
        </w:tc>
      </w:tr>
      <w:tr>
        <w:trPr/>
        <w:tc>
          <w:tcPr>
            <w:tcW w:w="4807" w:type="dxa"/>
            <w:tcBorders/>
          </w:tcPr>
          <w:p>
            <w:pPr>
              <w:pStyle w:val="TableContents"/>
              <w:bidi w:val="0"/>
              <w:spacing w:before="0" w:after="283"/>
              <w:jc w:val="left"/>
              <w:rPr/>
            </w:pPr>
            <w:r>
              <w:rPr/>
              <w:t>Kenneth Mills</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0"/>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PROPRIETARY INFORMATION, INVENTIONS AND NON-SOLICITATION/NON-COMPETITION AGREEMENT </w:t>
      </w:r>
    </w:p>
    <w:p>
      <w:pPr>
        <w:pStyle w:val="TextBody"/>
        <w:bidi w:val="0"/>
        <w:spacing w:before="240" w:after="0"/>
        <w:jc w:val="left"/>
        <w:rPr>
          <w:rFonts w:ascii="Times New Roman" w:hAnsi="Times New Roman"/>
          <w:sz w:val="20"/>
        </w:rPr>
      </w:pPr>
      <w:r>
        <w:rPr>
          <w:rFonts w:ascii="Times New Roman" w:hAnsi="Times New Roman"/>
          <w:sz w:val="20"/>
        </w:rPr>
        <w:t>In consideration of my employment or continued employment by RTW Newco10, Inc., a Delaware corporation (“</w:t>
      </w:r>
      <w:r>
        <w:rPr>
          <w:rFonts w:ascii="Times New Roman" w:hAnsi="Times New Roman"/>
          <w:b/>
          <w:sz w:val="20"/>
        </w:rPr>
        <w:t>RTW Newco10</w:t>
      </w:r>
      <w:r>
        <w:rPr>
          <w:rFonts w:ascii="Times New Roman" w:hAnsi="Times New Roman"/>
          <w:sz w:val="20"/>
        </w:rPr>
        <w:t>”) and its subsidiaries (collectively, the “</w:t>
      </w:r>
      <w:r>
        <w:rPr>
          <w:rFonts w:ascii="Times New Roman" w:hAnsi="Times New Roman"/>
          <w:b/>
          <w:sz w:val="20"/>
        </w:rPr>
        <w:t>Company</w:t>
      </w:r>
      <w:r>
        <w:rPr>
          <w:rFonts w:ascii="Times New Roman" w:hAnsi="Times New Roman"/>
          <w:sz w:val="20"/>
        </w:rPr>
        <w:t>”), and the compensation now and hereafter paid to me, I, Kenneth Mills, hereby enter into this Proprietary Information, Inventions, Non-Solicitation and Non-Competition Agreement (the “</w:t>
      </w:r>
      <w:r>
        <w:rPr>
          <w:rFonts w:ascii="Times New Roman" w:hAnsi="Times New Roman"/>
          <w:b/>
          <w:sz w:val="20"/>
        </w:rPr>
        <w:t>Agreement</w:t>
      </w:r>
      <w:r>
        <w:rPr>
          <w:rFonts w:ascii="Times New Roman" w:hAnsi="Times New Roman"/>
          <w:sz w:val="20"/>
        </w:rPr>
        <w:t xml:space="preserve">”) as of May 22, 2026 and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NONDISCLOSURE. </w:t>
            </w:r>
          </w:p>
        </w:tc>
      </w:tr>
    </w:tbl>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Recognition of Company’s Rights; Nondisclosure. </w:t>
      </w:r>
      <w:r>
        <w:rPr>
          <w:rFonts w:ascii="Times New Roman" w:hAnsi="Times New Roman"/>
          <w:sz w:val="20"/>
        </w:rPr>
        <w:t xml:space="preserve">I understand and acknowledge that my employment by the Company creates a relationship of confidence and trust with respect to the Proprietary Information (defined below) and that the Company has a protectable interest therein. At all times during my employment and thereafter, I will hold in strictest confidence and will not disclose, use, lecture upon or publish any Proprietary Information (as defined below), except as such disclosure, use or publication may be required in connection with my work for the Company, or unless an officer of the Company expressly authorizes such in writing. I will obtain the Company’s written approval before publishing or submitting for publication any material (written, verbal, or otherwise) that relates to my work at the Company and/or incorporates any Proprietary Information. I hereby assign and agree to assign to RTW Newco10 any rights I may have or acquire in such Proprietary Information and recognize that all Proprietary Information shall be the sole property of RTW Newco10 and its assigns. I will take all reasonable precautions to prevent the inadvertent or accidental disclosure of Proprietary Information.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Proprietary Information. </w:t>
      </w:r>
      <w:r>
        <w:rPr>
          <w:rFonts w:ascii="Times New Roman" w:hAnsi="Times New Roman"/>
          <w:sz w:val="20"/>
        </w:rPr>
        <w:t>The term “</w:t>
      </w:r>
      <w:r>
        <w:rPr>
          <w:rFonts w:ascii="Times New Roman" w:hAnsi="Times New Roman"/>
          <w:b/>
          <w:sz w:val="20"/>
        </w:rPr>
        <w:t>Proprietary Information</w:t>
      </w:r>
      <w:r>
        <w:rPr>
          <w:rFonts w:ascii="Times New Roman" w:hAnsi="Times New Roman"/>
          <w:sz w:val="20"/>
        </w:rPr>
        <w:t>” means any and all confidential and/or proprietary knowledge, data or information of the Company, whether having existed, now existing, or to be developed during my employment. By way of illustration but not limitation, “</w:t>
      </w:r>
      <w:r>
        <w:rPr>
          <w:rFonts w:ascii="Times New Roman" w:hAnsi="Times New Roman"/>
          <w:b/>
          <w:sz w:val="20"/>
        </w:rPr>
        <w:t>Proprietary Information</w:t>
      </w:r>
      <w:r>
        <w:rPr>
          <w:rFonts w:ascii="Times New Roman" w:hAnsi="Times New Roman"/>
          <w:sz w:val="20"/>
        </w:rPr>
        <w:t>” includes (a) trade secrets, inventions, mask works, ideas, processes, formulas, source and object codes, data, programs, other works of authorship, know-how, improvements, discoveries, developments, designs and techniques and any other proprietary technology and all Proprietary Rights therein (hereinafter collectively referred to as “</w:t>
      </w:r>
      <w:r>
        <w:rPr>
          <w:rFonts w:ascii="Times New Roman" w:hAnsi="Times New Roman"/>
          <w:b/>
          <w:sz w:val="20"/>
        </w:rPr>
        <w:t>Inventions</w:t>
      </w:r>
      <w:r>
        <w:rPr>
          <w:rFonts w:ascii="Times New Roman" w:hAnsi="Times New Roman"/>
          <w:sz w:val="20"/>
        </w:rPr>
        <w:t xml:space="preserve">”); (b) 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the Company, including customer lists, names, representatives, their needs or desires with respect to the types of products or services offered by the Company, proposals, bids, contracts and their contents and parties, the type and quantity of products and services provided or sought to be provided to customers and potential customers of the Company and other non-public information relating to customers and potential customers; (d) information regarding any of the Company’s business partners and their services, including names; representatives, proposals, bids, contracts and their contents and parties, the type and quantity of products and services received by the Company, and other non-public information relating to business partners; (e) information regarding personnel, employee lists, compensation, and employee skills; and (f) any other non-public information which a competitor of the Company could use to the competitive disadvantage of the Company. Notwithstanding the foregoing, it is understood that, at all such times, I am free to use information which is generally known in the trade or industry through no breach of this agreement or other act or omission by me, and I am free to discuss the terms and conditions of my employment with others to the extent permitted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1"/>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Third Party Information. </w:t>
      </w:r>
      <w:r>
        <w:rPr>
          <w:rFonts w:ascii="Times New Roman" w:hAnsi="Times New Roman"/>
          <w:sz w:val="20"/>
        </w:rPr>
        <w:t>I understand, in addition, that the Company has received and in the future will receive from third parties their confidential and/or proprietary knowledge, data, or information (“</w:t>
      </w:r>
      <w:r>
        <w:rPr>
          <w:rFonts w:ascii="Times New Roman" w:hAnsi="Times New Roman"/>
          <w:b/>
          <w:sz w:val="20"/>
        </w:rPr>
        <w:t>Third Party Information</w:t>
      </w:r>
      <w:r>
        <w:rPr>
          <w:rFonts w:ascii="Times New Roman" w:hAnsi="Times New Roman"/>
          <w:sz w:val="20"/>
        </w:rPr>
        <w:t xml:space="preserve">”). During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Term of Nondisclosure Restrictions. </w:t>
      </w:r>
      <w:r>
        <w:rPr>
          <w:rFonts w:ascii="Times New Roman" w:hAnsi="Times New Roman"/>
          <w:sz w:val="20"/>
        </w:rPr>
        <w:t xml:space="preserve">I understand that Proprietary Information and Third Party Information is never to be used or disclosed by me, as provided in this Section 1. If, however, a court decides that this Section 1 or any of its provisions is unenforceable for lack of reasonable temporal limitation and the Agreement or its restriction(s) cannot otherwise be enforced, I agree and the Company agrees that the two (2)-year period after the date my employment with the Company ends shall be the temporal limitation relevant to the contested restriction, provided, however, that this sentence shall not apply to trade secrets protected without temporal limitation under applicable law.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 xml:space="preserve">No Improper Use of Information of Prior Employers and Others. </w:t>
      </w:r>
      <w:r>
        <w:rPr>
          <w:rFonts w:ascii="Times New Roman" w:hAnsi="Times New Roman"/>
          <w:sz w:val="20"/>
        </w:rPr>
        <w:t xml:space="preserve">During my employment by the Company I will not 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ASSIGNMENT OF INVENTIONS. </w:t>
            </w:r>
          </w:p>
        </w:tc>
      </w:tr>
    </w:tbl>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Proprietary Rights. </w:t>
      </w:r>
      <w:r>
        <w:rPr>
          <w:rFonts w:ascii="Times New Roman" w:hAnsi="Times New Roman"/>
          <w:sz w:val="20"/>
        </w:rPr>
        <w:t>The term “</w:t>
      </w:r>
      <w:r>
        <w:rPr>
          <w:rFonts w:ascii="Times New Roman" w:hAnsi="Times New Roman"/>
          <w:b/>
          <w:sz w:val="20"/>
        </w:rPr>
        <w:t>Proprietary Rights</w:t>
      </w:r>
      <w:r>
        <w:rPr>
          <w:rFonts w:ascii="Times New Roman" w:hAnsi="Times New Roman"/>
          <w:sz w:val="20"/>
        </w:rPr>
        <w:t xml:space="preserve">” means all trade secrets, patents, copyrights, trademarks, mask works and other intellectual property rights throughout the world.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Prior Inventions. </w:t>
      </w:r>
      <w:r>
        <w:rPr>
          <w:rFonts w:ascii="Times New Roman" w:hAnsi="Times New Roman"/>
          <w:sz w:val="20"/>
        </w:rPr>
        <w:t xml:space="preserve">Inventions, if any, patented or unpatented, which I made prior to the commencement of my employment with the Company are excluded from the scope of this Agreement. To preclude any possible uncertainty, I have set forth on </w:t>
      </w:r>
      <w:r>
        <w:rPr>
          <w:rFonts w:ascii="Times New Roman" w:hAnsi="Times New Roman"/>
          <w:i/>
          <w:sz w:val="20"/>
        </w:rPr>
        <w:t xml:space="preserve">Exhibit A </w:t>
      </w:r>
      <w:r>
        <w:rPr>
          <w:rFonts w:ascii="Times New Roman" w:hAnsi="Times New Roman"/>
          <w:sz w:val="20"/>
        </w:rPr>
        <w:t>(Previous Inventions) attached hereto a complete list of all Inventions that I have, alone or jointly with others, conceived, developed or reduced to practice or caused to be conceived, developed or reduced to practice prior to the commencement of my employment with the Company that I consider to be my property or the property of third parties, and that I wish to have excluded from the scope of this Agreement (collectively referred to as “</w:t>
      </w:r>
      <w:r>
        <w:rPr>
          <w:rFonts w:ascii="Times New Roman" w:hAnsi="Times New Roman"/>
          <w:b/>
          <w:sz w:val="20"/>
        </w:rPr>
        <w:t>Prior Inventions</w:t>
      </w:r>
      <w:r>
        <w:rPr>
          <w:rFonts w:ascii="Times New Roman" w:hAnsi="Times New Roman"/>
          <w:sz w:val="20"/>
        </w:rPr>
        <w:t xml:space="preserve">”). If disclosure of any such Prior Invention would cause me to violate any prior confidentiality agreement, I understand that I am not to list such Prior Inventions in </w:t>
      </w:r>
      <w:r>
        <w:rPr>
          <w:rFonts w:ascii="Times New Roman" w:hAnsi="Times New Roman"/>
          <w:i/>
          <w:sz w:val="20"/>
        </w:rPr>
        <w:t xml:space="preserve">Exhibit A </w:t>
      </w:r>
      <w:r>
        <w:rPr>
          <w:rFonts w:ascii="Times New Roman" w:hAnsi="Times New Roman"/>
          <w:sz w:val="20"/>
        </w:rPr>
        <w:t xml:space="preserve">but am only to disclose a cursory name for each such invention, a listing of the party(ies) to whom it belongs and the fact that full disclosure as to such inventions has not been made for that reason. A space is provided on </w:t>
      </w:r>
      <w:r>
        <w:rPr>
          <w:rFonts w:ascii="Times New Roman" w:hAnsi="Times New Roman"/>
          <w:i/>
          <w:sz w:val="20"/>
        </w:rPr>
        <w:t xml:space="preserve">Exhibit A </w:t>
      </w:r>
      <w:r>
        <w:rPr>
          <w:rFonts w:ascii="Times New Roman" w:hAnsi="Times New Roman"/>
          <w:sz w:val="20"/>
        </w:rPr>
        <w:t xml:space="preserve">for such purpose. If no such disclosure is attached, I represent that there are no Prior Inventions. If, in the course of my employment with the Company, I incorporate a Prior Invention into a Company product, process or machine, the Company is hereby granted and shall have a nonexclusive, royalty-free, irrevocable, perpetual, fully-paid, worldwide license (with rights to sublicense through multiple tiers of sublicensees) to make, have made, modify, make derivative works of, publicly perform, use, sell, import, and exercise any and all present and future rights in such Prior Invention.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agree that I will not incorporate, or permit to be incorporated, Prior Inventions in any Company Inventions without the Company’s prior written consent.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2"/>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 xml:space="preserve">Assignment of Inventions. </w:t>
      </w:r>
      <w:r>
        <w:rPr>
          <w:rFonts w:ascii="Times New Roman" w:hAnsi="Times New Roman"/>
          <w:sz w:val="20"/>
        </w:rPr>
        <w:t>Subject to Subsections 2.4 and 2.6, I hereby assign and agree to assign in the future (when any such Inventions or Proprietary Rights are first reduced to practice or first fixed in a tangible medium, as applicable) to RTW Newco10 all my right, title and interest in and to any and all Inventions (and all Proprietary Rights with respect thereto) whether or not patentable or registerable under copyright or similar statutes, made or conceived or reduced to practice or learned by me, either alone or jointly with others, during the period of my employment with the Company. Inventions assigned to the Company, or to a third party as directed by the Company pursuant to this Section 2, are hereinafter referred to as “</w:t>
      </w:r>
      <w:r>
        <w:rPr>
          <w:rFonts w:ascii="Times New Roman" w:hAnsi="Times New Roman"/>
          <w:b/>
          <w:sz w:val="20"/>
        </w:rPr>
        <w:t>Company Inventions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rPr>
        <w:t xml:space="preserve">Unassigned or Nonassignable Inventions. </w:t>
      </w:r>
      <w:r>
        <w:rPr>
          <w:rFonts w:ascii="Times New Roman" w:hAnsi="Times New Roman"/>
          <w:sz w:val="20"/>
        </w:rPr>
        <w:t xml:space="preserve">I recognize that this Agreement will not be deemed to require assignment of any Invention that I developed entirely on my own time without using the Company’s equipment, supplies, facilities, trade secrets, or Proprietary Information, except for those Inventions that either (i) relate to the Company’s actual or anticipated business, research or development, or (ii) result from or are connected with work performed by me for the Company.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rPr>
        <w:t xml:space="preserve">Obligation to Keep Company Informed. </w:t>
      </w:r>
      <w:r>
        <w:rPr>
          <w:rFonts w:ascii="Times New Roman" w:hAnsi="Times New Roman"/>
          <w:sz w:val="20"/>
        </w:rPr>
        <w:t xml:space="preserve">During the period of my employment and for six (6) months after termination of my employment with the Company, I will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employment with the Company.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rPr>
        <w:t xml:space="preserve">Government or Third Party. </w:t>
      </w:r>
      <w:r>
        <w:rPr>
          <w:rFonts w:ascii="Times New Roman" w:hAnsi="Times New Roman"/>
          <w:sz w:val="20"/>
        </w:rPr>
        <w:t xml:space="preserve">I also agree to assign all my right, title and interest in and to any particular Company Invention to a third party, including without limitation the United States, as directed by the Company.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rPr>
        <w:t xml:space="preserve">Works for Hire. </w:t>
      </w:r>
      <w:r>
        <w:rPr>
          <w:rFonts w:ascii="Times New Roman" w:hAnsi="Times New Roman"/>
          <w:sz w:val="20"/>
        </w:rPr>
        <w:t xml:space="preserve">I acknowledge that all original works of authorship which are made by me (solely or jointly with others) within the scope of my employment and which are protectable by copyright are “works made for hire,” pursuant to United States Copyright Act (17 U.S.C., Section 101).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w:t>
      </w:r>
      <w:r>
        <w:rPr>
          <w:rFonts w:ascii="Times New Roman" w:hAnsi="Times New Roman"/>
          <w:b/>
          <w:sz w:val="20"/>
        </w:rPr>
        <w:t xml:space="preserve">Enforcement of Proprietary Rights. </w:t>
      </w:r>
      <w:r>
        <w:rPr>
          <w:rFonts w:ascii="Times New Roman" w:hAnsi="Times New Roman"/>
          <w:sz w:val="20"/>
        </w:rPr>
        <w:t xml:space="preserve">I will assist the Company in every proper way to obtain, and from time to 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relating to such Company Inventions in any and all countries shall continue beyond the termination of my employment, but the Company shall compensate me at a reasonable rate after my termination for the time actually spent by me at the Company’s request on such assistance.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3"/>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RECORDS. </w:t>
      </w:r>
      <w:r>
        <w:rPr>
          <w:rFonts w:ascii="Times New Roman" w:hAnsi="Times New Roman"/>
          <w:sz w:val="20"/>
        </w:rPr>
        <w:t xml:space="preserve">I agree to keep and maintain adequate and current records (in the form of notes, sketches, drawings and in any other form that may be required by the Company) of all Proprietary Information developed by me and all Inventions made by me during the period of my employment at the Company, which records shall be available to and remain the sole property of the Company at all times.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 xml:space="preserve">DUTY OF LOYALTY DURING EMPLOYMENT. </w:t>
      </w:r>
      <w:r>
        <w:rPr>
          <w:rFonts w:ascii="Times New Roman" w:hAnsi="Times New Roman"/>
          <w:sz w:val="20"/>
        </w:rPr>
        <w:t xml:space="preserve">I agree that during the period of my employment by the Company I will not, without the Company’s express written consent, directly or indirectly engage in any employment or business activity which is directly or indirectly competitive with, or would otherwise conflict with, my employment by the Company; provided, however, that this restriction does not prevent me from (a) serving on the board of directors (or equivalent governing body or authority in the case of a non-corporate entity) of any religious, educational or community organization that is not adverse to the Company’s interests; (b) engaging in bona fide charitable activities and community affairs that are not adverse to the Company’s interests; (c) managing my personal investments and affairs; (d) following approval by the Board, serving on the board of directors (or similar entity) of privately held companies or public companies that are not competitive with the business of the Company, including REGENXBIO Inc.; and/or (e) providing (i) transition related consulting services to Tagworks Pharmaceuticals, Inc. and (ii) with approval by the Board, other consulting services to companies that are not competitive with the business of the Company; provided, however, that in each case, and in the aggregate, such activities do not conflict or interfere with the performance of my duties hereunder or conflict with the other terms of this Agreement. </w:t>
      </w:r>
    </w:p>
    <w:p>
      <w:pPr>
        <w:pStyle w:val="TextBody"/>
        <w:bidi w:val="0"/>
        <w:spacing w:before="240" w:after="0"/>
        <w:jc w:val="left"/>
        <w:rPr>
          <w:rFonts w:ascii="Times New Roman" w:hAnsi="Times New Roman"/>
          <w:sz w:val="20"/>
        </w:rPr>
      </w:pPr>
      <w:r>
        <w:rPr>
          <w:rFonts w:ascii="Times New Roman" w:hAnsi="Times New Roman"/>
          <w:b/>
          <w:sz w:val="20"/>
        </w:rPr>
        <w:t>5. NO SOLICITATION OF EMPLOYEES, CONSULTANTS, CONTRACTORS, CUSTOMERS OR</w:t>
      </w:r>
      <w:r>
        <w:rPr>
          <w:rFonts w:ascii="Times New Roman" w:hAnsi="Times New Roman"/>
          <w:sz w:val="20"/>
        </w:rPr>
        <w:t xml:space="preserve"> </w:t>
      </w:r>
      <w:r>
        <w:rPr>
          <w:rFonts w:ascii="Times New Roman" w:hAnsi="Times New Roman"/>
          <w:b/>
          <w:sz w:val="20"/>
        </w:rPr>
        <w:t xml:space="preserve">POTENTIAL CUSTOMERS. </w:t>
      </w:r>
      <w:r>
        <w:rPr>
          <w:rFonts w:ascii="Times New Roman" w:hAnsi="Times New Roman"/>
          <w:sz w:val="20"/>
        </w:rPr>
        <w:t xml:space="preserve">I agree that during the period of my employment with the Company and for the one (1)-year period after the date my employment ends for any reason, including but not limited to voluntary termination by me or involuntary termination by the Company, I will not, as an officer, director, employee, consultant, owner, partner, or in any other capacity, either directly or through others, except on behalf of the Company: </w:t>
      </w:r>
    </w:p>
    <w:p>
      <w:pPr>
        <w:pStyle w:val="TextBody"/>
        <w:bidi w:val="0"/>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solicit, induce, encourage, or participate in soliciting, inducing, or encouraging any employee of the Company to terminate his or her relationship with the Company.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hire, employ, or engage in business with or attempt to hire, employ, or engage in business with any person employed by the Company or who has left the employment of the Company within the preceding one (1) year or discuss any potential employment or business association with such person, even if I did not initiate the discussion or seek out the contact; or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solicit, induce or attempt to induce any Customer or Potential Customer (as defined below), or any consultant or independent contractor with whom I had direct or indirect contact or whose identity I learned as a result of my employment with the Company, to terminate, diminish, or materially alter in a manner harmful to the Company its relationship with the Company. </w:t>
      </w:r>
    </w:p>
    <w:p>
      <w:pPr>
        <w:pStyle w:val="TextBody"/>
        <w:bidi w:val="0"/>
        <w:spacing w:before="240" w:after="0"/>
        <w:jc w:val="left"/>
        <w:rPr>
          <w:rFonts w:ascii="Times New Roman" w:hAnsi="Times New Roman"/>
          <w:sz w:val="20"/>
        </w:rPr>
      </w:pPr>
      <w:r>
        <w:rPr>
          <w:rFonts w:ascii="Times New Roman" w:hAnsi="Times New Roman"/>
          <w:sz w:val="20"/>
        </w:rPr>
        <w:t>The parties agree that, for purposes of this Agreement, a “</w:t>
      </w:r>
      <w:r>
        <w:rPr>
          <w:rFonts w:ascii="Times New Roman" w:hAnsi="Times New Roman"/>
          <w:b/>
          <w:sz w:val="20"/>
        </w:rPr>
        <w:t>Customer or Potential Customer</w:t>
      </w:r>
      <w:r>
        <w:rPr>
          <w:rFonts w:ascii="Times New Roman" w:hAnsi="Times New Roman"/>
          <w:sz w:val="20"/>
        </w:rPr>
        <w:t xml:space="preserve">” is any person or entity who or which, at any time prior to the date my employment with the Company ends, (i) contracted for, was billed for, or received from the Company, or provided to the Company, any product, service or process; or (ii) was in contact with me concerning any product, service or process.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NON-COMPETE PROVISION. </w:t>
      </w:r>
      <w:r>
        <w:rPr>
          <w:rFonts w:ascii="Times New Roman" w:hAnsi="Times New Roman"/>
          <w:sz w:val="20"/>
        </w:rPr>
        <w:t xml:space="preserve">I agree that during the period of my employment and for the six (6)-month period after the date my employment ends for any reason, including but not limited to voluntary termination by me or involuntary termination by the Company, I will not within the United States or any other geographic region in which the Company conducts its business, and in any capacity, whether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4"/>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individually or as an employee, consultant, director, officer, agent, advisor or otherwise for or on behalf of any entity (a “</w:t>
      </w:r>
      <w:r>
        <w:rPr>
          <w:rFonts w:ascii="Times New Roman" w:hAnsi="Times New Roman"/>
          <w:b/>
          <w:sz w:val="20"/>
        </w:rPr>
        <w:t>Competing Organization</w:t>
      </w:r>
      <w:r>
        <w:rPr>
          <w:rFonts w:ascii="Times New Roman" w:hAnsi="Times New Roman"/>
          <w:sz w:val="20"/>
        </w:rPr>
        <w:t xml:space="preserve">”) engaged in any business activities that are competitive with the products or services offered or being provided by the Company or being developed by the Company or which the Company has definitive plans to develop. If any court of competent jurisdiction shall at any time deem the duration or the geographic scope of any of the provisions of this Section 6 unenforceable, the other provisions of this Section 6 shall nevertheless stand, and the duration and/or geographic scope set forth herein shall be deemed to be the longest period and/or greatest size permissible by law under the circumstances, and the parties hereto agree that such court shall reduce the time period and/or geographic scope to permissible duration or size. The foregoing restriction shall not apply to my ownership interest in any public company so long as (i) such interest is less than five percent (5%) of the outstanding interests of such company, (ii) such interest is held solely as a passive investment and (iii) I do not, directly or indirectly, have any management, board, observer, consulting, advisory, voting or other control or influence rights with respect to such company. </w:t>
      </w:r>
    </w:p>
    <w:p>
      <w:pPr>
        <w:pStyle w:val="TextBody"/>
        <w:bidi w:val="0"/>
        <w:spacing w:before="240" w:after="0"/>
        <w:jc w:val="left"/>
        <w:rPr>
          <w:rFonts w:ascii="Times New Roman" w:hAnsi="Times New Roman"/>
          <w:sz w:val="20"/>
        </w:rPr>
      </w:pPr>
      <w:r>
        <w:rPr>
          <w:rFonts w:ascii="Times New Roman" w:hAnsi="Times New Roman"/>
          <w:b/>
          <w:sz w:val="20"/>
        </w:rPr>
        <w:t>7. REASONABLENESS OF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I agree that I have read this entire Agreement and understand it. I agree that this Agreement does not prevent me from earning a living or pursuing my career. I agree that the restrictions contained in this Agreement are reasonable, proper, and necessitated by the Company’s legitimate business interests. I represent and agree that I am entering into this Agreement freely and with knowledge of its contents with the intent to be bound by the Agreement and the restrictions contained in it.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In the event that a court finds this Agreement, or any of its restrictions, to be ambiguous, unenforceable, or invalid, I and the Company agree that the court shall read the Agreement as a whole and interpret the restriction(s) at issue to be enforceable and valid to the maximum extent allowed by law.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 xml:space="preserve">NO CONFLICTING AGREEMENT OR OBLIGATION. </w:t>
      </w:r>
      <w:r>
        <w:rPr>
          <w:rFonts w:ascii="Times New Roman" w:hAnsi="Times New Roman"/>
          <w:sz w:val="20"/>
        </w:rPr>
        <w:t xml:space="preserve">I represent that 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herewith.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RETURN OF COMPANY PROPERTY. </w:t>
      </w:r>
      <w:r>
        <w:rPr>
          <w:rFonts w:ascii="Times New Roman" w:hAnsi="Times New Roman"/>
          <w:sz w:val="20"/>
        </w:rPr>
        <w:t xml:space="preserve">When I leave the employ of the Company, I will deliver to the Company any 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 if requested to do so by the Company. </w:t>
      </w:r>
    </w:p>
    <w:p>
      <w:pPr>
        <w:pStyle w:val="TextBody"/>
        <w:bidi w:val="0"/>
        <w:spacing w:before="240" w:after="0"/>
        <w:jc w:val="left"/>
        <w:rPr>
          <w:rFonts w:ascii="Times New Roman" w:hAnsi="Times New Roman"/>
          <w:sz w:val="20"/>
        </w:rPr>
      </w:pPr>
      <w:r>
        <w:rPr>
          <w:rFonts w:ascii="Times New Roman" w:hAnsi="Times New Roman"/>
          <w:b/>
          <w:sz w:val="20"/>
        </w:rPr>
        <w:t>10. LEGAL AND EQUITABLE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agree that it may be impossible to assess the damages caused by my violation of this Agreement or any of its terms. I agree that any threatened or actual violation of this Agreement or any of its terms will constitute immediate and irreparable injury to the Company and the Company shall have the right to enforce this Agreement and any of its provisions by injunction, specific performance or other equitable relief, without bond and without prejudice to any other rights and remedies that the Company may have for a breach or threatened breach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5"/>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Any notices required or permitted hereunder shall be given to the appropriate party at the address specified below or at such other address as the party shall specify in writing. Such notice shall be deemed given upon personal delivery to the appropriate address or if sent by certified or registered mail, three (3) days after the date of mailing. </w:t>
      </w:r>
    </w:p>
    <w:p>
      <w:pPr>
        <w:pStyle w:val="TextBody"/>
        <w:bidi w:val="0"/>
        <w:spacing w:before="240" w:after="0"/>
        <w:jc w:val="left"/>
        <w:rPr>
          <w:rFonts w:ascii="Times New Roman" w:hAnsi="Times New Roman"/>
          <w:sz w:val="20"/>
        </w:rPr>
      </w:pPr>
      <w:r>
        <w:rPr>
          <w:rFonts w:ascii="Times New Roman" w:hAnsi="Times New Roman"/>
          <w:b/>
          <w:sz w:val="20"/>
        </w:rPr>
        <w:t>12. PUBLICATION OF THIS AGREEMENT TO SUBSEQUENT EMPLOYERS OR BUSINESS ASSOCIATES OF 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If I am offered employment or the opportunity to enter into any business venture as owner, partner, consultant or other capacity while the restrictions described in Sections 5 and 6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I agree to inform the Company of all employment and business ventures which I enter into while the restrictions described in Sections 5 and 6 of this Agreement are in effect and I also authorize the Company to provide copies of this Agreement to my employer, partner, co-owner and/or others involved in managing the business with which I am employed or associated and to make such persons aware of my obligations under this Agreement. </w:t>
      </w:r>
    </w:p>
    <w:p>
      <w:pPr>
        <w:pStyle w:val="TextBody"/>
        <w:bidi w:val="0"/>
        <w:spacing w:before="240" w:after="0"/>
        <w:jc w:val="left"/>
        <w:rPr>
          <w:rFonts w:ascii="Times New Roman" w:hAnsi="Times New Roman"/>
          <w:sz w:val="20"/>
        </w:rPr>
      </w:pPr>
      <w:r>
        <w:rPr>
          <w:rFonts w:ascii="Times New Roman" w:hAnsi="Times New Roman"/>
          <w:b/>
          <w:sz w:val="20"/>
        </w:rPr>
        <w:t>13. 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sz w:val="20"/>
        </w:rPr>
        <w:t xml:space="preserve">Governing Law; Consent to Personal Jurisdiction. </w:t>
      </w:r>
      <w:r>
        <w:rPr>
          <w:rFonts w:ascii="Times New Roman" w:hAnsi="Times New Roman"/>
          <w:sz w:val="20"/>
        </w:rPr>
        <w:t xml:space="preserve">This Agreement will be governed by and construed according to the laws of the State of New York as such laws are applied to agreements entered into and to be performed entirely within New York between New York residents. I hereby expressly consent to the personal jurisdiction and venue of the state and federal courts located in the State of New York for any lawsuit filed there against me by Company arising from or related to this Agreement.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You will be entitled to be indemnified by the Company against any claims brought against you arising from your employment with, or provision of services to, the Company or any of its subsidiaries or affiliates, and to have your defense expenses promptly advanced subject to a repayment obligation as required by law, to the maximum extent provided in the Company’s articles of incorporation, by-laws and applicable law (each in effect as of the date hereof or as may be subsequently amended to provide you with more favorable treatment), and to be covered by the Company’s directors and officers liability policy, in the same manner and to the same extent as other current and former officers and directors of the Company.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sz w:val="20"/>
        </w:rPr>
        <w:t xml:space="preserve">Severability. </w:t>
      </w:r>
      <w:r>
        <w:rPr>
          <w:rFonts w:ascii="Times New Roman" w:hAnsi="Times New Roman"/>
          <w:sz w:val="20"/>
        </w:rPr>
        <w:t xml:space="preserve">In case any one or more of the provisions, subsections, or sentences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This Agreement is for my benefit and the benefit of the Company, its successors, assigns, parent corporations, subsidiaries, affiliates, and purchasers, and will be binding upon my heirs, executors, administrators and other legal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6"/>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13.5</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The provisions of this Agreement shall survive the termination of my employment, regardless of the reason, and the assignment of this Agreement by the Company to any successor in interest or other assignee.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xml:space="preserve"> </w:t>
      </w:r>
      <w:r>
        <w:rPr>
          <w:rFonts w:ascii="Times New Roman" w:hAnsi="Times New Roman"/>
          <w:b/>
          <w:sz w:val="20"/>
        </w:rPr>
        <w:t>Employment At-Will.</w:t>
      </w:r>
      <w:r>
        <w:rPr>
          <w:rFonts w:ascii="Times New Roman" w:hAnsi="Times New Roman"/>
          <w:sz w:val="20"/>
        </w:rPr>
        <w:t xml:space="preserve"> I agree and understand that nothing in my offer letter with the Company shall change my at-will employment status or confer any right with respect to continuation of employment by the Company, nor shall it interfere in any way with my right or the Company’s right to terminate my employment at any time, with or without cause or advance notice, subject to the terms of this Agreement. </w:t>
      </w:r>
    </w:p>
    <w:p>
      <w:pPr>
        <w:pStyle w:val="TextBody"/>
        <w:bidi w:val="0"/>
        <w:spacing w:before="240" w:after="0"/>
        <w:jc w:val="left"/>
        <w:rPr>
          <w:rFonts w:ascii="Times New Roman" w:hAnsi="Times New Roman"/>
          <w:sz w:val="20"/>
        </w:rPr>
      </w:pPr>
      <w:r>
        <w:rPr>
          <w:rFonts w:ascii="Times New Roman" w:hAnsi="Times New Roman"/>
          <w:b/>
          <w:sz w:val="20"/>
        </w:rPr>
        <w:t>13.7</w:t>
      </w:r>
      <w:r>
        <w:rPr>
          <w:rFonts w:ascii="Times New Roman" w:hAnsi="Times New Roman"/>
          <w:sz w:val="20"/>
        </w:rPr>
        <w:t xml:space="preserve"> </w:t>
      </w:r>
      <w:r>
        <w:rPr>
          <w:rFonts w:ascii="Times New Roman" w:hAnsi="Times New Roman"/>
          <w:b/>
          <w:sz w:val="20"/>
        </w:rPr>
        <w:t>Waiver.</w:t>
      </w:r>
      <w:r>
        <w:rPr>
          <w:rFonts w:ascii="Times New Roman" w:hAnsi="Times New Roman"/>
          <w:sz w:val="20"/>
        </w:rPr>
        <w:t xml:space="preserve"> No waiver by the Company of any breach of this Agreement shall be a waiver of any preceding or succeeding breach. No waiver by the Company of any right under this Agreement shall be construed as a waiver of any other right. The Company shall not be required to give notice to enforce strict adherence to all terms of this Agreement. </w:t>
      </w:r>
    </w:p>
    <w:p>
      <w:pPr>
        <w:pStyle w:val="TextBody"/>
        <w:bidi w:val="0"/>
        <w:spacing w:before="240" w:after="0"/>
        <w:jc w:val="left"/>
        <w:rPr>
          <w:rFonts w:ascii="Times New Roman" w:hAnsi="Times New Roman"/>
          <w:sz w:val="20"/>
        </w:rPr>
      </w:pPr>
      <w:r>
        <w:rPr>
          <w:rFonts w:ascii="Times New Roman" w:hAnsi="Times New Roman"/>
          <w:b/>
          <w:sz w:val="20"/>
        </w:rPr>
        <w:t>13.8 Advice of Counsel.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The obligations pursuant to Sections 1 and 2 (except Subsection 2.7) of this Agreement shall apply to any time during which I am engaged by the Company as an employee or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effective as of the first day of my provision of services to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7"/>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HAVE READ THIS AGREEMENT CAREFULLY AND UNDERSTAND ITS TERMS. I HAVE COMPLETELY FILLED OUT </w:t>
      </w:r>
      <w:r>
        <w:rPr>
          <w:rFonts w:ascii="Times New Roman" w:hAnsi="Times New Roman"/>
          <w:i/>
          <w:sz w:val="20"/>
        </w:rPr>
        <w:t xml:space="preserve">EXHIBIT A </w:t>
      </w:r>
      <w:r>
        <w:rPr>
          <w:rFonts w:ascii="Times New Roman" w:hAnsi="Times New Roman"/>
          <w:sz w:val="20"/>
        </w:rPr>
        <w:t xml:space="preserve">TO THIS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Kenneth Mills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w:t>
            </w:r>
          </w:p>
          <w:p>
            <w:pPr>
              <w:pStyle w:val="TableContents"/>
              <w:bidi w:val="0"/>
              <w:spacing w:before="0" w:after="20"/>
              <w:jc w:val="left"/>
              <w:rPr>
                <w:rFonts w:ascii="Times New Roman" w:hAnsi="Times New Roman"/>
                <w:sz w:val="20"/>
              </w:rPr>
            </w:pPr>
            <w:r>
              <w:rPr>
                <w:rFonts w:ascii="Times New Roman" w:hAnsi="Times New Roman"/>
                <w:sz w:val="20"/>
              </w:rPr>
              <w:t>Name: Kenneth Mills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8"/>
        <w:gridCol w:w="61"/>
        <w:gridCol w:w="3353"/>
      </w:tblGrid>
      <w:tr>
        <w:trPr/>
        <w:tc>
          <w:tcPr>
            <w:tcW w:w="66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ACCEPTED AND AGREED TO BY:</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RTW Newco10, Inc.</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66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Alice Lee</w:t>
            </w:r>
          </w:p>
          <w:p>
            <w:pPr>
              <w:pStyle w:val="TableContents"/>
              <w:bidi w:val="0"/>
              <w:spacing w:before="0" w:after="20"/>
              <w:jc w:val="left"/>
              <w:rPr>
                <w:rFonts w:ascii="Times New Roman" w:hAnsi="Times New Roman"/>
                <w:sz w:val="20"/>
              </w:rPr>
            </w:pPr>
            <w:r>
              <w:rPr>
                <w:rFonts w:ascii="Times New Roman" w:hAnsi="Times New Roman"/>
                <w:sz w:val="20"/>
              </w:rPr>
              <w:t>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8"/>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PREVIOUS INVENTIONS </w:t>
      </w:r>
    </w:p>
    <w:p>
      <w:pPr>
        <w:pStyle w:val="TextBody"/>
        <w:bidi w:val="0"/>
        <w:spacing w:before="240" w:after="0"/>
        <w:jc w:val="left"/>
        <w:rPr>
          <w:rFonts w:ascii="Times New Roman" w:hAnsi="Times New Roman"/>
          <w:sz w:val="20"/>
        </w:rPr>
      </w:pPr>
      <w:r>
        <w:rPr>
          <w:rFonts w:ascii="Times New Roman" w:hAnsi="Times New Roman"/>
          <w:b/>
          <w:sz w:val="20"/>
        </w:rPr>
        <w:t>TO: RTW Newco10,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FROM: Kenneth Mills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DATE: May 28, 2026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SUBJECT: Previous Inventions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Except as listed in Section 2 below, the following is a complete list of all inventions or improvements relevant to the subject matter of my employment by </w:t>
      </w:r>
      <w:r>
        <w:rPr>
          <w:rFonts w:ascii="Times New Roman" w:hAnsi="Times New Roman"/>
          <w:b/>
          <w:sz w:val="20"/>
        </w:rPr>
        <w:t>RTW Newco10, Inc.</w:t>
      </w:r>
      <w:r>
        <w:rPr>
          <w:rFonts w:ascii="Times New Roman" w:hAnsi="Times New Roman"/>
          <w:sz w:val="20"/>
        </w:rPr>
        <w:t>, its subsidiaries, parents, affiliates, predecessors, successors and assigns (collectively, the “</w:t>
      </w:r>
      <w:r>
        <w:rPr>
          <w:rFonts w:ascii="Times New Roman" w:hAnsi="Times New Roman"/>
          <w:b/>
          <w:sz w:val="20"/>
        </w:rPr>
        <w:t>Company</w:t>
      </w:r>
      <w:r>
        <w:rPr>
          <w:rFonts w:ascii="Times New Roman" w:hAnsi="Times New Roman"/>
          <w:sz w:val="20"/>
        </w:rPr>
        <w:t xml:space="preserve">”) that have been made or conceived or first reduced to practice by me alone or jointly with others prior to my engagement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inventions or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below: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9388"/>
      </w:tblGrid>
      <w:tr>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drawing>
          <wp:inline distT="0" distB="0" distL="0" distR="0">
            <wp:extent cx="5448300" cy="146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9"/>
                    <a:stretch>
                      <a:fillRect/>
                    </a:stretch>
                  </pic:blipFill>
                  <pic:spPr bwMode="auto">
                    <a:xfrm>
                      <a:off x="0" y="0"/>
                      <a:ext cx="5448300" cy="14605"/>
                    </a:xfrm>
                    <a:prstGeom prst="rect">
                      <a:avLst/>
                    </a:prstGeom>
                  </pic:spPr>
                </pic:pic>
              </a:graphicData>
            </a:graphic>
          </wp:inline>
        </w:drawing>
      </w:r>
      <w:r>
        <w:rPr/>
        <w:t xml:space="preserve"> </w:t>
      </w:r>
      <w:r>
        <w:rPr/>
        <w:drawing>
          <wp:inline distT="0" distB="0" distL="0" distR="0">
            <wp:extent cx="5448300" cy="146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0"/>
                    <a:stretch>
                      <a:fillRect/>
                    </a:stretch>
                  </pic:blipFill>
                  <pic:spPr bwMode="auto">
                    <a:xfrm>
                      <a:off x="0" y="0"/>
                      <a:ext cx="5448300" cy="14605"/>
                    </a:xfrm>
                    <a:prstGeom prst="rect">
                      <a:avLst/>
                    </a:prstGeom>
                  </pic:spPr>
                </pic:pic>
              </a:graphicData>
            </a:graphic>
          </wp:inline>
        </w:drawing>
      </w:r>
      <w:r>
        <w:rPr/>
        <w:t xml:space="preserve"> </w:t>
      </w:r>
      <w:r>
        <w:rPr/>
        <w:drawing>
          <wp:inline distT="0" distB="0" distL="0" distR="0">
            <wp:extent cx="5448300"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1"/>
                    <a:stretch>
                      <a:fillRect/>
                    </a:stretch>
                  </pic:blipFill>
                  <pic:spPr bwMode="auto">
                    <a:xfrm>
                      <a:off x="0" y="0"/>
                      <a:ext cx="5448300" cy="14605"/>
                    </a:xfrm>
                    <a:prstGeom prst="rect">
                      <a:avLst/>
                    </a:prstGeom>
                  </pic:spPr>
                </pic:pic>
              </a:graphicData>
            </a:graphic>
          </wp:inline>
        </w:drawing>
      </w:r>
      <w:r>
        <w:rPr/>
        <w:t xml:space="preserve"> </w:t>
      </w:r>
      <w:r>
        <w:rPr/>
        <w:drawing>
          <wp:inline distT="0" distB="0" distL="0" distR="0">
            <wp:extent cx="5448300" cy="146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2"/>
                    <a:stretch>
                      <a:fillRect/>
                    </a:stretch>
                  </pic:blipFill>
                  <pic:spPr bwMode="auto">
                    <a:xfrm>
                      <a:off x="0" y="0"/>
                      <a:ext cx="5448300" cy="1460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sheets attached.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53"/>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Due to a prior confidentiality agreement, I cannot complete the disclosure under Section 1 above with respect to inventions or improvements generally listed below, the proprietary rights and duty of confidentiality with respect to which I owe to the following party(ies):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20"/>
        <w:gridCol w:w="120"/>
        <w:gridCol w:w="3124"/>
        <w:gridCol w:w="120"/>
        <w:gridCol w:w="3121"/>
      </w:tblGrid>
      <w:tr>
        <w:trPr/>
        <w:tc>
          <w:tcPr>
            <w:tcW w:w="37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7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Invention or Improvement</w:t>
            </w:r>
          </w:p>
        </w:tc>
        <w:tc>
          <w:tcPr>
            <w:tcW w:w="120" w:type="dxa"/>
            <w:tcBorders/>
            <w:vAlign w:val="bottom"/>
          </w:tcPr>
          <w:p>
            <w:pPr>
              <w:pStyle w:val="TableContents"/>
              <w:bidi w:val="0"/>
              <w:spacing w:before="0" w:after="283"/>
              <w:jc w:val="left"/>
              <w:rPr/>
            </w:pPr>
            <w:r>
              <w:rPr/>
              <w:t>  </w:t>
            </w:r>
          </w:p>
        </w:tc>
        <w:tc>
          <w:tcPr>
            <w:tcW w:w="312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Parties</w:t>
            </w:r>
          </w:p>
        </w:tc>
        <w:tc>
          <w:tcPr>
            <w:tcW w:w="120" w:type="dxa"/>
            <w:tcBorders/>
            <w:vAlign w:val="bottom"/>
          </w:tcPr>
          <w:p>
            <w:pPr>
              <w:pStyle w:val="TableContents"/>
              <w:bidi w:val="0"/>
              <w:spacing w:before="0" w:after="283"/>
              <w:jc w:val="left"/>
              <w:rPr/>
            </w:pPr>
            <w:r>
              <w:rPr/>
              <w:t>  </w:t>
            </w:r>
          </w:p>
        </w:tc>
        <w:tc>
          <w:tcPr>
            <w:tcW w:w="31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Relationship</w:t>
            </w:r>
          </w:p>
        </w:tc>
      </w:tr>
      <w:tr>
        <w:trPr/>
        <w:tc>
          <w:tcPr>
            <w:tcW w:w="3720"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31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tcPr>
          <w:p>
            <w:pPr>
              <w:pStyle w:val="TableContents"/>
              <w:bidi w:val="0"/>
              <w:spacing w:before="0" w:after="283"/>
              <w:jc w:val="left"/>
              <w:rPr>
                <w:sz w:val="4"/>
                <w:szCs w:val="4"/>
              </w:rPr>
            </w:pPr>
            <w:r>
              <w:rPr>
                <w:sz w:val="4"/>
                <w:szCs w:val="4"/>
              </w:rPr>
            </w:r>
          </w:p>
        </w:tc>
      </w:tr>
      <w:tr>
        <w:trPr/>
        <w:tc>
          <w:tcPr>
            <w:tcW w:w="3720"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31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tcPr>
          <w:p>
            <w:pPr>
              <w:pStyle w:val="TableContents"/>
              <w:bidi w:val="0"/>
              <w:spacing w:before="0" w:after="283"/>
              <w:jc w:val="left"/>
              <w:rPr>
                <w:sz w:val="4"/>
                <w:szCs w:val="4"/>
              </w:rPr>
            </w:pPr>
            <w:r>
              <w:rPr>
                <w:sz w:val="4"/>
                <w:szCs w:val="4"/>
              </w:rPr>
            </w:r>
          </w:p>
        </w:tc>
      </w:tr>
      <w:tr>
        <w:trPr/>
        <w:tc>
          <w:tcPr>
            <w:tcW w:w="3720"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31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sheets attached.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TextBody"/>
        <w:bidi w:val="0"/>
        <w:spacing w:before="0" w:after="0"/>
        <w:jc w:val="right"/>
        <w:rPr>
          <w:rFonts w:ascii="Times New Roman" w:hAnsi="Times New Roman"/>
          <w:b/>
          <w:sz w:val="20"/>
        </w:rPr>
      </w:pPr>
      <w:bookmarkStart w:id="275" w:name="filename11.htm"/>
      <w:bookmarkStart w:id="276" w:name="ksfilename11"/>
      <w:bookmarkEnd w:id="275"/>
      <w:bookmarkEnd w:id="276"/>
      <w:r>
        <w:rPr>
          <w:rFonts w:ascii="Times New Roman" w:hAnsi="Times New Roman"/>
          <w:b/>
          <w:sz w:val="20"/>
        </w:rPr>
        <w:t xml:space="preserve">Exhibit 23.3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Lucid Capital Markets, LLC </w:t>
      </w:r>
    </w:p>
    <w:p>
      <w:pPr>
        <w:pStyle w:val="TextBody"/>
        <w:bidi w:val="0"/>
        <w:spacing w:before="240" w:after="0"/>
        <w:jc w:val="left"/>
        <w:rPr>
          <w:rFonts w:ascii="Times New Roman" w:hAnsi="Times New Roman"/>
          <w:sz w:val="20"/>
        </w:rPr>
      </w:pPr>
      <w:r>
        <w:rPr>
          <w:rFonts w:ascii="Times New Roman" w:hAnsi="Times New Roman"/>
          <w:sz w:val="20"/>
        </w:rPr>
        <w:t xml:space="preserve">August 31,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S-4 of Boundless Bio, Inc.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our opinion letter, dated June 21, 2026, to the Board of Directors of Boundless Bio, Inc. (“BOLD”) as Annex E to, and to the reference thereto under the headings “Prospectus Summary — Opinion of Boundless’ Financial Advisor” and “The Merger — Opinion of Boundless’ Financial Advisor” in the proxy statement/prospectus relating to the proposed merger involving BOLD and Serapha Bio, Inc. (“Serapha”), which such proxy statement/prospectus forms a part of BOLD’s and Serapha’s Registration Statement on Form S-4 (the “Registration Statement”) to be filed on the date hereof, which this consent is filed as an exhibit thereto.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drawing>
                <wp:inline distT="0" distB="0" distL="0" distR="0">
                  <wp:extent cx="1232535" cy="18986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54"/>
                          <a:stretch>
                            <a:fillRect/>
                          </a:stretch>
                        </pic:blipFill>
                        <pic:spPr bwMode="auto">
                          <a:xfrm>
                            <a:off x="0" y="0"/>
                            <a:ext cx="1232535" cy="189865"/>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283"/>
              <w:jc w:val="left"/>
              <w:rPr/>
            </w:pPr>
            <w:r>
              <w:rPr/>
              <w:t>LUCID CAPITAL MARKETS, LLC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LUCID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570 Lexington Ave, 40th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right"/>
        <w:rPr>
          <w:rFonts w:ascii="Times New Roman" w:hAnsi="Times New Roman"/>
          <w:b/>
          <w:sz w:val="20"/>
        </w:rPr>
      </w:pPr>
      <w:bookmarkStart w:id="277" w:name="filename12.htm"/>
      <w:bookmarkStart w:id="278" w:name="ksfilename12"/>
      <w:bookmarkEnd w:id="277"/>
      <w:bookmarkEnd w:id="278"/>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03"/>
        <w:gridCol w:w="504"/>
        <w:gridCol w:w="3075"/>
      </w:tblGrid>
      <w:tr>
        <w:trPr/>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Mills</w:t>
            </w:r>
          </w:p>
        </w:tc>
      </w:tr>
      <w:tr>
        <w:trPr/>
        <w:tc>
          <w:tcPr>
            <w:tcW w:w="4082" w:type="dxa"/>
            <w:gridSpan w:val="3"/>
            <w:tcBorders/>
          </w:tcPr>
          <w:p>
            <w:pPr>
              <w:pStyle w:val="TableContents"/>
              <w:bidi w:val="0"/>
              <w:spacing w:before="0" w:after="283"/>
              <w:jc w:val="left"/>
              <w:rPr/>
            </w:pPr>
            <w:r>
              <w:rPr/>
              <w:t>Name: Kenneth Mills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August 31, 2026</w:t>
            </w:r>
          </w:p>
        </w:tc>
      </w:tr>
      <w:tr>
        <w:trPr/>
        <w:tc>
          <w:tcPr>
            <w:tcW w:w="4082" w:type="dxa"/>
            <w:gridSpan w:val="3"/>
            <w:tcBorders/>
          </w:tcPr>
          <w:p>
            <w:pPr>
              <w:pStyle w:val="TableContents"/>
              <w:bidi w:val="0"/>
              <w:spacing w:before="0" w:after="283"/>
              <w:jc w:val="left"/>
              <w:rPr/>
            </w:pPr>
            <w:r>
              <w:rPr/>
              <w:t>Date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7.jpeg"/><Relationship Id="rId14" Type="http://schemas.openxmlformats.org/officeDocument/2006/relationships/image" Target="media/image12.jpeg"/><Relationship Id="rId15" Type="http://schemas.openxmlformats.org/officeDocument/2006/relationships/hyperlink" Target="http://www.sec.gov/Archives/edgar/data/1782303/000119312524084736/d796750dex31.htm" TargetMode="External"/><Relationship Id="rId16" Type="http://schemas.openxmlformats.org/officeDocument/2006/relationships/hyperlink" Target="http://www.sec.gov/Archives/edgar/data/1782303/000119312524084736/d796750dex32.htm" TargetMode="External"/><Relationship Id="rId17" Type="http://schemas.openxmlformats.org/officeDocument/2006/relationships/hyperlink" Target="http://www.sec.gov/Archives/edgar/data/1782303/000119312524073230/d493037dex41.htm" TargetMode="External"/><Relationship Id="rId18" Type="http://schemas.openxmlformats.org/officeDocument/2006/relationships/hyperlink" Target="http://www.sec.gov/Archives/edgar/data/1782303/000119312524060708/d493037dex42.htm" TargetMode="External"/><Relationship Id="rId19" Type="http://schemas.openxmlformats.org/officeDocument/2006/relationships/hyperlink" Target="http://www.sec.gov/Archives/edgar/data/1782303/000119312526278570/d159021dex104.htm" TargetMode="External"/><Relationship Id="rId20" Type="http://schemas.openxmlformats.org/officeDocument/2006/relationships/hyperlink" Target="http://www.sec.gov/Archives/edgar/data/1782303/000119312524060708/d493037dex101.htm" TargetMode="External"/><Relationship Id="rId21" Type="http://schemas.openxmlformats.org/officeDocument/2006/relationships/hyperlink" Target="http://www.sec.gov/Archives/edgar/data/1782303/000119312524073230/d493037dex102.htm" TargetMode="External"/><Relationship Id="rId22" Type="http://schemas.openxmlformats.org/officeDocument/2006/relationships/hyperlink" Target="http://www.sec.gov/Archives/edgar/data/1782303/000119312524073230/d493037dex103.htm" TargetMode="External"/><Relationship Id="rId23" Type="http://schemas.openxmlformats.org/officeDocument/2006/relationships/hyperlink" Target="http://www.sec.gov/Archives/edgar/data/1782303/000119312526213321/bold-ex10_1.htm" TargetMode="External"/><Relationship Id="rId24" Type="http://schemas.openxmlformats.org/officeDocument/2006/relationships/hyperlink" Target="http://www.sec.gov/Archives/edgar/data/1782303/000119312526339093/bold-ex10_5.htm" TargetMode="External"/><Relationship Id="rId25" Type="http://schemas.openxmlformats.org/officeDocument/2006/relationships/hyperlink" Target="http://www.sec.gov/Archives/edgar/data/1782303/000119312526339093/bold-ex10_6.htm" TargetMode="External"/><Relationship Id="rId26" Type="http://schemas.openxmlformats.org/officeDocument/2006/relationships/hyperlink" Target="http://www.sec.gov/Archives/edgar/data/1782303/000119312526339093/bold-ex10_7.htm" TargetMode="External"/><Relationship Id="rId27" Type="http://schemas.openxmlformats.org/officeDocument/2006/relationships/hyperlink" Target="http://www.sec.gov/Archives/edgar/data/1782303/000119312526339093/bold-ex10_8.htm" TargetMode="External"/><Relationship Id="rId28" Type="http://schemas.openxmlformats.org/officeDocument/2006/relationships/hyperlink" Target="http://www.sec.gov/Archives/edgar/data/1782303/000119312526339093/bold-ex10_9.htm" TargetMode="External"/><Relationship Id="rId29" Type="http://schemas.openxmlformats.org/officeDocument/2006/relationships/hyperlink" Target="http://www.sec.gov/Archives/edgar/data/1782303/000119312524060708/d493037dex1017.htm" TargetMode="External"/><Relationship Id="rId30" Type="http://schemas.openxmlformats.org/officeDocument/2006/relationships/hyperlink" Target="http://www.sec.gov/Archives/edgar/data/1782303/000119312524060708/d493037dex1018.htm" TargetMode="External"/><Relationship Id="rId31" Type="http://schemas.openxmlformats.org/officeDocument/2006/relationships/hyperlink" Target="http://www.sec.gov/Archives/edgar/data/1782303/000119312524073230/d493037dex1019.htm" TargetMode="External"/><Relationship Id="rId32" Type="http://schemas.openxmlformats.org/officeDocument/2006/relationships/hyperlink" Target="http://www.sec.gov/Archives/edgar/data/1782303/000119312526213321/bold-ex10_2.htm" TargetMode="External"/><Relationship Id="rId33" Type="http://schemas.openxmlformats.org/officeDocument/2006/relationships/image" Target="media/image13.jpeg"/><Relationship Id="rId34" Type="http://schemas.openxmlformats.org/officeDocument/2006/relationships/image" Target="media/image13.jpeg"/><Relationship Id="rId35" Type="http://schemas.openxmlformats.org/officeDocument/2006/relationships/image" Target="media/image13.jpeg"/><Relationship Id="rId36" Type="http://schemas.openxmlformats.org/officeDocument/2006/relationships/image" Target="media/image13.jpeg"/><Relationship Id="rId37" Type="http://schemas.openxmlformats.org/officeDocument/2006/relationships/image" Target="media/image13.jpeg"/><Relationship Id="rId38" Type="http://schemas.openxmlformats.org/officeDocument/2006/relationships/image" Target="media/image13.jpeg"/><Relationship Id="rId39" Type="http://schemas.openxmlformats.org/officeDocument/2006/relationships/image" Target="media/image13.jpeg"/><Relationship Id="rId40" Type="http://schemas.openxmlformats.org/officeDocument/2006/relationships/image" Target="media/image13.jpeg"/><Relationship Id="rId41" Type="http://schemas.openxmlformats.org/officeDocument/2006/relationships/image" Target="media/image13.jpeg"/><Relationship Id="rId42" Type="http://schemas.openxmlformats.org/officeDocument/2006/relationships/image" Target="media/image13.jpeg"/><Relationship Id="rId43" Type="http://schemas.openxmlformats.org/officeDocument/2006/relationships/image" Target="media/image13.jpeg"/><Relationship Id="rId44" Type="http://schemas.openxmlformats.org/officeDocument/2006/relationships/image" Target="media/image13.jpeg"/><Relationship Id="rId45" Type="http://schemas.openxmlformats.org/officeDocument/2006/relationships/image" Target="media/image13.jpeg"/><Relationship Id="rId46" Type="http://schemas.openxmlformats.org/officeDocument/2006/relationships/image" Target="media/image13.jpeg"/><Relationship Id="rId47" Type="http://schemas.openxmlformats.org/officeDocument/2006/relationships/image" Target="media/image13.jpeg"/><Relationship Id="rId48" Type="http://schemas.openxmlformats.org/officeDocument/2006/relationships/image" Target="media/image13.jpeg"/><Relationship Id="rId49" Type="http://schemas.openxmlformats.org/officeDocument/2006/relationships/image" Target="media/image14.jpeg"/><Relationship Id="rId50" Type="http://schemas.openxmlformats.org/officeDocument/2006/relationships/image" Target="media/image14.jpeg"/><Relationship Id="rId51" Type="http://schemas.openxmlformats.org/officeDocument/2006/relationships/image" Target="media/image14.jpeg"/><Relationship Id="rId52" Type="http://schemas.openxmlformats.org/officeDocument/2006/relationships/image" Target="media/image14.jpeg"/><Relationship Id="rId53" Type="http://schemas.openxmlformats.org/officeDocument/2006/relationships/image" Target="media/image13.jpeg"/><Relationship Id="rId54" Type="http://schemas.openxmlformats.org/officeDocument/2006/relationships/image" Target="media/image15.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918</Pages>
  <Words>511634</Words>
  <Characters>2794788</Characters>
  <CharactersWithSpaces>3319548</CharactersWithSpaces>
  <Paragraphs>33381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