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 w:lineRule="exact"/>
        <w:rPr>
          <w:sz w:val="24"/>
          <w:szCs w:val="24"/>
          <w:color w:val="auto"/>
        </w:rPr>
      </w:pPr>
    </w:p>
    <w:p>
      <w:pPr>
        <w:ind w:left="4180" w:right="3280" w:hanging="4159"/>
        <w:spacing w:after="0" w:line="296" w:lineRule="auto"/>
        <w:tabs>
          <w:tab w:leader="none" w:pos="48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2025</w:t>
      </w:r>
    </w:p>
    <w:p>
      <w:pPr>
        <w:ind w:left="5500"/>
        <w:spacing w:after="0"/>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OR</w:t>
      </w:r>
    </w:p>
    <w:p>
      <w:pPr>
        <w:spacing w:after="0" w:line="44" w:lineRule="exact"/>
        <w:rPr>
          <w:sz w:val="24"/>
          <w:szCs w:val="24"/>
          <w:color w:val="auto"/>
        </w:rPr>
      </w:pPr>
    </w:p>
    <w:p>
      <w:pPr>
        <w:ind w:left="480" w:right="100" w:hanging="459"/>
        <w:spacing w:after="0" w:line="262" w:lineRule="auto"/>
        <w:tabs>
          <w:tab w:leader="none" w:pos="48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001-41989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BOUNDLESS BIO, INC.</w:t>
      </w:r>
    </w:p>
    <w:p>
      <w:pPr>
        <w:sectPr>
          <w:pgSz w:w="11900" w:h="16838" w:orient="portrait"/>
          <w:cols w:equalWidth="0" w:num="1">
            <w:col w:w="11240"/>
          </w:cols>
          <w:pgMar w:left="320" w:top="225" w:right="3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36830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8"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5"/>
          <w:szCs w:val="15"/>
          <w:b w:val="1"/>
          <w:bCs w:val="1"/>
          <w:color w:val="auto"/>
        </w:rPr>
        <w:t>Delaware</w:t>
      </w:r>
    </w:p>
    <w:p>
      <w:pPr>
        <w:ind w:left="2020"/>
        <w:spacing w:after="0" w:line="227"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5"/>
          <w:szCs w:val="15"/>
          <w:b w:val="1"/>
          <w:bCs w:val="1"/>
          <w:color w:val="auto"/>
        </w:rPr>
        <w:t>10955 Alexandria Way, Suite 100,</w:t>
      </w:r>
    </w:p>
    <w:p>
      <w:pPr>
        <w:spacing w:after="0" w:line="4"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5"/>
          <w:szCs w:val="15"/>
          <w:b w:val="1"/>
          <w:bCs w:val="1"/>
          <w:color w:val="auto"/>
        </w:rPr>
        <w:t>San Diego, CA</w:t>
      </w:r>
    </w:p>
    <w:p>
      <w:pPr>
        <w:ind w:left="17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83-0751369</w:t>
      </w:r>
    </w:p>
    <w:p>
      <w:pPr>
        <w:spacing w:after="0" w:line="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6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92121</w:t>
      </w:r>
    </w:p>
    <w:p>
      <w:pPr>
        <w:spacing w:after="0" w:line="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9" w:lineRule="exact"/>
        <w:rPr>
          <w:sz w:val="24"/>
          <w:szCs w:val="24"/>
          <w:color w:val="auto"/>
        </w:rPr>
      </w:pPr>
    </w:p>
    <w:p>
      <w:pPr>
        <w:sectPr>
          <w:pgSz w:w="11900" w:h="16838" w:orient="portrait"/>
          <w:cols w:equalWidth="0" w:num="2">
            <w:col w:w="7320" w:space="620"/>
            <w:col w:w="3300"/>
          </w:cols>
          <w:pgMar w:left="320" w:top="225" w:right="339" w:bottom="1440" w:gutter="0" w:footer="0" w:header="0"/>
          <w:type w:val="continuous"/>
        </w:sectPr>
      </w:pPr>
    </w:p>
    <w:p>
      <w:pPr>
        <w:ind w:left="342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(858) 766-9912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4720" w:type="dxa"/>
            <w:vAlign w:val="bottom"/>
          </w:tcPr>
          <w:p>
            <w:pPr>
              <w:spacing w:after="0"/>
              <w:rPr>
                <w:sz w:val="12"/>
                <w:szCs w:val="12"/>
                <w:color w:val="auto"/>
              </w:rPr>
            </w:pPr>
          </w:p>
        </w:tc>
      </w:tr>
      <w:tr>
        <w:trPr>
          <w:trHeight w:val="165"/>
        </w:trPr>
        <w:tc>
          <w:tcPr>
            <w:tcW w:w="47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00" w:type="dxa"/>
            <w:vAlign w:val="bottom"/>
          </w:tcPr>
          <w:p>
            <w:pPr>
              <w:spacing w:after="0"/>
              <w:rPr>
                <w:sz w:val="14"/>
                <w:szCs w:val="14"/>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68"/>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par value $0.0001 per share</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BOLD</w:t>
            </w:r>
          </w:p>
        </w:tc>
        <w:tc>
          <w:tcPr>
            <w:tcW w:w="100" w:type="dxa"/>
            <w:vAlign w:val="bottom"/>
          </w:tcPr>
          <w:p>
            <w:pPr>
              <w:spacing w:after="0"/>
              <w:rPr>
                <w:sz w:val="14"/>
                <w:szCs w:val="1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Nasdaq Global Select Market</w:t>
            </w:r>
          </w:p>
        </w:tc>
      </w:tr>
    </w:tbl>
    <w:p>
      <w:pPr>
        <w:ind w:left="52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11" w:lineRule="exact"/>
        <w:rPr>
          <w:sz w:val="24"/>
          <w:szCs w:val="24"/>
          <w:color w:val="auto"/>
        </w:rPr>
      </w:pPr>
    </w:p>
    <w:p>
      <w:pPr>
        <w:ind w:left="520" w:right="3920"/>
        <w:spacing w:after="0" w:line="192"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0" w:firstLine="509"/>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20" w:firstLine="509"/>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80" w:firstLine="509"/>
        <w:spacing w:after="0" w:line="23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85"/>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00" w:type="dxa"/>
            <w:vAlign w:val="bottom"/>
          </w:tcPr>
          <w:p>
            <w:pPr>
              <w:ind w:left="44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Accelerated filer</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700" w:type="dxa"/>
            <w:vAlign w:val="bottom"/>
          </w:tcPr>
          <w:p>
            <w:pPr>
              <w:ind w:left="44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700" w:type="dxa"/>
            <w:vAlign w:val="bottom"/>
          </w:tcPr>
          <w:p>
            <w:pPr>
              <w:ind w:left="44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ind w:right="400" w:firstLine="509"/>
        <w:spacing w:after="0" w:line="15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40" w:firstLine="509"/>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80" w:firstLine="509"/>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160" w:firstLine="509"/>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520"/>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26" w:lineRule="exact"/>
        <w:rPr>
          <w:sz w:val="24"/>
          <w:szCs w:val="24"/>
          <w:color w:val="auto"/>
        </w:rPr>
      </w:pPr>
    </w:p>
    <w:p>
      <w:pPr>
        <w:ind w:right="60" w:firstLine="509"/>
        <w:spacing w:after="0" w:line="224"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of the registrant was approximately $18.0 million on the last business day of the registrant’s most recently completed second fiscal quarter based on the closing price of $1.01 per share, which was the closing price of the registrant’s common stock as reported on the Nasdaq Global Select Market on such date. Shares of common stock held by each executive officer and director and by each other person who may be deemed to be an affiliate of the registrant on such date have been excluded from this computation. The determination of affiliate status for this purpose is not necessarily a conclusive determination for other purposes.</w:t>
      </w:r>
    </w:p>
    <w:p>
      <w:pPr>
        <w:spacing w:after="0" w:line="1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2, 2026 was 22,407,251.</w:t>
      </w:r>
    </w:p>
    <w:p>
      <w:pPr>
        <w:spacing w:after="0" w:line="1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4" w:lineRule="exact"/>
        <w:rPr>
          <w:sz w:val="24"/>
          <w:szCs w:val="24"/>
          <w:color w:val="auto"/>
        </w:rPr>
      </w:pPr>
    </w:p>
    <w:p>
      <w:pPr>
        <w:ind w:right="300" w:firstLine="509"/>
        <w:spacing w:after="0"/>
        <w:rPr>
          <w:sz w:val="20"/>
          <w:szCs w:val="20"/>
          <w:color w:val="auto"/>
        </w:rPr>
      </w:pPr>
      <w:r>
        <w:rPr>
          <w:rFonts w:ascii="Times New Roman" w:cs="Times New Roman" w:eastAsia="Times New Roman" w:hAnsi="Times New Roman"/>
          <w:sz w:val="13"/>
          <w:szCs w:val="13"/>
          <w:color w:val="auto"/>
        </w:rPr>
        <w:t>Certain portions of the registrant’s definitive proxy statement for the 2026 annual meeting of stockholders to be filed with the Securities and Exchange Commission not later than 120 days after the end of the fiscal year covered by this report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786130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6"/>
          </w:tcPr>
          <w:p>
            <w:pPr>
              <w:ind w:left="20"/>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28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6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0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460" w:type="dxa"/>
            <w:vAlign w:val="bottom"/>
            <w:gridSpan w:val="2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160" w:type="dxa"/>
            <w:vAlign w:val="bottom"/>
            <w:tcBorders>
              <w:bottom w:val="single" w:sz="8" w:color="0000FF"/>
            </w:tcBorders>
            <w:gridSpan w:val="25"/>
          </w:tcPr>
          <w:p>
            <w:pPr>
              <w:ind w:left="20"/>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06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[Reserved]</w:t>
            </w:r>
          </w:p>
        </w:tc>
        <w:tc>
          <w:tcPr>
            <w:tcW w:w="20" w:type="dxa"/>
            <w:vAlign w:val="bottom"/>
            <w:tcBorders>
              <w:bottom w:val="single" w:sz="8" w:color="0000EE"/>
            </w:tcBorders>
          </w:tcPr>
          <w:p>
            <w:pPr>
              <w:spacing w:after="0"/>
              <w:rPr>
                <w:sz w:val="17"/>
                <w:szCs w:val="17"/>
                <w:color w:val="auto"/>
              </w:rPr>
            </w:pPr>
          </w:p>
        </w:tc>
        <w:tc>
          <w:tcPr>
            <w:tcW w:w="8400" w:type="dxa"/>
            <w:vAlign w:val="bottom"/>
            <w:gridSpan w:val="2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6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FF"/>
            </w:tcBorders>
            <w:gridSpan w:val="12"/>
          </w:tcPr>
          <w:p>
            <w:pPr>
              <w:spacing w:after="0"/>
              <w:rPr>
                <w:sz w:val="17"/>
                <w:szCs w:val="17"/>
                <w:color w:val="auto"/>
              </w:rPr>
            </w:pPr>
          </w:p>
        </w:tc>
        <w:tc>
          <w:tcPr>
            <w:tcW w:w="27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60" w:type="dxa"/>
            <w:vAlign w:val="bottom"/>
            <w:tcBorders>
              <w:bottom w:val="single" w:sz="8" w:color="0000FF"/>
            </w:tcBorders>
            <w:gridSpan w:val="19"/>
          </w:tcPr>
          <w:p>
            <w:pPr>
              <w:ind w:left="20"/>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060" w:type="dxa"/>
            <w:vAlign w:val="bottom"/>
            <w:gridSpan w:val="7"/>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17"/>
                <w:szCs w:val="17"/>
                <w:color w:val="auto"/>
              </w:rPr>
            </w:pPr>
          </w:p>
        </w:tc>
        <w:tc>
          <w:tcPr>
            <w:tcW w:w="73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7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26"/>
          </w:tcPr>
          <w:p>
            <w:pPr>
              <w:ind w:left="20"/>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Form 10-K Summary</w:t>
            </w:r>
          </w:p>
        </w:tc>
        <w:tc>
          <w:tcPr>
            <w:tcW w:w="1600" w:type="dxa"/>
            <w:vAlign w:val="bottom"/>
            <w:tcBorders>
              <w:top w:val="single" w:sz="8" w:color="0000FF"/>
            </w:tcBorders>
            <w:gridSpan w:val="6"/>
          </w:tcPr>
          <w:p>
            <w:pPr>
              <w:spacing w:after="0"/>
              <w:rPr>
                <w:sz w:val="17"/>
                <w:szCs w:val="17"/>
                <w:color w:val="auto"/>
              </w:rPr>
            </w:pPr>
          </w:p>
        </w:tc>
        <w:tc>
          <w:tcPr>
            <w:tcW w:w="606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668"/>
        </w:trPr>
        <w:tc>
          <w:tcPr>
            <w:tcW w:w="1240" w:type="dxa"/>
            <w:vAlign w:val="bottom"/>
          </w:tcPr>
          <w:p>
            <w:pPr>
              <w:spacing w:after="0"/>
              <w:rPr>
                <w:sz w:val="24"/>
                <w:szCs w:val="24"/>
                <w:color w:val="auto"/>
              </w:rPr>
            </w:pPr>
          </w:p>
        </w:tc>
        <w:tc>
          <w:tcPr>
            <w:tcW w:w="4900" w:type="dxa"/>
            <w:vAlign w:val="bottom"/>
            <w:gridSpan w:val="21"/>
          </w:tcPr>
          <w:p>
            <w:pPr>
              <w:ind w:left="434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MARKET AND INDUSTRY DATA</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report are forward-looking statements, including statements regarding our future results of operations and financial position, our business strategy, research and development plans, the anticipated timing, costs, design, and conduct of our ongoing and planned clinical trials and preclinical studies for our extrachromosomal DNA (ecDNA) directed therapeutic candidate (ecDTx), our use of the net proceeds from the initial public offering (IPO) of our common stock, the period over which we estimate our cash position will be sufficient to fund our operations, the sufficiency of our cash position to fund achievement of milestones, including initial clinical data readout, the expected benefits of the portfolio prioritizations we recently implemented, the timing and likelihood of success, plans, and objectives of management for future operations, the potential to enter into strategic collaborations, the timing of expected clinical data readout for our ecDTx, the potential safety and therapeutic benefits of our ecDTx, the potential addressable patient populations for our ecDTx, the potential to identify additional development opportunities for our ecDTx or expand our therapeutic pipeline, the timing and likelihood of regulatory submissions, filings and approvals for our ecDTx, expected regulatory approval pathways for our ecDTx, our ability to commercialize our ecDTx, if approved, the pricing and reimbursement of our ecDTx, if approved, potential competition for our ecDTx, our intellectual property and other market exclusivity strategies, our intent regarding any strategic collaborations, licenses, or similar arrangements and the potential benefits of any such arrangements.</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“would,” “target,” or “will” or the negative of these terms or other similar expressions. Our forward-looking statements are only predictions. We have based our forward-looking statements largely on our current expectations and projections about future events and financial and other trends that we believe may affect our business, financial condition, and results of operations based upon information available to us as of the date of this report. Such information may be limited or incomplete. Forward-looking statements in this report speak only as of the date of this report and are subject to several risks, uncertainties, and assumptions, including those described in Part I, Item 1, “Business,” and Item 1A, “Risk Factors,” and Part II, Item 7, “Management’s Discussion and Analysis of Financial Condition and Results of Operations.” The events and circumstances reflected in our forward-looking statements may not be achieved or occur, and, our actual results, performance, or achievements could differ materially from those expressed or implied by our forward-looking statements. Moreover, we operate in an evolving environment. New risk factors and uncertainties may emerge from time to time, and it is not possible for management to predict all risk factors and uncertainties. Because forward-looking statements are inherently subject to risks and uncertainties, some of which cannot be predicted or quantified and some of which are beyond our control, you should not place undue reliance on any forward-looking statement.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1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similarly qualified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them.</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obtained the industry, market, and competitive position data used in this report from our own internal estimates and research, as well as from independent market research, industry, and general publications and surveys, governmental agencies, and publicly available information in addition to research, surveys, and studies conducted by third parties. The content of these third-party sources, except to the extent specifically set forth in this report, does not constitute a portion of this report and is not incorporated herein. Internal estimates are derived from publicly available information released by industry analysts and third-party sources, our internal research, and our industry experience and are based on assumptions made by us using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while we are responsible for all of the disclosure contained in this report and we believe the industry, market, and competitive position data included in this report is reliable and based on reasonable assumptions, such data involve risks and uncertainties and are subject to change based on various factors, including those discussed below under the section titled “Risk Factors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Summary” and in Part I, Item 1A, “Risk Factors.” These and other factors could cause results to differ materially from those expressed in the estimates made by the independent parties or by us.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factors summary, and other risks that we face, can be found in Part I, Item 1A., “Risk Factors,” of this Annual Report on Form 10-K, and should be carefully considered, together with other information in this report and our other filings with the U.S. Securities and Exchange Commission (SEC) before making investment decisions regarding our common stock.</w:t>
      </w:r>
    </w:p>
    <w:p>
      <w:pPr>
        <w:spacing w:after="0" w:line="74" w:lineRule="exact"/>
        <w:rPr>
          <w:sz w:val="20"/>
          <w:szCs w:val="20"/>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a failure to obtain this necessary capital when needed on acceptable terms, or at all, could force us to delay, limit, reduce or terminate our ecDTx development programs, commercialization efforts, or other operations.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have only one ecDTx in development. If we are unable to successfully develop, obtain regulatory approval, and ultimately commercialize our ecDTx,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treating cancer with oncogene amplifications by developing ecDTx directed against ecDNA is novel and unproven, and we do not know whether we will be able to develop any products of commercial value, or if competing approaches will limit the commercial value of our ecDTx.</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preclinical development involves a lengthy and expensive process with uncertain timelines and outcomes, and the results of preclinical studies and early clinical trials are not necessarily predictive of future results. Our ecDTx may not achieve favorable results in ongoing or future clinical trials or preclinical studies or receive regulatory approval on a timely basis, if at all.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difficulties or delays in the commencement or completion, or the termination or suspension, of our current or planned clinical trials or preclinical studies could result in increased costs to us, delay or limit our ability to generate revenue, or adversely affect our commercial prospects.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our ecDTx could be associated with side effects, adverse events, or other properties or safety risks, which could delay or preclude regulatory approval, cause us to suspend or discontinue clinical trials, cause us to abandon an ecDTx, limit the commercial profile of an approved label, or result in other significant negative consequences that could severely harm our business, financial condition, results of operations, and prospects.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identify predictive biomarkers to identify patient populations most likely to benefit from our ecDTx, or develop a diagnostic to enable patient selection for our ecDTx, or if we experience significant delays in doing so, we may not realize the full commercial potential of our ecDTx.</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preclinical studies, manufacture our ecDTx, package, label, ship, store, and distribute our ecDTx, and supply products used as combination agents in our clinical trials, and these third parties may not perform satisfactorily or at an acceptable cost, which could delay, prevent, or impair our development or commercialization efforts.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changes at the U.S. Food and Drug Administration (FDA), the U.S. Securities and Exchange Commission (SEC), and other government agencies, including due to government shutdowns, other funding shortages, policy changes, leadership changes, layoffs or significant personnel turnover, or public health concerns could impede development and potential marketing approval of our ecDTx and our ability to raise capital.</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their product candidates are more effective, safer, or less expensive than our ecDTx, our business and our ability to develop and successfully commercialize ecDTx may be adversely affected.</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healthcare reform legislation or regulation may increase the difficulty and cost for us to obtain coverage for and commercialize our ecDTx and may adversely affect the prices we may set.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occupy our corporate headquarters under a long-term non-cancellable lease which may limit our operating flexibility and could adversely affect our liquidity and results of operations.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strategic transactions that could impact our liquidity, increase our expenses, and divert management’s attention from other business priorities.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defend, and enforce patent or other intellectual property protection for our ecDTx or technology, or if the scope of the patent or other intellectual property protection obtained is not sufficiently broad, our competitors or other third parties could develop and commercialize products similar or identical to ours, and our ability to successfully commercialize our ecDTx may be adversely affected.</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technology systems, or those of any of our service providers, may fail or suffer security incidents and other disruptions, which could result in a material disruption of our ecDTx development programs, compromise sensitive information related to our business, or prevent us from accessing critical information, potentially exposing us to liability, or otherwise adversely affecting our business.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and price of our common stock have been and may continue to be highly volatile, and purchasers of our common stock could incur substantial losses.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the future to satisfy the applicable continued listing requirements of The Nasdaq Stock Market LLC, Nasdaq may take steps to delist our common stock.</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geopolitical events and conditions outside of our control, including market volatility, high interest rates, inflation, tariffs and other trade barriers, retaliatory measures taken by foreign countries, slowed economic growth or recession, uncertainty with respect to the federal budget and debt ceiling, potential or prolonged government shutdowns, liquidity concerns at financial institutions, supply chain disruptions, military conflicts, and other geopolitical events and instability in market and economic conditions may have serious adverse consequences on our business, financial condition, results of operations, and stock price.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terms “we,” “us,” “our,” “our company,” “Boundless Bio,” “Boundless,” or the “Company” refer to Boundless Bio, Inc. unless otherwise stated or the context otherwise requires. All information in this report is based on our fiscal year. Unless otherwise stated, references to particular years, quarters, months, or periods refer to our fiscal years ending December 31 and the associated quarters, months, and periods of those fiscal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Our mission is to be the foremost biopharma company interrogating ecDNA biology to deliver transformative therapies that improve and extend the lives of patients with previously intractable oncogene amplified cancers.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ecDNA are large circular units of nuclear DNA that are a primary mechanism of gene amplification and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without oncogene amplification. Using our proprietary Spyglass platform, we identify targets essential for ecDNA functionality in oncogene amplified cancer cells, then design and develop small molecule drugs called ecDNA-directed therapeutic candidates (ecDTx) to inhibit those targets, with the aim to prevent cancer cells from using chromosomal instability (CIN) and ecDNA amplification biology to grow, adapt, and become resistant to existing therapies. Instead of directly targeting the proteins produced by amplified oncogenes, which is the approach of traditional targeted therapies, our ecDTx are intended to be synthetic lethal in tumor cells reliant on ecDNA amplification biology. In the context of drug development, synthetic lethality is a therapeutic approach wherein using a drug to inhibit one target is lethal to cancer cells harboring a specific genetic alteration to a second target, but not lethal to healthy cells that lack the genetic alteration to the second target. Accordingly, our ecDTx are designed to preferentially kill ecDNA-enabled cancer cells, but not healthy cells. They are engineered to disrupt the underlying cellular machinery that enables ecDNA or functional amplification.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lead ecDTx, BBI-940, is a novel, oral, selective degrader that targets a previously undrugged kinesin involved in DNA segregation, including ecDNA segregation during mitosis. BBI-940 has demonstrated potent anti-tumor activity across a range of cancer cell lines and mouse xenograft models, including single-agent tumor regressions. In February 2026, we initiated a Phase 1, open-label, multicenter, first-in-human clinical trial of BBI-940 in patients with estrogen receptor positive and human epidermal growth factor receptor 2 negative, or ER+/HER2-, breast cancer who have progressed following treatment with a cyclin-dependent kinase 4 and/or 6 inhibitor, or CDK4/6 inhibitor, plus endocrine therapy, as well as patients with triple-negative breast cancer luminal androgen receptor subtype, or TNBC-LAR (clinicaltrials.gov identifier NCT07408089). We refer to this trial as KOMODO-1 (for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inesin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ral </w:t>
      </w:r>
      <w:r>
        <w:rPr>
          <w:rFonts w:ascii="Times New Roman" w:cs="Times New Roman" w:eastAsia="Times New Roman" w:hAnsi="Times New Roman"/>
          <w:sz w:val="18"/>
          <w:szCs w:val="18"/>
          <w:u w:val="single" w:color="auto"/>
          <w:color w:val="auto"/>
        </w:rPr>
        <w:t>Mo</w:t>
      </w:r>
      <w:r>
        <w:rPr>
          <w:rFonts w:ascii="Times New Roman" w:cs="Times New Roman" w:eastAsia="Times New Roman" w:hAnsi="Times New Roman"/>
          <w:sz w:val="18"/>
          <w:szCs w:val="18"/>
          <w:color w:val="auto"/>
        </w:rPr>
        <w:t xml:space="preserve">lecular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egrader for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ncology-1). In the KOMODO-1 trial, we contemplate two distinct biomarkers for patient selection, and we will retrospectively assess ecDNA status using multiple techniques for inferring ecDNA in tumor samples. We expect to have initial proof-of-concept safety and efficacy clinical data from the KOMODO-1 trial of BBI-940 within our existing cash runway timeline discussed in Part II, Item 7, “Management’s Discussion and Analysis of Financial Condition and Results of Operations,” of this Annual Report on Form 10-K.</w:t>
      </w:r>
    </w:p>
    <w:p>
      <w:pPr>
        <w:spacing w:after="0" w:line="194" w:lineRule="exact"/>
        <w:rPr>
          <w:sz w:val="20"/>
          <w:szCs w:val="20"/>
          <w:color w:val="auto"/>
        </w:rPr>
      </w:pPr>
    </w:p>
    <w:p>
      <w:pPr>
        <w:jc w:val="both"/>
        <w:ind w:firstLine="581"/>
        <w:spacing w:after="0" w:line="253" w:lineRule="auto"/>
        <w:rPr>
          <w:sz w:val="20"/>
          <w:szCs w:val="20"/>
          <w:color w:val="auto"/>
        </w:rPr>
      </w:pPr>
      <w:r>
        <w:rPr>
          <w:rFonts w:ascii="Times New Roman" w:cs="Times New Roman" w:eastAsia="Times New Roman" w:hAnsi="Times New Roman"/>
          <w:sz w:val="18"/>
          <w:szCs w:val="18"/>
          <w:color w:val="auto"/>
        </w:rPr>
        <w:t xml:space="preserve">We have been investigating BBI-355, a novel, oral, selective inhibitor of checkpoint kinase 1 (CHK1) designed to target replication stress in oncogene amplified cancers in a first-in-human Phase 1/2 clinical trial in patients with oncogene amplified cancers that we refer to as POTENTIATE (for Precision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ncology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rial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valuating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ovel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herapeutic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nterrupting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mplifications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ied to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cDNA) (clinicaltrials.gov identifier NCT05827614). In the POTENTIATE trial, we used an internally developed ecDNA diagnostic clinical trial assay, which we refer to as ECHO (</w:t>
      </w:r>
      <w:r>
        <w:rPr>
          <w:rFonts w:ascii="Times New Roman" w:cs="Times New Roman" w:eastAsia="Times New Roman" w:hAnsi="Times New Roman"/>
          <w:sz w:val="18"/>
          <w:szCs w:val="18"/>
          <w:u w:val="single" w:color="auto"/>
          <w:color w:val="auto"/>
        </w:rPr>
        <w:t>ec</w:t>
      </w:r>
      <w:r>
        <w:rPr>
          <w:rFonts w:ascii="Times New Roman" w:cs="Times New Roman" w:eastAsia="Times New Roman" w:hAnsi="Times New Roman"/>
          <w:sz w:val="18"/>
          <w:szCs w:val="18"/>
          <w:color w:val="auto"/>
        </w:rPr>
        <w:t xml:space="preserve">DNA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arboring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ncogenes), to detect ecDNA in patient tumor samples by analyzing genomic data from routine next generation sequencing (NGS) tests. In May 2025, we announced that we discontinued the monotherapy arm and combination arms of BBI-355 with third-party targeted therapies in the POTENTIATE trial based on initial trial data. During 2025, we have been winding down those initial arms of the POTENTIATE trial. We had been continuing to investigate BBI-355 in combination with BBI-825, a novel oral, selective inhibitor of ribonucleotide reductase (RNR) designed to target ecDNA assembly and repair; however, in January 2026, following a strategic portfolio review, we elected to cease enrollment of the POTENTIATE trial due to market considerations, clinical data, and prioritization of our BBI-940 program.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Pipeline and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88265</wp:posOffset>
            </wp:positionV>
            <wp:extent cx="6172200" cy="1388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Spyglass is our proprietary platform that leverages ecDNA biology to identify new cancer drug targets. These targets span multiple, diverse synthetic lethal nodes in oncogene amplified cancers. In addition to the ecDTx programs described above, we have preclinically validated multiple additional targets and conducted ecDTx drug discovery efforts to identify candidates against certain targets.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unique development approach has several potential benefits for patients, including:</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oncogene amplified cancers, a type of cancer without effective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patient populations most likely to benefit from our ecDTx by using a biomarker-driven approach;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employing a tumor-agnostic development strategy, as appropriate, focusing on oncogene amplified cancers across a broad range of tumor types and amplified oncogene drivers.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consider ourselves to be the world’s leading ecDNA company. To our knowledge, we are the first company developing new cancer medicines directed at amplification biology and ecDNA function and the only company to date to bring an ecDTx into the clinic. All of our ecDTx have been discovered internally, and we retain global rights for all of our programs. Our efforts build on the work of our scientific founders and advisors, including Dr. Paul Mischel, who is a globally recognized leader in the ecDNA field, having authored more than 30 peer-reviewed publications on ecDNA and the team leader for the National Institute of Health’s (NIH) and Cancer Research United Kingdom’s (CRUK) Cancer Grand Challenges team devoted to ecDNA and its role in cancer. Dr. Mischel is the Chairman of our Scientific Advisory Board.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mission is to be the foremost biopharma company interrogating ecDNA biology to deliver transformative therapies that improve and extend the lives of patients with previously intractable oncogene amplified cancers. To accomplish this mission, our strategy is to leverage our unique expertise in ecDNA biology and its role in oncogene amplified cancer to pioneer the discovery, development, and commercialization of novel ecDTx for these patients who are not successfully treated by existing therapeutic options. The principal components of our strategy are to:</w:t>
      </w:r>
    </w:p>
    <w:p>
      <w:pPr>
        <w:spacing w:after="0" w:line="68" w:lineRule="exact"/>
        <w:rPr>
          <w:sz w:val="20"/>
          <w:szCs w:val="20"/>
          <w:color w:val="auto"/>
        </w:rPr>
      </w:pPr>
    </w:p>
    <w:p>
      <w:pPr>
        <w:jc w:val="both"/>
        <w:ind w:left="102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our lead ecDTx, BBI-940, a novel, oral kinesin degrader through clinical development and regulatory approval in patients with metastatic breast cancer. </w:t>
      </w:r>
      <w:r>
        <w:rPr>
          <w:rFonts w:ascii="Times New Roman" w:cs="Times New Roman" w:eastAsia="Times New Roman" w:hAnsi="Times New Roman"/>
          <w:sz w:val="18"/>
          <w:szCs w:val="18"/>
          <w:color w:val="auto"/>
        </w:rPr>
        <w:t>Through Spyglass, we have gained a deeper understanding of unique ecDNA segregation mechanisms during cell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division and identified a kinesin target essential for ecDNA segregation and inheritance, whose inhibition is synthetic lethal to certain chromosomally unstable and ecDNA enabled cancer cells. This program is directed to this kinesin, which is a member of a family of known druggable proteins, but for which there are no approved drugs and to our knowledge no other publicly disclosed drug discovery efforts. In February 2026, we initiated the first-in-human KOMODO-1 trial of BBI-940 in patients with ER+/HER2- breast cancer who have progressed following treatment with a CDK4/6 inhibitor, plus endocrine therapy, as well as patients with TNBC-LAR, and we expect to have initial proof-of-concept safety and efficacy clinical data within our existing cash runway.</w:t>
      </w:r>
    </w:p>
    <w:p>
      <w:pPr>
        <w:spacing w:after="0" w:line="76"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Leverage Spyglass to potentially identify additional development opportunities for BBI-940 and expand our therapeutic pipeline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utilize Spyglass to identify and interrogate targets that exploit cellular vulnerabilities of oncogene amplified cancers. Our target identification efforts have revealed multiple distinct nodes of vulnerability within the lifecycle of ecDNA. We continuously incorporate new models, tools, and technologies into our Spyglass platform to identify novel points of synthetic lethality in oncogene amplified cancers. In addition to our programs described above, we have preclinically validated multiple additional targets and have historically initiated ecDTx drug discovery efforts to identify potential candidates against such targets. We continue to deploy Spyglass to inform development of BBI-940 and potential complementary targets or assets that we may wish to acquire or internally develop in the future.</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Opportunistically pursue strategic collaborations to accelerate development timelines and maximize the commercial potential of our ecDTx. </w:t>
      </w:r>
      <w:r>
        <w:rPr>
          <w:rFonts w:ascii="Times New Roman" w:cs="Times New Roman" w:eastAsia="Times New Roman" w:hAnsi="Times New Roman"/>
          <w:sz w:val="18"/>
          <w:szCs w:val="18"/>
          <w:color w:val="auto"/>
        </w:rPr>
        <w:t>The large number of potential intervention points in the ecDNA life cycle identified by our Spyglass platform has the potential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us with more targets, ecDTx, and clinical development strategies than we may be able to pursue on our own. We believe this abundance of potential treatment opportunities may provide an opportunity for potential strategic collaborations involving our targets, our ecDTx, or our Spyglass platform to maximize the patient benefit and long-term value of our research and development portfolio.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 and Team</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company was founded in 2018 by a leading healthcare investor, ARCH Venture Partners, and the world’s leading academic researchers in the burgeoning field of ecDNA. One of our scientific co-founders, Paul Mischel, M.D., Institute Scholar ChEM-H and Vice Chair of Research and Professor for the Department of Pathology at Stanford University, and member of the National Academy of Medicine, is internationally recognized for his expertise in ecDNA and cancer biology. Dr. Mischel serves as the Chairman of our Scientific Advisory Board.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other scientific co-founders include:</w:t>
      </w:r>
    </w:p>
    <w:p>
      <w:pPr>
        <w:spacing w:after="0" w:line="117" w:lineRule="exact"/>
        <w:rPr>
          <w:sz w:val="20"/>
          <w:szCs w:val="20"/>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Vineet Bafna, Ph.D., Professor of Computer Science &amp; Engineering at the University of California, San Diego; co-founder of Digital Proteomics; current member of our Scientific Advisory Board.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Howard Chang, M.D., Ph.D., Senior Vice President of Research and Chief Scientific Officer at Amgen, former Director of the Center for Personal Dynamic Regulomes and the Virginia and D.K. Ludwig Professor of Cancer Genomics at Stanford University; co-founder of Accent Therapeutics, Cartography Biosciences, Epinomics, and Orbital Therapeutics; former Howard Hughes Medical Investigator; member of the National Academy of Sciences.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 Cravatt, Ph.D., Professor and Gilula Chair in Biology and Chemistry at The Scripps Research Institute; co-founder of Abide Therapeutics, ActiveX Biosciences, Belharra Therapeutics, and Vividion Therapeutics; recipient of the 2022 Wolf Prize for chemistry; member of the National Academy of Sciences; current member of our Scientific Advisory Board.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Prashant Mali, Ph.D., Professor of Bioengineering at the University of California, San Diego; co-founder of Navega Therapeutics and Shape Therapeutics.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Roel Verhaak, Ph.D., Harvey and Kate Cushing Professor in the Department of Neurosurgery at Yale University School of Medicine.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One of our industry co-founders is Jonathan Lim, M.D., Co-founder, CEO, and Chairman of Erasca, Venture Partner at ARCH Venture Partners, and former Co-founder and CEO of Ignyta. Dr. Lim serves as the Chairman of our Board of Directors.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support of our mission to deliver the world’s first ecDTx to patients with oncogene amplified cancers, we have assembled a highly qualified management team with deep experience in precision oncology, drug discovery and development, diagnostic development, company building, capital raising, and strategic partnerships and acquisitions. This team hails from leading oncology-focused organizations such as Ignyta, Sierra Oncology, Halozyme Therapeutics, and Rain Oncology and from leading pharmaceutical companies such as Genentech/Roche.</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management team is led by our President and Chief Executive Officer, Zachary Hornby, who formerly served as Chief Operating Officer and Chief Financial Officer at Ignyta (acquired by Roche/Genentech). At Ignyta, he led the operational team that developed Rozlytrek®, which is globally approved and commercialized for patients with </w:t>
      </w:r>
      <w:r>
        <w:rPr>
          <w:rFonts w:ascii="Times New Roman" w:cs="Times New Roman" w:eastAsia="Times New Roman" w:hAnsi="Times New Roman"/>
          <w:sz w:val="18"/>
          <w:szCs w:val="18"/>
          <w:i w:val="1"/>
          <w:iCs w:val="1"/>
          <w:color w:val="auto"/>
        </w:rPr>
        <w:t>NTRK+</w:t>
      </w:r>
      <w:r>
        <w:rPr>
          <w:rFonts w:ascii="Times New Roman" w:cs="Times New Roman" w:eastAsia="Times New Roman" w:hAnsi="Times New Roman"/>
          <w:sz w:val="18"/>
          <w:szCs w:val="18"/>
          <w:color w:val="auto"/>
        </w:rPr>
        <w:t xml:space="preserve"> solid tumors and </w:t>
      </w:r>
      <w:r>
        <w:rPr>
          <w:rFonts w:ascii="Times New Roman" w:cs="Times New Roman" w:eastAsia="Times New Roman" w:hAnsi="Times New Roman"/>
          <w:sz w:val="18"/>
          <w:szCs w:val="18"/>
          <w:i w:val="1"/>
          <w:iCs w:val="1"/>
          <w:color w:val="auto"/>
        </w:rPr>
        <w:t>ROS1+</w:t>
      </w:r>
      <w:r>
        <w:rPr>
          <w:rFonts w:ascii="Times New Roman" w:cs="Times New Roman" w:eastAsia="Times New Roman" w:hAnsi="Times New Roman"/>
          <w:sz w:val="18"/>
          <w:szCs w:val="18"/>
          <w:color w:val="auto"/>
        </w:rPr>
        <w:t xml:space="preserve"> non-small cell lung cancer. Our Chief Scientific Officer, Chris Hassig, Ph.D., brings over 20 years of oncology research, target discovery, and drug development experience to Boundless Bio. Dr. Hassig was most recently Chief Scientific Officer at Sierra Oncology (acquired by GlaxoSmithKline) where he spearheaded research efforts for the company’s pipeline against several oncology and hematology targets. Our Chief Medical Officer, Robert Doebele, M.D., Ph.D., is a medical oncologist and previously served as Chief Medical Officer and Chief Scientific Officer at Rain Oncology, where he led the early and late-stage development of multiple oncology programs using biomarker-based, tumor-agnostic strategies.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Evolution of Precision Oncology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Cancer is the second leading cause of mortality in the United States, accounting for approximately 1,900,000 new diagnoses and 600,000 deaths on an annual basis. There are many genetic aberrations, including mutations, fusions, and amplifications that lead to the malignant cellular growth that results in cancer.</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first approved precision oncology drugs were predominately directed at the proteins produced by oncogenes hyperactivated by gene mutations or gene fusions. These drugs targeted specific types of receptor tyrosine kinases such as BCR-ABL, HER2, EGFR, ALK, and others. Since 2001, the FDA has approved more than 50 tyrosine kinase inhibitors for the treatment of cancer. This initial class of precision oncology drugs, also known as targeted therapies, generated more than $30 billion of worldwide sales in 2023. Much of the commercial success of these targeted therapies is due to their capacity to drive deeper and more durable responses than conventional chemotherapy regimens while minimizing unwanted side effects and damage to normal healthy tissues.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An evolution in the understanding of tumor biology coupled with an improved ability to segment subsets of tumors based on genomic alterations has led to the development of new therapies that transcend single tumor or organ-targeted cancers. This improved molecular understanding of cancer resulted in the approval of therapies that address specific genomic features of tumors but are tumor type agnostic; some examples are the TRK inhibitors, including entrectinib and larotrectinib, for the treatment of tumors with </w:t>
      </w:r>
      <w:r>
        <w:rPr>
          <w:rFonts w:ascii="Times New Roman" w:cs="Times New Roman" w:eastAsia="Times New Roman" w:hAnsi="Times New Roman"/>
          <w:sz w:val="18"/>
          <w:szCs w:val="18"/>
          <w:i w:val="1"/>
          <w:iCs w:val="1"/>
          <w:color w:val="auto"/>
        </w:rPr>
        <w:t>NTRK</w:t>
      </w:r>
      <w:r>
        <w:rPr>
          <w:rFonts w:ascii="Times New Roman" w:cs="Times New Roman" w:eastAsia="Times New Roman" w:hAnsi="Times New Roman"/>
          <w:sz w:val="18"/>
          <w:szCs w:val="18"/>
          <w:color w:val="auto"/>
        </w:rPr>
        <w:t xml:space="preserve"> gene fusions. This trend for tumor-agnostic indications represented a breakthrough in patient identification, drug development, clinical trial designs, and speed to market approvals, albeit benefiting relatively modest sized patient populations.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Despite these advances of the precision oncology field, treatment resistance is still an unfortunate inevitability in cancer. The predominant resistance mechanisms to targeted therapies are secondary mutations of the treatment target (e.g., </w:t>
      </w:r>
      <w:r>
        <w:rPr>
          <w:rFonts w:ascii="Times New Roman" w:cs="Times New Roman" w:eastAsia="Times New Roman" w:hAnsi="Times New Roman"/>
          <w:sz w:val="18"/>
          <w:szCs w:val="18"/>
          <w:i w:val="1"/>
          <w:iCs w:val="1"/>
          <w:color w:val="auto"/>
        </w:rPr>
        <w:t>EGFRT790M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ALKG1202R</w:t>
      </w:r>
      <w:r>
        <w:rPr>
          <w:rFonts w:ascii="Times New Roman" w:cs="Times New Roman" w:eastAsia="Times New Roman" w:hAnsi="Times New Roman"/>
          <w:sz w:val="18"/>
          <w:szCs w:val="18"/>
          <w:color w:val="auto"/>
        </w:rPr>
        <w:t>), other means of pathway activation, and oncogene or resistance gene amplifications. The quest to address resistance has given rise to a newer generation of targeted therapies and treatment modalities, mostly directed at secondary mutations and alternative pathways. However, there are still very few approved or investigational therapies in development for patients with gene amplifications.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Unmet Medical Need in Oncogene Amplified Cancers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While progress in treating cancers with other forms of oncogenic driver alterations continues to advance, patients whose cancers harbor oncogene amplifications remain a high unmet medical need. Cancers with gene amplifications are characterized by the abnormal presence of more than two copies of any gene within the human genome; when more than eight copies of a gene are present, this is often referred to as high copy number gene amplification. Genes whose activating mutation or amplification are associated with cancer are referred to as oncogenes. According to analyses of large cancer patient databases, greater than 25% of all cancer cases involve oncogene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amplifications, suggesting that in the U.S. alone the oncogene amplified cancer population may represent more than 400,000 new patients each year across multiple tumor types.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Patients whose tumors harbor oncogene amplification have significantly worse survival compared to the broader cancer population. As seen in the figure below, patients with oncogene amplifications also have significantly worse survival compared to patients with other genetic alterations of the same oncogenes.</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Cancer Patients with Oncogene Amplifications Have Worse Survival Than Those with Oncogene Mutations or Fusions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19685</wp:posOffset>
            </wp:positionV>
            <wp:extent cx="3549015" cy="3625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9015"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cBioPortal analysis using MSK-MET (N=14,674 patients) and MSK-IMPACT (N= 1,115 patients), p-value =&lt; 0.0001)</w:t>
      </w:r>
    </w:p>
    <w:p>
      <w:pPr>
        <w:spacing w:after="0" w:line="204" w:lineRule="exact"/>
        <w:rPr>
          <w:sz w:val="20"/>
          <w:szCs w:val="20"/>
          <w:color w:val="auto"/>
        </w:rPr>
      </w:pPr>
    </w:p>
    <w:p>
      <w:pPr>
        <w:jc w:val="both"/>
        <w:ind w:left="100"/>
        <w:spacing w:after="0" w:line="241" w:lineRule="auto"/>
        <w:rPr>
          <w:sz w:val="20"/>
          <w:szCs w:val="20"/>
          <w:color w:val="auto"/>
        </w:rPr>
      </w:pPr>
      <w:r>
        <w:rPr>
          <w:rFonts w:ascii="Times New Roman" w:cs="Times New Roman" w:eastAsia="Times New Roman" w:hAnsi="Times New Roman"/>
          <w:sz w:val="14"/>
          <w:szCs w:val="14"/>
          <w:color w:val="auto"/>
        </w:rPr>
        <w:t>A p-value is the probability that the reported result was achieved purely by chance, such that a p-value of less than or equal to 0.05 means that there is a less than or equal to 5% probability that the difference between the control group and the treatment group is purely due to chance. A p-value of 0.05 or less typically represents a statistically significant result. The FDA’s evidentiary standard of efficacy when evaluating the results of a clinical trial generally relies on a p-value of less than or equal to 0.05.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Despite the advancements in precision medicine and targeted therapies for these other forms of driver oncogene alterations, as well as immunotherapies for patients whose cancers lack driver oncogenes, both targeted therapies and immunotherapies have proven largely ineffective in oncogene amplified cancers.</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Examples of Commercial Targeted Therapies Not Approved for Oncogene Amplifications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6172200" cy="1920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Targeted agents that have shown efficacy in patients whose cancers are driven by other oncogene alterations, including point mutations, gene fusions, or skipping deletions, have generally failed to demonstrate robust efficacy in patients whose tumors are driven by oncogene amplification. The lack of approved therapies targeting oncogene amplified tumors exists despite extensive clinical testing of targeted agents in oncogene amplified cancer populations. Clinical studies have shown limited success in treating patients with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FGFR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CDK4</w:t>
      </w:r>
      <w:r>
        <w:rPr>
          <w:rFonts w:ascii="Times New Roman" w:cs="Times New Roman" w:eastAsia="Times New Roman" w:hAnsi="Times New Roman"/>
          <w:sz w:val="18"/>
          <w:szCs w:val="18"/>
          <w:color w:val="auto"/>
        </w:rPr>
        <w:t xml:space="preserve"> amplified solid tumors with matching molecular targeted therapies. For example, approved and clinical-stage CDK4/6 inhibitors showed only a collective 2% overall response rate (ORR) in </w:t>
      </w:r>
      <w:r>
        <w:rPr>
          <w:rFonts w:ascii="Times New Roman" w:cs="Times New Roman" w:eastAsia="Times New Roman" w:hAnsi="Times New Roman"/>
          <w:sz w:val="18"/>
          <w:szCs w:val="18"/>
          <w:i w:val="1"/>
          <w:iCs w:val="1"/>
          <w:color w:val="auto"/>
        </w:rPr>
        <w:t xml:space="preserve">CDK4 </w:t>
      </w:r>
      <w:r>
        <w:rPr>
          <w:rFonts w:ascii="Times New Roman" w:cs="Times New Roman" w:eastAsia="Times New Roman" w:hAnsi="Times New Roman"/>
          <w:sz w:val="18"/>
          <w:szCs w:val="18"/>
          <w:color w:val="auto"/>
        </w:rPr>
        <w:t>amplified tumors, and FGFR inhibitors showed only a collective 13% ORR in patients with</w:t>
      </w:r>
      <w:r>
        <w:rPr>
          <w:rFonts w:ascii="Times New Roman" w:cs="Times New Roman" w:eastAsia="Times New Roman" w:hAnsi="Times New Roman"/>
          <w:sz w:val="18"/>
          <w:szCs w:val="18"/>
          <w:i w:val="1"/>
          <w:iCs w:val="1"/>
          <w:color w:val="auto"/>
        </w:rPr>
        <w:t xml:space="preserve"> FGFR </w:t>
      </w:r>
      <w:r>
        <w:rPr>
          <w:rFonts w:ascii="Times New Roman" w:cs="Times New Roman" w:eastAsia="Times New Roman" w:hAnsi="Times New Roman"/>
          <w:sz w:val="18"/>
          <w:szCs w:val="18"/>
          <w:color w:val="auto"/>
        </w:rPr>
        <w:t>amplified tumors. This unfortunate trend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observed across several classes of targeted agents when tested in oncogene amplified tumors. In fact, despite continuous advancement of the precision oncology field, of the more than 200 FDA approved targeted therapies to date, only HER2 inhibitors and a MET antibody drug conjugate (ADC) have ever been approved for oncogene amplified or overexpressed cancer populations.</w:t>
      </w:r>
    </w:p>
    <w:p>
      <w:pPr>
        <w:spacing w:after="0" w:line="184"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FGFR Inhibitors Demonstrated Less Clinical Benefit in Patients with FGFR Amplifications Than in Patients with Other FGFR Alterations (Mutations, Fusions)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112395</wp:posOffset>
            </wp:positionV>
            <wp:extent cx="3943350" cy="2811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43350" cy="28117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presence of oncogene amplification is also associated with a lack of response when patients are treated with immunotherapies, for instance immune checkpoint inhibitors such as pembrolizumab. Furthermore, immune checkpoint inhibitors have been associated with rapid clinical worsening, known as hyper-progression, in patients with oncogene amplified tumors. There is growing evidence that oncogene amplifications could be one of the mechanisms that cancers use to escape immune surveillance or alter the tumor immune environment to avoid being eliminated by the immune system.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extrachromosomal DNA in Oncogene Amplified Cancers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Chromosomal instability and tumor variability, or heterogeneity, account for many failures of targeted therapies in patients with cancer. Oncogene amplification is a consequence of chromosomal instability, arising through either numerical and/or structural alterations in chromosomes including the formation of ecDNA. It has long been recognized that oncogenes can be amplified not only on chromosomes but also on ecDNA. However, the frequency, importance, and specific role of ecDNA in cancer biology has not been well understood until recently. We believe the emerging science of ecDNA, first elucidated by our scientific founders and now the core focus of our Company, brings a new understanding of oncogene amplifications in cancer.</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ecDNA are cancer-specific, circular fragments of genomic DNA that often encode full-length genes and regulatory regions such as promoters. ecDNA are physically separate from chromosomes, but still reside in the nucleus, and have unique properties that make them a common cellular mechanism for oncogene amplification. ecDNA often range in size from 2-5 megabase pairs in length and are visible through various forms of microscopy, as seen in the figure below. They have been observed in cancer cells by pathologists for more than 60 years, but until recently their function was unclear.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Microscopy Images of Chromosomes and ecDNA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88265</wp:posOffset>
            </wp:positionV>
            <wp:extent cx="3831590" cy="1946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3159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Some of the most common driver oncogenes, such as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FGFR</w:t>
      </w:r>
      <w:r>
        <w:rPr>
          <w:rFonts w:ascii="Times New Roman" w:cs="Times New Roman" w:eastAsia="Times New Roman" w:hAnsi="Times New Roman"/>
          <w:sz w:val="18"/>
          <w:szCs w:val="18"/>
          <w:color w:val="auto"/>
        </w:rPr>
        <w:t>, etc., are found to be amplified on ecDNA and can confer a selective fitness advantage to cancer cells. Oncogenes amplified on ecDNA have several features that distinguish them from amplifications located on chromosomes, including:</w:t>
      </w:r>
    </w:p>
    <w:p>
      <w:pPr>
        <w:spacing w:after="0" w:line="63" w:lineRule="exact"/>
        <w:rPr>
          <w:sz w:val="20"/>
          <w:szCs w:val="20"/>
          <w:color w:val="auto"/>
        </w:rPr>
      </w:pPr>
    </w:p>
    <w:p>
      <w:pPr>
        <w:jc w:val="both"/>
        <w:ind w:left="1020" w:hanging="503"/>
        <w:spacing w:after="0" w:line="26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Overexpression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Genes on ecDNA behave differently from genes on chromosomes because ecDNA are not properly regulated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epigenetic level. ecDNA have a circular structure that is less tightly compacted compared to chromosomes, allowing easier access to their DNA. Easier access of the DNA to the cellular transcriptional machinery results in highly transcriptionally active genes that are often more actively expressed than genes located on chromosomes.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Heterogeneity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ecDNA lack centromeres, a critical regulatory component of chromosomal segregation in cell division. Thus, in contrast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chromosomes, ecDNA can segregate unequally during cell division. This property supports a non-Mendelian inheritance pattern for ecDNA, enabling extreme gene copy number changes in relatively few cell divisions and extensive copy number heterogeneity, thereby driving rapid adaptability and tumor evolution.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These features distinguish oncogene amplification on ecDNA from other forms of oncogenic alterations and uniquely enable amplification-dependent, ecDNA-enabled tumors to rapidly adapt and evade therapeutics such as targeted therapies.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Circular Shape of ecDNA Enhances Transcriptional Activity, Leading to High Oncogene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88265</wp:posOffset>
            </wp:positionV>
            <wp:extent cx="3891915" cy="2777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9191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ecDNA Are Inherited via a Non-Mendelian Pattern, Leading to Genomic Heterogeneity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156845</wp:posOffset>
            </wp:positionV>
            <wp:extent cx="5194935" cy="2357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9493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Until recently, the presence of ecDNA in cancer was thought to be a rare event of unclear significance. Then, in 2014, it was demonstrated that ecDNA-enabled gene amplifications are a primary driver of oncogenesis and play a critical role in driving tumor heterogeneity and enabling resistance to targeted therapies. In 2017, it was further demonstrated that ecDNA-enabled gene amplifications were observed in many human cancer types but almost never found in normal cells. More recent publications have shown ecDNA-enabled gene amplifications to be present in 14 to 17% of cancer patients, suggesting an incident population of approximately 750,000 new patients each year in the major addressable markets of the United States, European Union, and Japan, of which approximately 200,000 new patients are in the United States each year. More than half of all cancer cases with high-copy number gene amplification (copy number value &gt;8) have been observed to be in association with ecDNA.</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Incident Population of Cancer Patients with ecDNA in the United States, European Union, and Japan is Estimated to be 750,000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88265</wp:posOffset>
            </wp:positionV>
            <wp:extent cx="2648585" cy="2837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4858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seen in the figure below, many of the most aggressive tumor types contain the highest prevalence of ecDNA, including approximately 60% of glioblastomas and approximately 50% of liposarcomas. In fact, based on an analysis of several data sets including The Cancer Genome Atlas (TCGA), Pan-Cancer Analysis of Whole Genomes (PCAWG), and Genomics England (GEL), ecDNA was observed in more than 25% of cases from many different tumor types including: glioblastoma, liposarcoma, esophageal/upper gastrointestinal cancer, ovarian cancer, bladder cancer, lung squamous cancer, head and neck cancer, breast cancer, and gastric cancer.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ecDNA Occur Broadly Across Tumor Types but Not in Normal Healthy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88265</wp:posOffset>
            </wp:positionV>
            <wp:extent cx="5958205" cy="2091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5820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Unfortunately, as seen in the figure below, patients whose cancers harbor oncogene amplifications experience significantly shorter survival than cancer patients whose tumors are driven by other molecular alterations, such as mutations or fusions. Due to ecDNA’s unique properties in cancer cells, patients with ecDNA-enabled oncogene amplification experience even worse survival than patients whose cancers harbor other forms of oncogene amplifications. This data strongly indicate that patients with oncogene amplified cancers, including those with ecDNA, are in dire need of a new therapeutic paradigm.</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Patients with Oncogene Amplification on ecDNA Have Worse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88265</wp:posOffset>
            </wp:positionV>
            <wp:extent cx="3480435" cy="2477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8043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ecDNA in Cancer’s Resistance to Therapy</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remarkable genomic plasticity of ecDNA-enabled tumors enables cancers to resist therapies by rapidly adapting their oncogene levels, or by switching their oncogenic drivers all together.</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ecDNA’s role in enabling resistance to molecular targeted therapies has become better understood through recent preclinical studies. For instance, as seen in the figure below, preclinical studies in a gastric cancer cell line containing </w:t>
      </w:r>
      <w:r>
        <w:rPr>
          <w:rFonts w:ascii="Times New Roman" w:cs="Times New Roman" w:eastAsia="Times New Roman" w:hAnsi="Times New Roman"/>
          <w:sz w:val="18"/>
          <w:szCs w:val="18"/>
          <w:i w:val="1"/>
          <w:iCs w:val="1"/>
          <w:color w:val="auto"/>
        </w:rPr>
        <w:t>FGFR2</w:t>
      </w:r>
      <w:r>
        <w:rPr>
          <w:rFonts w:ascii="Times New Roman" w:cs="Times New Roman" w:eastAsia="Times New Roman" w:hAnsi="Times New Roman"/>
          <w:sz w:val="18"/>
          <w:szCs w:val="18"/>
          <w:color w:val="auto"/>
        </w:rPr>
        <w:t xml:space="preserve"> amplified on ecDNA demonstrated that cellular resistance to the pan-FGFR inhibitor infigratinib could be driven by oncogene dependency switching from </w:t>
      </w:r>
      <w:r>
        <w:rPr>
          <w:rFonts w:ascii="Times New Roman" w:cs="Times New Roman" w:eastAsia="Times New Roman" w:hAnsi="Times New Roman"/>
          <w:sz w:val="18"/>
          <w:szCs w:val="18"/>
          <w:i w:val="1"/>
          <w:iCs w:val="1"/>
          <w:color w:val="auto"/>
        </w:rPr>
        <w:t>FGFR2</w:t>
      </w:r>
      <w:r>
        <w:rPr>
          <w:rFonts w:ascii="Times New Roman" w:cs="Times New Roman" w:eastAsia="Times New Roman" w:hAnsi="Times New Roman"/>
          <w:sz w:val="18"/>
          <w:szCs w:val="18"/>
          <w:color w:val="auto"/>
        </w:rPr>
        <w:t xml:space="preserve"> amplification on ecDNA to a new, rapid amplification of </w:t>
      </w:r>
      <w:r>
        <w:rPr>
          <w:rFonts w:ascii="Times New Roman" w:cs="Times New Roman" w:eastAsia="Times New Roman" w:hAnsi="Times New Roman"/>
          <w:sz w:val="18"/>
          <w:szCs w:val="18"/>
          <w:i w:val="1"/>
          <w:iCs w:val="1"/>
          <w:color w:val="auto"/>
        </w:rPr>
        <w:t xml:space="preserve">EGFR </w:t>
      </w:r>
      <w:r>
        <w:rPr>
          <w:rFonts w:ascii="Times New Roman" w:cs="Times New Roman" w:eastAsia="Times New Roman" w:hAnsi="Times New Roman"/>
          <w:sz w:val="18"/>
          <w:szCs w:val="18"/>
          <w:color w:val="auto"/>
        </w:rPr>
        <w:t>on ecDNA. Strikingly, this dependency was reversed back to</w:t>
      </w:r>
      <w:r>
        <w:rPr>
          <w:rFonts w:ascii="Times New Roman" w:cs="Times New Roman" w:eastAsia="Times New Roman" w:hAnsi="Times New Roman"/>
          <w:sz w:val="18"/>
          <w:szCs w:val="18"/>
          <w:i w:val="1"/>
          <w:iCs w:val="1"/>
          <w:color w:val="auto"/>
        </w:rPr>
        <w:t xml:space="preserve"> FGFR2 </w:t>
      </w:r>
      <w:r>
        <w:rPr>
          <w:rFonts w:ascii="Times New Roman" w:cs="Times New Roman" w:eastAsia="Times New Roman" w:hAnsi="Times New Roman"/>
          <w:sz w:val="18"/>
          <w:szCs w:val="18"/>
          <w:color w:val="auto"/>
        </w:rPr>
        <w:t>amplification on ecDNA under EGFR inhibitory pressure via erlotinib. In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the initial cell population was sensitive to the respective targeted therapy, resulting in short lived anti-proliferative effects lasting several weeks. Regrowth and resistance to the targeted therapies occurred coincident with switching of the oncogenes amplified on ecDNA.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Dynamic Changes in Average Oncogene Copy Number on ecDNA in Gastric Cancer Cells in Response to Sequential Targeted Therapeutic Pressure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43815</wp:posOffset>
            </wp:positionV>
            <wp:extent cx="4560570" cy="2974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6057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509"/>
        <w:spacing w:after="0" w:line="210" w:lineRule="auto"/>
        <w:rPr>
          <w:sz w:val="20"/>
          <w:szCs w:val="20"/>
          <w:color w:val="auto"/>
        </w:rPr>
      </w:pPr>
      <w:r>
        <w:rPr>
          <w:rFonts w:ascii="Times New Roman" w:cs="Times New Roman" w:eastAsia="Times New Roman" w:hAnsi="Times New Roman"/>
          <w:sz w:val="18"/>
          <w:szCs w:val="18"/>
          <w:color w:val="auto"/>
        </w:rPr>
        <w:t xml:space="preserve">Similarly, mutant oncogenes, such as </w:t>
      </w:r>
      <w:r>
        <w:rPr>
          <w:rFonts w:ascii="Times New Roman" w:cs="Times New Roman" w:eastAsia="Times New Roman" w:hAnsi="Times New Roman"/>
          <w:sz w:val="18"/>
          <w:szCs w:val="18"/>
          <w:i w:val="1"/>
          <w:iCs w:val="1"/>
          <w:color w:val="auto"/>
        </w:rPr>
        <w:t>BRAF</w:t>
      </w:r>
      <w:r>
        <w:rPr>
          <w:rFonts w:ascii="Times New Roman" w:cs="Times New Roman" w:eastAsia="Times New Roman" w:hAnsi="Times New Roman"/>
          <w:sz w:val="24"/>
          <w:szCs w:val="24"/>
          <w:i w:val="1"/>
          <w:iCs w:val="1"/>
          <w:color w:val="auto"/>
          <w:vertAlign w:val="superscript"/>
        </w:rPr>
        <w:t>V600E</w:t>
      </w:r>
      <w:r>
        <w:rPr>
          <w:rFonts w:ascii="Times New Roman" w:cs="Times New Roman" w:eastAsia="Times New Roman" w:hAnsi="Times New Roman"/>
          <w:sz w:val="18"/>
          <w:szCs w:val="18"/>
          <w:i w:val="1"/>
          <w:iCs w:val="1"/>
          <w:color w:val="auto"/>
        </w:rPr>
        <w:t>, KRAS</w:t>
      </w:r>
      <w:r>
        <w:rPr>
          <w:rFonts w:ascii="Times New Roman" w:cs="Times New Roman" w:eastAsia="Times New Roman" w:hAnsi="Times New Roman"/>
          <w:sz w:val="24"/>
          <w:szCs w:val="24"/>
          <w:i w:val="1"/>
          <w:iCs w:val="1"/>
          <w:color w:val="auto"/>
          <w:vertAlign w:val="superscript"/>
        </w:rPr>
        <w:t>G12C</w:t>
      </w:r>
      <w:r>
        <w:rPr>
          <w:rFonts w:ascii="Times New Roman" w:cs="Times New Roman" w:eastAsia="Times New Roman" w:hAnsi="Times New Roman"/>
          <w:sz w:val="18"/>
          <w:szCs w:val="18"/>
          <w:color w:val="auto"/>
        </w:rPr>
        <w:t xml:space="preserve">, etc., can be amplified on ecDNA as a resistance mechanism to corresponding targeted therapies, such as BRAF or KRAS inhibitors. For example, a mutant </w:t>
      </w:r>
      <w:r>
        <w:rPr>
          <w:rFonts w:ascii="Times New Roman" w:cs="Times New Roman" w:eastAsia="Times New Roman" w:hAnsi="Times New Roman"/>
          <w:sz w:val="18"/>
          <w:szCs w:val="18"/>
          <w:i w:val="1"/>
          <w:iCs w:val="1"/>
          <w:color w:val="auto"/>
        </w:rPr>
        <w:t>BRAF</w:t>
      </w:r>
      <w:r>
        <w:rPr>
          <w:rFonts w:ascii="Times New Roman" w:cs="Times New Roman" w:eastAsia="Times New Roman" w:hAnsi="Times New Roman"/>
          <w:sz w:val="24"/>
          <w:szCs w:val="24"/>
          <w:i w:val="1"/>
          <w:iCs w:val="1"/>
          <w:color w:val="auto"/>
          <w:vertAlign w:val="superscript"/>
        </w:rPr>
        <w:t>V600E</w:t>
      </w:r>
      <w:r>
        <w:rPr>
          <w:rFonts w:ascii="Times New Roman" w:cs="Times New Roman" w:eastAsia="Times New Roman" w:hAnsi="Times New Roman"/>
          <w:sz w:val="18"/>
          <w:szCs w:val="18"/>
          <w:color w:val="auto"/>
        </w:rPr>
        <w:t xml:space="preserve"> melanoma cell line developed ecDNA-enabled amplification of </w:t>
      </w:r>
      <w:r>
        <w:rPr>
          <w:rFonts w:ascii="Times New Roman" w:cs="Times New Roman" w:eastAsia="Times New Roman" w:hAnsi="Times New Roman"/>
          <w:sz w:val="18"/>
          <w:szCs w:val="18"/>
          <w:i w:val="1"/>
          <w:iCs w:val="1"/>
          <w:color w:val="auto"/>
        </w:rPr>
        <w:t>BRAF</w:t>
      </w:r>
      <w:r>
        <w:rPr>
          <w:rFonts w:ascii="Times New Roman" w:cs="Times New Roman" w:eastAsia="Times New Roman" w:hAnsi="Times New Roman"/>
          <w:sz w:val="24"/>
          <w:szCs w:val="24"/>
          <w:i w:val="1"/>
          <w:iCs w:val="1"/>
          <w:color w:val="auto"/>
          <w:vertAlign w:val="superscript"/>
        </w:rPr>
        <w:t>V600</w:t>
      </w:r>
      <w:r>
        <w:rPr>
          <w:rFonts w:ascii="Times New Roman" w:cs="Times New Roman" w:eastAsia="Times New Roman" w:hAnsi="Times New Roman"/>
          <w:sz w:val="24"/>
          <w:szCs w:val="24"/>
          <w:color w:val="auto"/>
          <w:vertAlign w:val="superscript"/>
        </w:rPr>
        <w:t>E</w:t>
      </w:r>
      <w:r>
        <w:rPr>
          <w:rFonts w:ascii="Times New Roman" w:cs="Times New Roman" w:eastAsia="Times New Roman" w:hAnsi="Times New Roman"/>
          <w:sz w:val="18"/>
          <w:szCs w:val="18"/>
          <w:color w:val="auto"/>
        </w:rPr>
        <w:t xml:space="preserve"> after exposure to dual BRAF/MEK inhibition. This phenomenon has also been documented in clinical cases of melanoma patients treated with an approved BRAF/MEK inhibitor regimen. Relatedly, amplification of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24"/>
          <w:szCs w:val="24"/>
          <w:i w:val="1"/>
          <w:iCs w:val="1"/>
          <w:color w:val="auto"/>
          <w:vertAlign w:val="superscript"/>
        </w:rPr>
        <w:t>G12C</w:t>
      </w:r>
      <w:r>
        <w:rPr>
          <w:rFonts w:ascii="Times New Roman" w:cs="Times New Roman" w:eastAsia="Times New Roman" w:hAnsi="Times New Roman"/>
          <w:sz w:val="18"/>
          <w:szCs w:val="18"/>
          <w:color w:val="auto"/>
        </w:rPr>
        <w:t xml:space="preserve"> on ecDNA has been reported as a clinical resistance mechanism to the KRAS</w:t>
      </w:r>
      <w:r>
        <w:rPr>
          <w:rFonts w:ascii="Times New Roman" w:cs="Times New Roman" w:eastAsia="Times New Roman" w:hAnsi="Times New Roman"/>
          <w:sz w:val="24"/>
          <w:szCs w:val="24"/>
          <w:color w:val="auto"/>
          <w:vertAlign w:val="superscript"/>
        </w:rPr>
        <w:t>G12C</w:t>
      </w:r>
      <w:r>
        <w:rPr>
          <w:rFonts w:ascii="Times New Roman" w:cs="Times New Roman" w:eastAsia="Times New Roman" w:hAnsi="Times New Roman"/>
          <w:sz w:val="18"/>
          <w:szCs w:val="18"/>
          <w:color w:val="auto"/>
        </w:rPr>
        <w:t xml:space="preserve"> inhibitor adagrasib and to the KRAS</w:t>
      </w:r>
      <w:r>
        <w:rPr>
          <w:rFonts w:ascii="Times New Roman" w:cs="Times New Roman" w:eastAsia="Times New Roman" w:hAnsi="Times New Roman"/>
          <w:sz w:val="24"/>
          <w:szCs w:val="24"/>
          <w:color w:val="auto"/>
          <w:vertAlign w:val="superscript"/>
        </w:rPr>
        <w:t>G12C</w:t>
      </w:r>
      <w:r>
        <w:rPr>
          <w:rFonts w:ascii="Times New Roman" w:cs="Times New Roman" w:eastAsia="Times New Roman" w:hAnsi="Times New Roman"/>
          <w:sz w:val="18"/>
          <w:szCs w:val="18"/>
          <w:color w:val="auto"/>
        </w:rPr>
        <w:t xml:space="preserve"> inhibitor sotorasib in combination with EGFR inhibitors; this ecDNA enabled amplification was observed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 confer resistance to both of these clinically validated KRAS</w:t>
      </w:r>
      <w:r>
        <w:rPr>
          <w:rFonts w:ascii="Times New Roman" w:cs="Times New Roman" w:eastAsia="Times New Roman" w:hAnsi="Times New Roman"/>
          <w:sz w:val="24"/>
          <w:szCs w:val="24"/>
          <w:color w:val="auto"/>
          <w:vertAlign w:val="superscript"/>
        </w:rPr>
        <w:t>G12C</w:t>
      </w:r>
      <w:r>
        <w:rPr>
          <w:rFonts w:ascii="Times New Roman" w:cs="Times New Roman" w:eastAsia="Times New Roman" w:hAnsi="Times New Roman"/>
          <w:sz w:val="18"/>
          <w:szCs w:val="18"/>
          <w:color w:val="auto"/>
        </w:rPr>
        <w:t xml:space="preserve"> inhibitors.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Treatment of Colorectal Cancer Cells with KRAS</w:t>
      </w:r>
      <w:r>
        <w:rPr>
          <w:rFonts w:ascii="Times New Roman" w:cs="Times New Roman" w:eastAsia="Times New Roman" w:hAnsi="Times New Roman"/>
          <w:sz w:val="24"/>
          <w:szCs w:val="24"/>
          <w:b w:val="1"/>
          <w:bCs w:val="1"/>
          <w:color w:val="auto"/>
          <w:vertAlign w:val="superscript"/>
        </w:rPr>
        <w:t>G12C</w:t>
      </w:r>
      <w:r>
        <w:rPr>
          <w:rFonts w:ascii="Times New Roman" w:cs="Times New Roman" w:eastAsia="Times New Roman" w:hAnsi="Times New Roman"/>
          <w:sz w:val="18"/>
          <w:szCs w:val="18"/>
          <w:b w:val="1"/>
          <w:bCs w:val="1"/>
          <w:color w:val="auto"/>
        </w:rPr>
        <w:t xml:space="preserve"> Inhibitors Generated Resistance via Amplification of </w:t>
      </w:r>
      <w:r>
        <w:rPr>
          <w:rFonts w:ascii="Times New Roman" w:cs="Times New Roman" w:eastAsia="Times New Roman" w:hAnsi="Times New Roman"/>
          <w:sz w:val="18"/>
          <w:szCs w:val="18"/>
          <w:b w:val="1"/>
          <w:bCs w:val="1"/>
          <w:i w:val="1"/>
          <w:iCs w:val="1"/>
          <w:color w:val="auto"/>
        </w:rPr>
        <w:t>KRASG12C</w:t>
      </w:r>
      <w:r>
        <w:rPr>
          <w:rFonts w:ascii="Times New Roman" w:cs="Times New Roman" w:eastAsia="Times New Roman" w:hAnsi="Times New Roman"/>
          <w:sz w:val="18"/>
          <w:szCs w:val="18"/>
          <w:b w:val="1"/>
          <w:bCs w:val="1"/>
          <w:color w:val="auto"/>
        </w:rPr>
        <w:t xml:space="preserve"> on ecDNA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-19050</wp:posOffset>
            </wp:positionV>
            <wp:extent cx="4757420" cy="3334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5742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other models, evasion of therapeutic response to the EGFR inhibitor erlotinib was facilitated by rapid loss of the population of </w:t>
      </w:r>
      <w:r>
        <w:rPr>
          <w:rFonts w:ascii="Times New Roman" w:cs="Times New Roman" w:eastAsia="Times New Roman" w:hAnsi="Times New Roman"/>
          <w:sz w:val="18"/>
          <w:szCs w:val="18"/>
          <w:i w:val="1"/>
          <w:iCs w:val="1"/>
          <w:color w:val="auto"/>
        </w:rPr>
        <w:t>EGFRvIII</w:t>
      </w:r>
      <w:r>
        <w:rPr>
          <w:rFonts w:ascii="Times New Roman" w:cs="Times New Roman" w:eastAsia="Times New Roman" w:hAnsi="Times New Roman"/>
          <w:sz w:val="18"/>
          <w:szCs w:val="18"/>
          <w:color w:val="auto"/>
        </w:rPr>
        <w:t xml:space="preserve"> amplifications on ecDNA in patient-derived glioblastoma cells, contemporaneous with occurrence of a new cell population containing </w:t>
      </w:r>
      <w:r>
        <w:rPr>
          <w:rFonts w:ascii="Times New Roman" w:cs="Times New Roman" w:eastAsia="Times New Roman" w:hAnsi="Times New Roman"/>
          <w:sz w:val="18"/>
          <w:szCs w:val="18"/>
          <w:i w:val="1"/>
          <w:iCs w:val="1"/>
          <w:color w:val="auto"/>
        </w:rPr>
        <w:t>MDM2</w:t>
      </w:r>
      <w:r>
        <w:rPr>
          <w:rFonts w:ascii="Times New Roman" w:cs="Times New Roman" w:eastAsia="Times New Roman" w:hAnsi="Times New Roman"/>
          <w:sz w:val="18"/>
          <w:szCs w:val="18"/>
          <w:color w:val="auto"/>
        </w:rPr>
        <w:t xml:space="preserve"> amplification on ecDNA; this observed effect was consistent with an equivalent lack of response to EGFR inhibitors in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amplified cancer patients.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ecDNA can also facilitate resistance to therapeutic classes outside of targeted therapies. ecDNA-enabled resistance to chemotherapy was first demonstrated in a mouse cancer cell line whereby methotrexate treatment led to high amplification of </w:t>
      </w:r>
      <w:r>
        <w:rPr>
          <w:rFonts w:ascii="Times New Roman" w:cs="Times New Roman" w:eastAsia="Times New Roman" w:hAnsi="Times New Roman"/>
          <w:sz w:val="18"/>
          <w:szCs w:val="18"/>
          <w:i w:val="1"/>
          <w:iCs w:val="1"/>
          <w:color w:val="auto"/>
        </w:rPr>
        <w:t>DHFR</w:t>
      </w:r>
      <w:r>
        <w:rPr>
          <w:rFonts w:ascii="Times New Roman" w:cs="Times New Roman" w:eastAsia="Times New Roman" w:hAnsi="Times New Roman"/>
          <w:sz w:val="18"/>
          <w:szCs w:val="18"/>
          <w:color w:val="auto"/>
        </w:rPr>
        <w:t xml:space="preserve"> on ecDNA, which was lost upon removal of methotrexate. Similar instances of </w:t>
      </w:r>
      <w:r>
        <w:rPr>
          <w:rFonts w:ascii="Times New Roman" w:cs="Times New Roman" w:eastAsia="Times New Roman" w:hAnsi="Times New Roman"/>
          <w:sz w:val="18"/>
          <w:szCs w:val="18"/>
          <w:i w:val="1"/>
          <w:iCs w:val="1"/>
          <w:color w:val="auto"/>
        </w:rPr>
        <w:t>DHFR</w:t>
      </w:r>
      <w:r>
        <w:rPr>
          <w:rFonts w:ascii="Times New Roman" w:cs="Times New Roman" w:eastAsia="Times New Roman" w:hAnsi="Times New Roman"/>
          <w:sz w:val="18"/>
          <w:szCs w:val="18"/>
          <w:color w:val="auto"/>
        </w:rPr>
        <w:t xml:space="preserve"> ecDNA amplification have been recapitulated in multiple human cancer cell lines. Furthermore, amplification of drug efflux pump genes on ecDNA, including the family of ABC transporters, has been observed to facilitate resistance to various chemotherapies and other modalities.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Collectively, these data highlight the striking genomic plasticity and precipitous rise and fall of ecDNA-enabled gene amplification that both drives oncogenesis and enables cancer cells to adapt to various therapeutic pressures, leading to rapid resistance. The rapid adaptability afforded by ecDNA-enabled genomic plasticity, including oncogene switching, helps account for the failure of targeted therapies against oncogene amplification-driven tumors, as well as amplification-driven resistance, resulting in a futile, clinical ‘whack-a-mole’ phenomenon. Despite the development and approvals of more potent and selective targeted therapies, rates of resistance via oncogene amplification continue to increase and remain a large unmet need for patients, agnostic to tumor type or molecular driver, as seen in the table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Increased Rates of Resistance via Oncogene Amplification in Next-Generation Cancer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156845</wp:posOffset>
            </wp:positionV>
            <wp:extent cx="5023485" cy="1825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2348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a new and differentiated strategy is needed to interfere with the underlying ecDNA biology that engenders tumor adaptability, heterogeneity, and therapeutic resistance.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Treating ecDNA-Enabled Cancer</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aspire to improve clinical outcomes for patients with oncogene amplified cancer by identifying targets essential for the formation and function of ecDNA in cancer cells, then designing and developing drugs to inhibit those targets. As described above, ecDNA contribute to oncogenesis by facilitating high copy number gene amplification and expression and to therapeutic resistance by providing rapid genomic plasticity. While cancer cells can use chromosomal instability and ecDNA-enabled amplification for certain advantages, their reliance on ecDNA can also expose them to potential vulnerabilities. We use our proprietary Spyglass platform to interrogate ecDNA biology in cancer with the goal of identifying these vulnerabilities in the form of cellular targets that are essential for oncogene amplified tumor cell survival.</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explore the ecDNA lifecycle to identify nodes of synthetic lethality in cancers reliant on amplification biology. In contrast to current precision medicine approaches that focus on targeting proteins that result directly from mutations or fusions of oncogenes such as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BRAF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ALK</w:t>
      </w:r>
      <w:r>
        <w:rPr>
          <w:rFonts w:ascii="Times New Roman" w:cs="Times New Roman" w:eastAsia="Times New Roman" w:hAnsi="Times New Roman"/>
          <w:sz w:val="18"/>
          <w:szCs w:val="18"/>
          <w:color w:val="auto"/>
        </w:rPr>
        <w:t>, our precision medicine approach centers on disrupting ecDNA functionality in the cancer cells of patients who are genomically selected based on the presence of ecDNA-enabled amplification in their tumors. Instead of targeting the specific protein products of the oncogenes encoded by ecDNA, our novel small molecule ecDTx are designed to inhibit cellular machinery proteins that enable ecDNA to function properly, such as those critical for ecDNA formation, expression, replication, repair, and segregation.</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developing our ecDTx to be administered as a single agent and in combination with other therapies. The rationale for a combination approach is based on the observation described above that applying targeted therapy, or other therapeutic pressure, to cancer cells can cause them to respond and adapt via increased reliance on ecDNA. We believe this increased reliance on ecDNA for survival makes the cancer cells more susceptible to our ecDTx. We liken this phenomenon to a cellular vice grip concept, as the targeted therapy pushes the surviving cancer cell population to higher reliance on ecDNA, and the ecDTx kills the cancer cells that most rely on ecDNA to survive. Our therapeutic approach is based on the concept of synthetic lethality and uses a strategy to interfere with cancer’s ability to employ amplification biology to grow, adapt, and survive.</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While targeting ecDNA biology is a novel approach to cancer treatment, our ecDTx drug discovery and development process is rooted in traditional small molecule drug discovery methodology.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Spyglass Platform</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built our proprietary Spyglass platform to identify specific, druggable targets essential to ecDNA formation and function in cancer cells. To our knowledge, Spyglass is the only platform for identifying ecDNA-enabled vulnerabilities in cancer. We preclinically validate each drug target through our purpose-built validation funnel consisting of multiple oncogene amplified cancer models. The targets that we identify and preclinically validate represent synthetic lethalities for oncogene amplified or other chromosomally unstable tumors.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Spyglass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156845</wp:posOffset>
            </wp:positionV>
            <wp:extent cx="5143500" cy="2468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Spyglass consists of the following elements:</w:t>
      </w:r>
    </w:p>
    <w:p>
      <w:pPr>
        <w:spacing w:after="0" w:line="113" w:lineRule="exact"/>
        <w:rPr>
          <w:sz w:val="20"/>
          <w:szCs w:val="20"/>
          <w:color w:val="auto"/>
        </w:rPr>
      </w:pPr>
    </w:p>
    <w:p>
      <w:pPr>
        <w:jc w:val="both"/>
        <w:ind w:left="1020" w:right="2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Model Systems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heavily curated library of oncogene amplified cancer model systems, including ecDNA-enabled models, and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models. This library consists of approximately 2,000 well characterized cancer models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of which approximately 300 are in-house, including:</w:t>
      </w:r>
    </w:p>
    <w:p>
      <w:pPr>
        <w:spacing w:after="0" w:line="66"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panel of ecDNA-enabled models, representing multiple different tumor types, such as breast, colorectal, gastric, prostate cancer, and sarcoma and multiple different oncodriver amplifications such as </w:t>
      </w:r>
      <w:r>
        <w:rPr>
          <w:rFonts w:ascii="Times New Roman" w:cs="Times New Roman" w:eastAsia="Times New Roman" w:hAnsi="Times New Roman"/>
          <w:sz w:val="18"/>
          <w:szCs w:val="18"/>
          <w:i w:val="1"/>
          <w:iCs w:val="1"/>
          <w:color w:val="auto"/>
        </w:rPr>
        <w:t>AR</w:t>
      </w:r>
      <w:r>
        <w:rPr>
          <w:rFonts w:ascii="Times New Roman" w:cs="Times New Roman" w:eastAsia="Times New Roman" w:hAnsi="Times New Roman"/>
          <w:sz w:val="18"/>
          <w:szCs w:val="18"/>
          <w:color w:val="auto"/>
        </w:rPr>
        <w:t xml:space="preserve">, CCND1, </w:t>
      </w:r>
      <w:r>
        <w:rPr>
          <w:rFonts w:ascii="Times New Roman" w:cs="Times New Roman" w:eastAsia="Times New Roman" w:hAnsi="Times New Roman"/>
          <w:sz w:val="18"/>
          <w:szCs w:val="18"/>
          <w:i w:val="1"/>
          <w:iCs w:val="1"/>
          <w:color w:val="auto"/>
        </w:rPr>
        <w:t>CCNE1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FGFR1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FGFR2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CDK4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MYC</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panel of matched control lines of various other states of chromosomal instability and gene amplification ranging from no amplification to chromosomal forms of amplification;</w:t>
      </w:r>
    </w:p>
    <w:p>
      <w:pPr>
        <w:spacing w:after="0" w:line="53"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ecDNA-enabled models consist of both “driver oncogene amplified systems” where ecDNA is a primary driver of oncogenesis and “treatment induced resistance systems” where ecDNA becomes the dominant resistance mechanism under therapeutic pressure, such as targeted therapy or chemotherapy; and</w:t>
      </w:r>
    </w:p>
    <w:p>
      <w:pPr>
        <w:spacing w:after="0" w:line="6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models, including cell derived (CDX) and patient derived (PDX) tumor xenografts.</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Analytical Tools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suite of custom-built analytical tools designed to detect, quantify, characterize, monitor, and perturb ecDNA, including:</w:t>
      </w:r>
    </w:p>
    <w:p>
      <w:pPr>
        <w:spacing w:after="0" w:line="12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tools for visual detection and monitoring of ecDNA;</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sequencing tools coupled to our proprietary analytical methods to detect, quantify, and characterize ecDNA; and</w:t>
      </w:r>
    </w:p>
    <w:p>
      <w:pPr>
        <w:spacing w:after="0" w:line="117"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 genome and custom built CRISPR libraries and shRNA to analyze the biology of oncogene and resistance gene amplified cancer cells.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Bioinformatics Data – </w:t>
      </w:r>
      <w:r>
        <w:rPr>
          <w:rFonts w:ascii="Times New Roman" w:cs="Times New Roman" w:eastAsia="Times New Roman" w:hAnsi="Times New Roman"/>
          <w:sz w:val="18"/>
          <w:szCs w:val="18"/>
          <w:color w:val="auto"/>
        </w:rPr>
        <w:t>Large databases to understand amplification biology, including:</w:t>
      </w:r>
    </w:p>
    <w:p>
      <w:pPr>
        <w:spacing w:after="0" w:line="121"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databases to support target identification, target validation, biological pathway mapping, model library expansion, biomarker discovery, and preliminary indication finding; and</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databases of cancer patient genomic data and clinical outcome data to validate preclinical findings and help us identify tumor indications representing the largest opportunity and highest unmet need for our novel ecDTx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Analytical Tools for Model Characterization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156845</wp:posOffset>
            </wp:positionV>
            <wp:extent cx="5434965" cy="26403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3496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680"/>
        <w:spacing w:after="0" w:line="270" w:lineRule="auto"/>
        <w:rPr>
          <w:sz w:val="20"/>
          <w:szCs w:val="20"/>
          <w:color w:val="auto"/>
        </w:rPr>
      </w:pPr>
      <w:r>
        <w:rPr>
          <w:rFonts w:ascii="Times New Roman" w:cs="Times New Roman" w:eastAsia="Times New Roman" w:hAnsi="Times New Roman"/>
          <w:sz w:val="16"/>
          <w:szCs w:val="16"/>
          <w:i w:val="1"/>
          <w:iCs w:val="1"/>
          <w:color w:val="auto"/>
        </w:rPr>
        <w:t>WES – whole exome sequencing; SNV – single nucleotide variant; CNV – copy number variation; MSI – microsatellite instability; Indel – insertion and deletion; ECHO – propriety ecDNA diagnostic; ECS – ecDNA solution; RUO – research use only; LP: low-pass; WGS – whole genome sequencing; AA</w:t>
      </w:r>
    </w:p>
    <w:p>
      <w:pPr>
        <w:spacing w:after="0" w:line="1" w:lineRule="exact"/>
        <w:rPr>
          <w:sz w:val="20"/>
          <w:szCs w:val="20"/>
          <w:color w:val="auto"/>
        </w:rPr>
      </w:pPr>
    </w:p>
    <w:p>
      <w:pPr>
        <w:ind w:left="660" w:right="1260"/>
        <w:spacing w:after="0" w:line="288" w:lineRule="auto"/>
        <w:rPr>
          <w:sz w:val="20"/>
          <w:szCs w:val="20"/>
          <w:color w:val="auto"/>
        </w:rPr>
      </w:pPr>
      <w:r>
        <w:rPr>
          <w:rFonts w:ascii="Times New Roman" w:cs="Times New Roman" w:eastAsia="Times New Roman" w:hAnsi="Times New Roman"/>
          <w:sz w:val="16"/>
          <w:szCs w:val="16"/>
          <w:i w:val="1"/>
          <w:iCs w:val="1"/>
          <w:color w:val="auto"/>
        </w:rPr>
        <w:t>– amplicon architect; SV – structural variation; mFISH – metaphase fluorescence in situ hybridization; iFISH – interphase fluorescence in situ hybridization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 Identification and Validation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Through Spyglass, we have developed a sophisticated understanding of amplification biology, including ecDNA biology, and key cellular mechanisms that facilitate tumor growth and development of resistance to therapeutic treatments. This understanding has given us new insight on how to disrupt amplification biology and cancer cell growth. Through multiple screening methods, we have identified several potential targets that differ not only by class, but also in the role the target plays in the formation and function of ecDNA in cancer cells.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 complement our target identification approach, we have established a robust target validation funnel through which all our candidate targets must pass before we declare them as targets suitable for initiation of drug discovery efforts. This target validation funnel consists of:</w:t>
      </w:r>
    </w:p>
    <w:p>
      <w:pPr>
        <w:spacing w:after="0" w:line="54"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differential single agent sensitivity in multi cell line panels of matched ecDNA positive (ecDNA+) and ecDNA negative (ecDNA-) cancer cell lines;</w:t>
      </w:r>
    </w:p>
    <w:p>
      <w:pPr>
        <w:spacing w:after="0" w:line="5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genetic, such as CRISPR, or pharmacologic inhibition of candidate targets in ecDNA-enabled cancer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phenotypic assessment of ecDNA function in ecDNA-enabled cancer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i w:val="1"/>
          <w:iCs w:val="1"/>
          <w:color w:val="auto"/>
        </w:rPr>
        <w:t>in vivo;</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phenotypic assessment of ecDNA location and distribution in cancer cells;</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synthetic lethality assessment, in combination with various therapeutic classes, in inducible ecDNA assays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assessments performed in multiple CDX and PDX xenograft models representing various cancer types such as breast, colorectal,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gastric, prostate cancer, and sarcoma and multiple different oncodriver amplifications such as </w:t>
      </w:r>
      <w:r>
        <w:rPr>
          <w:rFonts w:ascii="Times New Roman" w:cs="Times New Roman" w:eastAsia="Times New Roman" w:hAnsi="Times New Roman"/>
          <w:sz w:val="18"/>
          <w:szCs w:val="18"/>
          <w:i w:val="1"/>
          <w:iCs w:val="1"/>
          <w:color w:val="auto"/>
        </w:rPr>
        <w:t>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CCNE1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FGFR1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FGFR2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CDK4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MYC</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Target Identification and Validation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156845</wp:posOffset>
            </wp:positionV>
            <wp:extent cx="4371975" cy="3566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7197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targets that our platform has identified as suitable for drug discovery efforts consist of targets that are either novel, previously clinically validated but lacking approved drugs, or have approved pharmaceutical agents but nonselective to the target. There appears to be a wide range of potential targets whose inhibition impact distinct aspects of the ecDNA life cycle, including enzymatic machinery responsible for segregation, replication, transcription, and repair. Each category of targets may have differentiated benefits in terms of optimal treatment setting, efficacy, tolerability, therapeutic index, and single agent versus combination approach. In addition to targets against which we have previously initiated drug discovery efforts, we also have multiple additional preclinically validated targets that could be candidates for future drug discovery efforts. We believe that our ability to identify and pursue ecDNA-essential targets represents a unique capability for novel target identification, drug discovery, and value creation.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 and Platform</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pioneering a new and differentiated approach to precision medicine focused on developing ecDTx. Our ecDTx are novel, small molecules that target specific biological pathways believed to be essential to ecDNA function in cancer cells. Through Spyglass, we are able to better understand the lifecycle of ecDNA, including ecDNA formation, segregation, maintenance, replication, transcription, and degradation. We have identified several vulnerability nodes of ecDNA biology for therapeutic intervention.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ecDTx pipeline currently consists of three clinical stage small molecules, one of which, BBI-940, we have prioritized for ongoing development. In addition, our Spyglass platform has yielded multiple preclinically validated novel targets that could represent candidate targets for potential future drug discovery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568325</wp:posOffset>
            </wp:positionV>
            <wp:extent cx="6172200" cy="1397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220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Lead ecDTx: BBI-940 Kinesin Degrader</w:t>
      </w:r>
    </w:p>
    <w:p>
      <w:pPr>
        <w:spacing w:after="0" w:line="121"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Our lead ecDTx, BBI-940, is a novel, oral, selective kinesin degrader being developed for the treatment of patients with ER+/HER2-breast cancer who have progressed following treatment with a CDK4/6 inhibitor plus endocrine therapy, as well as patients with TNBC-LAR. BBI-940 targets a specific kinesin protein, referred to here as Kinesin, that functions in chromosome alignment and proper cell division. BBI-940 is designed to exploit the heightened dependence of ecDNA-positive tumors on mitotic machinery by degrading Kinesin to induce mitotic catastrophe and cell death.</w:t>
      </w:r>
    </w:p>
    <w:p>
      <w:pPr>
        <w:spacing w:after="0" w:line="180"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BBI-940 is a targeted protein degrader that uses a heterobifunctional degrader mechanism to selectively eliminate Kinesin. BBI-940 works by linking Kinesin to the cell’s protein-degradation machinery, which is intended to result in removal of the target protein. Specifically, BBI-940 binds both Kinesin and the E3 ubiquitin ligase cereblon, facilitating ubiquitination and subsequent proteasomal degradation of Kinesin. In preclinical models, BBI-940 achieved potent, selective Kinesin degradation at low nanomolar concentrations and demonstrated greater than 200-fold selectivity versus other kinesin family members.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Kinesin Synthetic Lethality in ecDNA-Enabled Cancer Cells</w:t>
      </w:r>
    </w:p>
    <w:p>
      <w:pPr>
        <w:spacing w:after="0" w:line="121"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 xml:space="preserve">During each mammalian cell division, chromosomes must be precisely and evenly segregated to ensure proper distribution of genetic material. Errors in this process can result in chromosomal instability, or CIN, and, if unregulated, cell death. Cancer cells harboring ecDNA frequently exhibit CIN. The presence of ecDNA and associated focal amplifications, such as </w:t>
      </w:r>
      <w:r>
        <w:rPr>
          <w:rFonts w:ascii="Times New Roman" w:cs="Times New Roman" w:eastAsia="Times New Roman" w:hAnsi="Times New Roman"/>
          <w:sz w:val="18"/>
          <w:szCs w:val="18"/>
          <w:i w:val="1"/>
          <w:iCs w:val="1"/>
          <w:color w:val="auto"/>
        </w:rPr>
        <w:t>FGFR1, CCND1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MYC</w:t>
      </w:r>
      <w:r>
        <w:rPr>
          <w:rFonts w:ascii="Times New Roman" w:cs="Times New Roman" w:eastAsia="Times New Roman" w:hAnsi="Times New Roman"/>
          <w:sz w:val="18"/>
          <w:szCs w:val="18"/>
          <w:color w:val="auto"/>
        </w:rPr>
        <w:t>, increases cancer cells’ reliance on certain mitotic machinery to enable proper segregation during cell division of DNA elements that lack centromeres.</w:t>
      </w:r>
    </w:p>
    <w:p>
      <w:pPr>
        <w:spacing w:after="0" w:line="180"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Kinesin is a non-essential cellular kinesin protein that functions during mitosis by facilitating chromosome positioning at the metaphase plate, a process critical for proper segregation of genetic material during cell division. Inhibition or degradation of Kinesin in CIN cancer cells with ecDNA has been shown in pre-clinical models to result in prolonged mitosis, mis-segregation of DNA and cell death, potentially through mitotic catastrophe. We believe that targeting Kinesin in ecDNA-positive tumors may preferentially induce mitotic errors and cell death in these cancer cells while sparing normal tissues, representing a potential synthetic lethal vulnerability unique to ecDNA-positive cancer cells. To our knowledge, there are no other disclosed drug development efforts specifically targeting Kinesin.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Chromosomally Unstable ecDNA-Enabled Cancer Cells Rely on Kinesin for Inheritance of Acentric DNA, Including ecDNA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36830</wp:posOffset>
            </wp:positionV>
            <wp:extent cx="4166235" cy="21856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6623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Kinesin is a Druggable Target for ecDNA-Enabled Tumors</w:t>
      </w:r>
    </w:p>
    <w:p>
      <w:pPr>
        <w:spacing w:after="0" w:line="121"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Our preclinical research indicated that sensitivity to Kinesin degraders correlated with the presence of certain oncogene amplifications and the presence of ecDNA. In these ecDNA-positive tumor models, Kinesin played a critical role in enabling proper segregation of genetic material during cell division, making it a potential therapeutic target for tumors reliant on ecDNA-enabled oncogene amplifications. Consistent with this hypothesis, both genetic and pharmacological inactivation of Kinesin in preclinical models resulted in mis-segregation of ecDNA during metaphase and a reduction in ecDNA levels, accompanied by antiproliferative effects and cytotoxicity.</w:t>
      </w:r>
    </w:p>
    <w:p>
      <w:pPr>
        <w:spacing w:after="0" w:line="183"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In the figure below, both genetic knock-down of Kinesin using short hairpin RNA, or shRNA (top row) and pharmacologic degradation of Kinesin using a BBI-940 analog (bottom row) resulted in aggregation of ecDNA (stained with red or green FISH probes, respectively) at the metaphase plate while chromosomes (stained with blue DAPI) were segregated evenly into the two daughter cells . This effect is quantified in graphs to the right of each representative micrograph.</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Kinesin is Essential for Proper Segregation of ecDNA During Cell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786120" cy="3248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8612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BBI-940 Kinesin Degrader Profile</w:t>
      </w:r>
    </w:p>
    <w:p>
      <w:pPr>
        <w:spacing w:after="0" w:line="121" w:lineRule="exact"/>
        <w:rPr>
          <w:sz w:val="20"/>
          <w:szCs w:val="20"/>
          <w:color w:val="auto"/>
        </w:rPr>
      </w:pPr>
    </w:p>
    <w:p>
      <w:pPr>
        <w:jc w:val="both"/>
        <w:ind w:firstLine="469"/>
        <w:spacing w:after="0" w:line="235" w:lineRule="auto"/>
        <w:rPr>
          <w:sz w:val="20"/>
          <w:szCs w:val="20"/>
          <w:color w:val="auto"/>
        </w:rPr>
      </w:pPr>
      <w:r>
        <w:rPr>
          <w:rFonts w:ascii="Times New Roman" w:cs="Times New Roman" w:eastAsia="Times New Roman" w:hAnsi="Times New Roman"/>
          <w:sz w:val="18"/>
          <w:szCs w:val="18"/>
          <w:color w:val="auto"/>
        </w:rPr>
        <w:t>Through extensive testing in preclinical cancer models with ecDNA-enabled oncogene amplifications, we identified what we believe to be an optimal Kinesin degrader profile for targeting ecDNA-positive tumors and designed our lead ecDTx, BBI-940, accordingly. Notably, BBI-940 inhibited the enzymatic activity of Kinesin with a half-maximal inhibitory concentration, or IC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xml:space="preserve"> of approximately 200 nM and achieved robust cellular Kinesin degradation with a half-maximal degradation concentration, or DC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xml:space="preserve"> of approximately 1 nM, demonstrating catalytic degradation activity consistent with a heterobifunctional degrader mechanism of action. BBI-940 is highly specific for Kinesin, and demonstrated greater than 100-fold selectivity over other kinesins tested. BBI-940 also demonstrated favorable pharmacokinetic properties including oral bioavailability ranging between 28% to 49% across multiple preclinical species.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BBI-940 Kinesin Degrader In Vitro Preclinical Studies</w:t>
      </w:r>
    </w:p>
    <w:p>
      <w:pPr>
        <w:spacing w:after="0" w:line="121" w:lineRule="exact"/>
        <w:rPr>
          <w:sz w:val="20"/>
          <w:szCs w:val="20"/>
          <w:color w:val="auto"/>
        </w:rPr>
      </w:pPr>
    </w:p>
    <w:p>
      <w:pPr>
        <w:jc w:val="both"/>
        <w:ind w:right="20" w:firstLine="469"/>
        <w:spacing w:after="0" w:line="266" w:lineRule="auto"/>
        <w:rPr>
          <w:sz w:val="20"/>
          <w:szCs w:val="20"/>
          <w:color w:val="auto"/>
        </w:rPr>
      </w:pPr>
      <w:r>
        <w:rPr>
          <w:rFonts w:ascii="Times New Roman" w:cs="Times New Roman" w:eastAsia="Times New Roman" w:hAnsi="Times New Roman"/>
          <w:sz w:val="18"/>
          <w:szCs w:val="18"/>
          <w:color w:val="auto"/>
        </w:rPr>
        <w:t>Both genetic inactivation and pharmacological degradation of Kinesin in preclinical models resulted in enhanced cytotoxicity in ecDNA positive cells compared to cells lacking ecDNA, consistent with a synthetic lethal relationship between Kinesin dependence and ecDNA positivity. This synthetic lethal relationship was observed across multiple preclinical cancer models and provides the mechanistic basis for BBI-940’s therapeutic rationale.</w:t>
      </w:r>
    </w:p>
    <w:p>
      <w:pPr>
        <w:sectPr>
          <w:pgSz w:w="11900" w:h="16838" w:orient="portrait"/>
          <w:cols w:equalWidth="0" w:num="1">
            <w:col w:w="11240"/>
          </w:cols>
          <w:pgMar w:left="320" w:top="117"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69"/>
        <w:spacing w:after="0" w:line="243" w:lineRule="auto"/>
        <w:rPr>
          <w:sz w:val="20"/>
          <w:szCs w:val="20"/>
          <w:color w:val="auto"/>
        </w:rPr>
      </w:pPr>
      <w:r>
        <w:rPr>
          <w:rFonts w:ascii="Times New Roman" w:cs="Times New Roman" w:eastAsia="Times New Roman" w:hAnsi="Times New Roman"/>
          <w:sz w:val="18"/>
          <w:szCs w:val="18"/>
          <w:color w:val="auto"/>
        </w:rPr>
        <w:t>As seen in the figure below, a structural analog of BBI-940 demonstrated potent antiproliferative activity across a panel of breast cancer cell lines. Approximately one-third (1/3) of breast cancer cell lines tested showed sensitivity, defined as IC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xml:space="preserve"> ≤100 nM, to this Kinesin degrader. Sensitivity within these breast cancer cell lines correlated with ecDNA positivity. Moreover, within the ER+/HER2- cell lines, sensitivity correlated with </w:t>
      </w:r>
      <w:r>
        <w:rPr>
          <w:rFonts w:ascii="Times New Roman" w:cs="Times New Roman" w:eastAsia="Times New Roman" w:hAnsi="Times New Roman"/>
          <w:sz w:val="18"/>
          <w:szCs w:val="18"/>
          <w:i w:val="1"/>
          <w:iCs w:val="1"/>
          <w:color w:val="auto"/>
        </w:rPr>
        <w:t>FGFR1</w:t>
      </w:r>
      <w:r>
        <w:rPr>
          <w:rFonts w:ascii="Times New Roman" w:cs="Times New Roman" w:eastAsia="Times New Roman" w:hAnsi="Times New Roman"/>
          <w:sz w:val="18"/>
          <w:szCs w:val="18"/>
          <w:color w:val="auto"/>
        </w:rPr>
        <w:t xml:space="preserve"> amplification status, and within the TNBC cell lines, sensitivity correlated with androgen receptor, or AR, positivity (referred to as the LAR subtype). Taken together, these results support development of BBI-940 as a targeted therapy for selected ecDNA-positive breast cancers characterized by ER+/HER2-/</w:t>
      </w:r>
      <w:r>
        <w:rPr>
          <w:rFonts w:ascii="Times New Roman" w:cs="Times New Roman" w:eastAsia="Times New Roman" w:hAnsi="Times New Roman"/>
          <w:sz w:val="18"/>
          <w:szCs w:val="18"/>
          <w:i w:val="1"/>
          <w:iCs w:val="1"/>
          <w:color w:val="auto"/>
        </w:rPr>
        <w:t>FGFR1</w:t>
      </w:r>
      <w:r>
        <w:rPr>
          <w:rFonts w:ascii="Times New Roman" w:cs="Times New Roman" w:eastAsia="Times New Roman" w:hAnsi="Times New Roman"/>
          <w:sz w:val="18"/>
          <w:szCs w:val="18"/>
          <w:color w:val="auto"/>
        </w:rPr>
        <w:t xml:space="preserve"> amplification or the TNBC-LAR subtype.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Kinesin Degrader Sensitivity in Breast Cancer Cell Lines Correlates with ecDNA and </w:t>
      </w:r>
      <w:r>
        <w:rPr>
          <w:rFonts w:ascii="Times New Roman" w:cs="Times New Roman" w:eastAsia="Times New Roman" w:hAnsi="Times New Roman"/>
          <w:sz w:val="18"/>
          <w:szCs w:val="18"/>
          <w:b w:val="1"/>
          <w:bCs w:val="1"/>
          <w:i w:val="1"/>
          <w:iCs w:val="1"/>
          <w:color w:val="auto"/>
        </w:rPr>
        <w:t>FGFR1</w:t>
      </w:r>
      <w:r>
        <w:rPr>
          <w:rFonts w:ascii="Times New Roman" w:cs="Times New Roman" w:eastAsia="Times New Roman" w:hAnsi="Times New Roman"/>
          <w:sz w:val="18"/>
          <w:szCs w:val="18"/>
          <w:b w:val="1"/>
          <w:bCs w:val="1"/>
          <w:color w:val="auto"/>
        </w:rPr>
        <w:t xml:space="preserve"> Copy Number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200025</wp:posOffset>
            </wp:positionV>
            <wp:extent cx="4714875" cy="1808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1487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BBI-940 Kinesin Degrader In Vivo Antitumor Activity</w:t>
      </w:r>
    </w:p>
    <w:p>
      <w:pPr>
        <w:spacing w:after="0" w:line="378"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In preclinical xenograft models of ecDNA-positive breast cancer, Kinesin degradation, both as a single agent and in combination with endocrine therapy, resulted in tumor growth inhibition and tumor regressions.</w:t>
      </w:r>
    </w:p>
    <w:p>
      <w:pPr>
        <w:spacing w:after="0" w:line="162"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For example, as seen in the figure below, in a TNBC-LAR xenograft model, treatment with BBI-940 demonstrated significant antitumor activity, including regressions, compared to vehicle control.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BBI-940 Demonstrated Single Agent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b w:val="1"/>
          <w:bCs w:val="1"/>
          <w:color w:val="auto"/>
        </w:rPr>
        <w:t xml:space="preserve"> Antitumor Activity in TNBC-LAR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208280</wp:posOffset>
            </wp:positionV>
            <wp:extent cx="5306060" cy="1937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0606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As seen in the figure above, oral administration of BBI-940 resulted in dose-dependent tumor growth inhibition compared to vehicle control in an ecDNA-enabled TNBC-LAR xenograft model.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As seen in the figure below, treatment with BBI-940 also resulted in significant Kinesin degradation in tumor tissue at pharmacologically relevant doses, supporting target engagement consistent with the proposed mechanism of action.</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vivo Kinesin Degradation Following Administration of BBI-940 in TNBC-LAR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45720</wp:posOffset>
            </wp:positionV>
            <wp:extent cx="5366385" cy="2168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6638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Moreover, as seen in the figure below, combination treatment with BBI-940 plus fulvestrant resulted in enhanced tumor growth inhibition compared to either agent alone in ER+/HER2- breast cancer xenograft models. These findings support the evaluation of BBI-940 in combination with endocrine therapy as part of our clinical development strategy for patients with ER+/HER2- breast cancer.</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BBI-940 In Vivo Antitumor Activity in Combination with Fulvestrant in ER+/HER2- Breast Cancer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208280</wp:posOffset>
            </wp:positionV>
            <wp:extent cx="5426075" cy="2271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2607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BBI-940 Nonclinical Toxicology Studies</w:t>
      </w:r>
    </w:p>
    <w:p>
      <w:pPr>
        <w:spacing w:after="0" w:line="229"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We have completed good laboratory practice, or GLP, 28-day repeat-dose toxicology studies in rats and dogs to support the first-in-human KOMODO-1 trial of BBI-940. These studies evaluated the nonclinical safety profile of BBI-940 following oral administration, including assessment of treatment-related findings in target organs and reversibility of findings following cessation of dosing. The results of these studies supported the submission of the investigational new drug (IND) application for the KOMODO-1 trial of BBI-940, which was cleared by the U.S. Food and Drug Administration (FDA) in January 2026.</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BBI-940 Clinical Development Plan</w:t>
      </w:r>
    </w:p>
    <w:p>
      <w:pPr>
        <w:spacing w:after="0" w:line="229"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In February 2026, we initiated the KOMODO-1 trial, a Phase 1, open-label, multicenter, first-in-human clinical trial of BBI-940 in patients with ER+/HER2- metastatic breast cancer who have progressed following treatment with a CDK4/6 inhibitor plus endocrine therapy, as well as in patients with metastatic TNBC-LAR. We expect to have initial proof-of-concept safety and efficacy clinical data within our existing cash runway timeline discussed in Part II, Item 7, “Management’s Discussion and Analysis of Financial Condition and Results of Operations,” of this Annual Report on Form 10-K.</w:t>
      </w:r>
    </w:p>
    <w:p>
      <w:pPr>
        <w:spacing w:after="0" w:line="180"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The trial is designed to evaluate the safety and tolerability of BBI-940, characterize human pharmacokinetics, or PK, and pharmacodynamic, or PD, biomarkers, and assess preliminary antitumor activity. The trial is also intended to identify the maximum tolerated dose, or MTD, and the recommended phase 2 dose, or RP2D, of BBI-940 administered as a single agent or in combination with fulvestrant. In the trial, BBI-940 is administered orally. The trial is non-randomized and consists of two parts: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Part 1 (Dose Escalation)</w:t>
      </w:r>
    </w:p>
    <w:p>
      <w:pPr>
        <w:spacing w:after="0" w:line="119" w:lineRule="exact"/>
        <w:rPr>
          <w:sz w:val="20"/>
          <w:szCs w:val="20"/>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1A – Dose Escalation: Evaluation of BBI-940 monotherapy in dose-escalating cohorts to characterize safety and tolerability, and to identify the MTD and/or RP2D.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 1B – Backfill Cohorts: Enrollment of additional patients at doses cleared in Part 1A to further evaluate safety, PK, and PD biomarkers, including evaluation in patients with </w:t>
      </w:r>
      <w:r>
        <w:rPr>
          <w:rFonts w:ascii="Times New Roman" w:cs="Times New Roman" w:eastAsia="Times New Roman" w:hAnsi="Times New Roman"/>
          <w:sz w:val="18"/>
          <w:szCs w:val="18"/>
          <w:i w:val="1"/>
          <w:iCs w:val="1"/>
          <w:color w:val="auto"/>
        </w:rPr>
        <w:t>FGFR1</w:t>
      </w:r>
      <w:r>
        <w:rPr>
          <w:rFonts w:ascii="Times New Roman" w:cs="Times New Roman" w:eastAsia="Times New Roman" w:hAnsi="Times New Roman"/>
          <w:sz w:val="18"/>
          <w:szCs w:val="18"/>
          <w:color w:val="auto"/>
        </w:rPr>
        <w:t>-amplified tumors.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Part 2 (Dose Expansion)</w:t>
      </w:r>
    </w:p>
    <w:p>
      <w:pPr>
        <w:spacing w:after="0" w:line="119" w:lineRule="exact"/>
        <w:rPr>
          <w:sz w:val="20"/>
          <w:szCs w:val="20"/>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 2A – Combination Expansion: Evaluation of BBI-940 in combination with fulvestrant in patients with ER+/HER2- metastatic breast cancer lacking </w:t>
      </w:r>
      <w:r>
        <w:rPr>
          <w:rFonts w:ascii="Times New Roman" w:cs="Times New Roman" w:eastAsia="Times New Roman" w:hAnsi="Times New Roman"/>
          <w:sz w:val="18"/>
          <w:szCs w:val="18"/>
          <w:i w:val="1"/>
          <w:iCs w:val="1"/>
          <w:color w:val="auto"/>
        </w:rPr>
        <w:t>ESR1</w:t>
      </w:r>
      <w:r>
        <w:rPr>
          <w:rFonts w:ascii="Times New Roman" w:cs="Times New Roman" w:eastAsia="Times New Roman" w:hAnsi="Times New Roman"/>
          <w:sz w:val="18"/>
          <w:szCs w:val="18"/>
          <w:color w:val="auto"/>
        </w:rPr>
        <w:t xml:space="preserve"> mutations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 the objective of assessing safety and preliminary antitumor activity of the combination.</w:t>
      </w:r>
    </w:p>
    <w:p>
      <w:pPr>
        <w:spacing w:after="0" w:line="51"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Parts 2B and 2C – Monotherapy Expansion: Expansion cohorts evaluating BBI-940 monotherapy at the RP2D in patients with </w:t>
      </w:r>
      <w:r>
        <w:rPr>
          <w:rFonts w:ascii="Times New Roman" w:cs="Times New Roman" w:eastAsia="Times New Roman" w:hAnsi="Times New Roman"/>
          <w:sz w:val="18"/>
          <w:szCs w:val="18"/>
          <w:i w:val="1"/>
          <w:iCs w:val="1"/>
          <w:color w:val="auto"/>
        </w:rPr>
        <w:t>FGFR1</w:t>
      </w:r>
      <w:r>
        <w:rPr>
          <w:rFonts w:ascii="Times New Roman" w:cs="Times New Roman" w:eastAsia="Times New Roman" w:hAnsi="Times New Roman"/>
          <w:sz w:val="18"/>
          <w:szCs w:val="18"/>
          <w:color w:val="auto"/>
        </w:rPr>
        <w:t>-amplified tumors (Part 2B) and in patients with TNBC-LAR (Part 2C).</w:t>
      </w:r>
    </w:p>
    <w:p>
      <w:pPr>
        <w:spacing w:after="0" w:line="160"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Across all applicable cohorts, two distinct biomarker populations will be assessed, FGFR1 gene amplification in ER+/HER2- breast cancer and AR expression in TNBC, and ecDNA status will be assessed retrospectively in tumor samples using multiple techniques. We anticipate enrolling approximately 60 to 96 patients in total across all parts of the trial. If one or more cohorts demonstrate evidence of clinically meaningful antitumor activity with an acceptable safety and tolerability profile, we intend to engage with the FDA and other global regulatory authorities to discuss potential future clinical development and registrational paths.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Design of BBI-940 Phase 1 KOMODO-1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200025</wp:posOffset>
            </wp:positionV>
            <wp:extent cx="5297805" cy="2168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9780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Unmet Medical Need in ER+/HER2- Breast Cancer and TNBC-LAR</w:t>
      </w:r>
    </w:p>
    <w:p>
      <w:pPr>
        <w:spacing w:after="0" w:line="121"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 xml:space="preserve">Despite advances in treatment for ER+/HER2- metastatic breast cancer, significant unmet medical need remains. Approximately 30% of patients treated with CDK4/6 inhibitors in combination with endocrine therapy experience disease progression within the first year of treatment. Patients whose tumors harbor </w:t>
      </w:r>
      <w:r>
        <w:rPr>
          <w:rFonts w:ascii="Times New Roman" w:cs="Times New Roman" w:eastAsia="Times New Roman" w:hAnsi="Times New Roman"/>
          <w:sz w:val="18"/>
          <w:szCs w:val="18"/>
          <w:i w:val="1"/>
          <w:iCs w:val="1"/>
          <w:color w:val="auto"/>
        </w:rPr>
        <w:t>FGFR1</w:t>
      </w:r>
      <w:r>
        <w:rPr>
          <w:rFonts w:ascii="Times New Roman" w:cs="Times New Roman" w:eastAsia="Times New Roman" w:hAnsi="Times New Roman"/>
          <w:sz w:val="18"/>
          <w:szCs w:val="18"/>
          <w:color w:val="auto"/>
        </w:rPr>
        <w:t xml:space="preserve"> amplification, which is reported in approximately 10-15% of ER+ breast cancers, generally have particularly poor outcomes with currently available therapies and no approved therapies specifically directed to this alteration.</w:t>
      </w:r>
    </w:p>
    <w:p>
      <w:pPr>
        <w:spacing w:after="0" w:line="178" w:lineRule="exact"/>
        <w:rPr>
          <w:sz w:val="20"/>
          <w:szCs w:val="20"/>
          <w:color w:val="auto"/>
        </w:rPr>
      </w:pPr>
    </w:p>
    <w:p>
      <w:pPr>
        <w:jc w:val="both"/>
        <w:ind w:right="20" w:firstLine="469"/>
        <w:spacing w:after="0" w:line="267" w:lineRule="auto"/>
        <w:rPr>
          <w:sz w:val="20"/>
          <w:szCs w:val="20"/>
          <w:color w:val="auto"/>
        </w:rPr>
      </w:pPr>
      <w:r>
        <w:rPr>
          <w:rFonts w:ascii="Times New Roman" w:cs="Times New Roman" w:eastAsia="Times New Roman" w:hAnsi="Times New Roman"/>
          <w:sz w:val="18"/>
          <w:szCs w:val="18"/>
          <w:color w:val="auto"/>
        </w:rPr>
        <w:t xml:space="preserve">Focal amplifications including </w:t>
      </w:r>
      <w:r>
        <w:rPr>
          <w:rFonts w:ascii="Times New Roman" w:cs="Times New Roman" w:eastAsia="Times New Roman" w:hAnsi="Times New Roman"/>
          <w:sz w:val="18"/>
          <w:szCs w:val="18"/>
          <w:i w:val="1"/>
          <w:iCs w:val="1"/>
          <w:color w:val="auto"/>
        </w:rPr>
        <w:t>FGFR1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CCND1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MYC</w:t>
      </w:r>
      <w:r>
        <w:rPr>
          <w:rFonts w:ascii="Times New Roman" w:cs="Times New Roman" w:eastAsia="Times New Roman" w:hAnsi="Times New Roman"/>
          <w:sz w:val="18"/>
          <w:szCs w:val="18"/>
          <w:color w:val="auto"/>
        </w:rPr>
        <w:t xml:space="preserve"> are more frequently observed in treatment-resistant disease settings, and are enriched in tumors harboring ecDNA. Tumors characterized by ecDNA-driven genomic instability have been associated with increased risk of disease progression and distant recurrence, with up to 45% of such patients experiencing metastatic disease progression.</w:t>
      </w:r>
    </w:p>
    <w:p>
      <w:pPr>
        <w:spacing w:after="0" w:line="17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TNBC-LAR represents approximately 10-15% of triple-negative breast cancers and is characterized by androgen receptor expression and a luminal gene expression profile. This subtype has limited therapeutic options and generally demonstrates poor response to standard chemotherapy, representing an additional area of significant unmet need.</w:t>
      </w:r>
    </w:p>
    <w:p>
      <w:pPr>
        <w:spacing w:after="0" w:line="176"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 xml:space="preserve">We believe BBI-940, which is designed to degrade a novel kinesin protein critical to ecDNA segregation, has the potential to address significant unmet medical need in ecDNA-positive tumors, including </w:t>
      </w:r>
      <w:r>
        <w:rPr>
          <w:rFonts w:ascii="Times New Roman" w:cs="Times New Roman" w:eastAsia="Times New Roman" w:hAnsi="Times New Roman"/>
          <w:sz w:val="18"/>
          <w:szCs w:val="18"/>
          <w:i w:val="1"/>
          <w:iCs w:val="1"/>
          <w:color w:val="auto"/>
        </w:rPr>
        <w:t>FGFR1</w:t>
      </w:r>
      <w:r>
        <w:rPr>
          <w:rFonts w:ascii="Times New Roman" w:cs="Times New Roman" w:eastAsia="Times New Roman" w:hAnsi="Times New Roman"/>
          <w:sz w:val="18"/>
          <w:szCs w:val="18"/>
          <w:color w:val="auto"/>
        </w:rPr>
        <w:t xml:space="preserve"> amplified ER+/HER2- breast cancer and TNBC-LAR. By targeting a mechanism central to ecDNA-driven oncogene amplification, BBI-940 may offer a differentiated therapeutic approach for patient populations with limited options and poor outcomes on currently available therapies.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Programs</w:t>
      </w:r>
    </w:p>
    <w:p>
      <w:pPr>
        <w:spacing w:after="0" w:line="121"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 xml:space="preserve">We have been investigating BBI-355, a novel, oral, selective inhibitor of checkpoint kinase 1 (CHK1) designed to target replication stress in oncogene amplified cancers, in a first-in-human Phase 1/2 clinical trial in patients with oncogene amplified cancers that we refer to as POTENTIATE (for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recision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ncology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rial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valuating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ovel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herapeutic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nterrupting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mplifications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ied to ecDNA). In May 2025, we announced that we discontinued the monotherapy arm and combination arms of BBI-355 with third-party targeted therapies in the POTENTIATE trial based on initial trial data. During 2025, we have been winding down those initial arms of the trial. We had been continuing to investigate BBI-355 in combination with BBI-825, a novel oral, selective inhibitor of ribonucleotide reductase (RNR) designed to target ecDNA assembly and repair; however, in January 2026, following a strategic portfolio review, we elected to cease enrollment of this last arm of the POTENTIATE trial due to market considerations, clinical data, and to prioritize our BBI-940 program.</w:t>
      </w:r>
    </w:p>
    <w:p>
      <w:pPr>
        <w:spacing w:after="0" w:line="192" w:lineRule="exact"/>
        <w:rPr>
          <w:sz w:val="20"/>
          <w:szCs w:val="20"/>
          <w:color w:val="auto"/>
        </w:rPr>
      </w:pPr>
    </w:p>
    <w:p>
      <w:pPr>
        <w:jc w:val="both"/>
        <w:ind w:firstLine="469"/>
        <w:spacing w:after="0" w:line="246" w:lineRule="auto"/>
        <w:rPr>
          <w:sz w:val="20"/>
          <w:szCs w:val="20"/>
          <w:color w:val="auto"/>
        </w:rPr>
      </w:pPr>
      <w:r>
        <w:rPr>
          <w:rFonts w:ascii="Times New Roman" w:cs="Times New Roman" w:eastAsia="Times New Roman" w:hAnsi="Times New Roman"/>
          <w:sz w:val="18"/>
          <w:szCs w:val="18"/>
          <w:color w:val="auto"/>
        </w:rPr>
        <w:t xml:space="preserve">Previously, in December 2024, following an assessment of preliminary PK data, we made the strategic decision not to proceed with evaluation of BBI-825 in a first-in-human, open-label, non-randomized, 3-part, Phase 1/2 clinical trial of BBI-825 we refer to as STARMAP (for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tudy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reating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cquired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esistance: </w:t>
      </w:r>
      <w:r>
        <w:rPr>
          <w:rFonts w:ascii="Times New Roman" w:cs="Times New Roman" w:eastAsia="Times New Roman" w:hAnsi="Times New Roman"/>
          <w:sz w:val="18"/>
          <w:szCs w:val="18"/>
          <w:u w:val="single" w:color="auto"/>
          <w:color w:val="auto"/>
        </w:rPr>
        <w:t>MAP</w:t>
      </w:r>
      <w:r>
        <w:rPr>
          <w:rFonts w:ascii="Times New Roman" w:cs="Times New Roman" w:eastAsia="Times New Roman" w:hAnsi="Times New Roman"/>
          <w:sz w:val="18"/>
          <w:szCs w:val="18"/>
          <w:color w:val="auto"/>
        </w:rPr>
        <w:t xml:space="preserve">K Amplifications). In STARMAP, BBI-825 was being evaluated in patients with solid tumors, including those with </w:t>
      </w:r>
      <w:r>
        <w:rPr>
          <w:rFonts w:ascii="Times New Roman" w:cs="Times New Roman" w:eastAsia="Times New Roman" w:hAnsi="Times New Roman"/>
          <w:sz w:val="18"/>
          <w:szCs w:val="18"/>
          <w:i w:val="1"/>
          <w:iCs w:val="1"/>
          <w:color w:val="auto"/>
        </w:rPr>
        <w:t>BRAF</w:t>
      </w:r>
      <w:r>
        <w:rPr>
          <w:rFonts w:ascii="Times New Roman" w:cs="Times New Roman" w:eastAsia="Times New Roman" w:hAnsi="Times New Roman"/>
          <w:sz w:val="24"/>
          <w:szCs w:val="24"/>
          <w:i w:val="1"/>
          <w:iCs w:val="1"/>
          <w:color w:val="auto"/>
          <w:vertAlign w:val="superscript"/>
        </w:rPr>
        <w:t>V600E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24"/>
          <w:szCs w:val="24"/>
          <w:i w:val="1"/>
          <w:iCs w:val="1"/>
          <w:color w:val="auto"/>
          <w:vertAlign w:val="superscript"/>
        </w:rPr>
        <w:t>G12C</w:t>
      </w:r>
      <w:r>
        <w:rPr>
          <w:rFonts w:ascii="Times New Roman" w:cs="Times New Roman" w:eastAsia="Times New Roman" w:hAnsi="Times New Roman"/>
          <w:sz w:val="18"/>
          <w:szCs w:val="18"/>
          <w:color w:val="auto"/>
        </w:rPr>
        <w:t>mutated colorectal cancer that developed resistance oncogene amplifications. We completed the winddown of the STARMAP trial in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Spyglass Drug Discovery Platform</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Spyglass is our internal proprietary platform used to identify new targets. We utilized Spyglass to identify targets that exploit cellular vulnerabilities of oncogene amplified cancers. Our target identification efforts have revealed multiple distinct nodes of vulnerability within the lifecycle of ecDNA. We continuously incorporate new models, tools, and technologies into our Spyglass platform to identify novel points of synthetic lethality in oncogene amplified cancers. In addition to our programs described above, we have preclinically validated multiple additional targets and have historically initiated ecDTx drug discovery efforts to identify potential candidates against such targets. We continue to deploy Spyglass to inform development of BBI-940 and potential complementary targets or assets that we may wish to acquire or internally develop in the future.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Precision Medicine Approach</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Precision medicine aims to identify and treat patients with specific biomarkers to maximize the likelihood of therapeutic benefit while minimizing side effects. Each of our ecDTx advanced into the clinic to date has incorporated biomarker hypotheses, sometimes including ecDNA status, for patient selection as part of the trial design. Our KOMODO-1 trial of BBI-940 contemplates two distinct biomarkers for prospective patient selection in the Part 2 dose expansion phases and will retrospectively assess ecDNA status in tumor samples. As data from the KOMODO-1 or other potential future clinical studies mature, we intend to discuss with the FDA whether a diagnostic, including potential assessment of ecDNA status, would be appropriate or required to enable commercialization of BBI-940, if approved.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evolution of technologies and understanding of disease etiology, intense development and commercial competition, and a strong emphasis on intellectual property. We believe that our approach, strategy, scientific capabilities, know-how, and experience, particularly in the fields of ecDNA and precision oncology, provide us with competitive advantages. Nonetheless, we expect competition from multiple sources, including major biopharmaceutical, specialty pharmaceutical, and existing or emerging biotechnology companies, academic research institutions, governmental agencies, and public and private research institutions worldwide. Many of our competitors, either alone or through collaborations, have or will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companies may be or may become interested in developing ecDNA-directed therapeutic candidates and may rapidly develop programs that compete with ours by studying ecDNA at scale in the context of oncogene amplified cancer. Even if they do not advance programs with the same mechanism(s) of action as ours, these companies could develop products or product candidates that are competitive with ours or that have a superior product profile and may do so at a rapid pace. These competitors also compete with us in recruiting and retaining qualified scientific and management personnel,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9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face competition from segments of the pharmaceutical, biotechnology, and other related markets that pursue development of precision oncology therapies for patients with genetically defined cancers. In addition, we may face competition from companies developing product candidates that are based on synthetic lethality in cancer.</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antibody-drug conjugates, radiopharmaceuticals, immunotherapy, cell-based therapy, and targeted therapy, or a combination of any such methods. There are a variety of available drug therapies marketed for cancer. In many cases, these drugs are administered in combination to enhance efficacy. While our ecDTx, if any are approved, may compete with these existing drugs and other therapies, to the extent they are ultimately used in combination with or as an adjunct to these therapies, our ecDTx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ecDTx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BBI-940, we are unaware of any therapeutic programs developing compounds directed against the Kinesin target.</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could see a reduction or elimination in our potential commercial opportunity if our competitors develop and commercialize drugs that are safer, more effective, have fewer or less severe side effects, are more convenient to administer, are less expensive, or have more favorable commercial labeling than our ecDTx, regardless of whether they target ecDNA as a mechanism of action.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our ecDTx, if approved, are likely to be their efficacy, safety, route of administration, convenience, price, level of generic competition, and availability of reimbursement from government and other third-party payors.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strive to protect the intellectual property and proprietary technology that we consider important to our business through a variety of methods. We seek to obtain domestic and international patent protection and endeavor to promptly file patent applications for new commercially valuable inventions as they arise to expand our intellectual property portfolio. We also rely on proprietary know-how and trade secrets to protect certain innovations that may be important to our business and to benefit from their confidential status.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9, 2026, our intellectual property portfolio included 24 patent families solely owned by us, which include 7 pending U.S. provisional applications, 18 pending U.S. non-provisional patent applications, 5 issued U.S. patents, pending applications in China, Europe, Hong Kong, Japan, and Taiwan, as well as 3 pending applications filed pursuant to the Patent Cooperation Treaty (PCT).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continually assess and refine our intellectual property strategy. To that end, we are prepared to file additional patent applications as appropriate to support our intellectual property strategy, or where we seek to adapt to competition or seize business opportunities.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be sure that patents will be granted with respect to any of our pending patent applications or with respect to any patent applications we may own or license in the future, nor can we be sure that any patents we may own or license in the future will be useful in protecting our technology. Please see “Risk Factors—Risks Related to Our Intellectual Property” for additional information on the risks associated with our intellectual property strategy and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Relating to Our Kinesin Program</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With regard to our Kinesin program, including BBI-940, as of March 9, 2026, we owned 4 patent families, including 4 pending U.S. provisional applications, 1 pending U.S. non-provisional patent application, 2 pending applications in Taiwan, as well as 2 pending applications filed pursuant to the PCT. These patent rights relate to compositions of matter, as well as methods of treating diseases using Kinesin inhibitors and degraders. We expect these patents and patents issued from these applications, if any, to expire in 2042-2047 without accounting for any patent term adjustment or extension that may be available.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Intellectual Property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With regard to our CHK1 program, including BBI-355, as of March 9, 2026, we owned 10 patent families, for which we are currently pursuing 3 pending U.S. provisional applications, 8 pending U.S. non-provisional patent applications, 4 issued U.S. patents, as well as pending applications in China, Europe, Hong Kong, and Japan. These patent rights relate to compositions of matter, as well as methods of treating diseases using CHK1 inhibitors. We expect these patents and patents issued from these applications, if any, to expire in 2041-2046 without accounting for any patent term adjustment or extension that may be available.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With regard to our RNR program, including BBI-825, as of March 9, 2026, we owned 9 families (3 of which also cover our CHK1 program), for which we are currently pursuing 3 pending U.S. provisional applications, 7 pending U.S. non-provisional patent applications, 1 issued U.S. patent, pending applications in China, Europe, Hong Kong, and Japan, as well as 1 pending application filed pursuant to the PCT. These patent rights relate to the compositions of matter, as well as methods of treating diseases using RNR inhibitors. We expect patents issues from these applications, if any, to expire in 2041-2046 without accounting for any patent term adjustment or extension that may be available.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With regard to our precision medicine approach, we developed a proprietary diagnostic to detect ecDNA based on the data outputs from next generation sequencing, or NGS, tests routinely used to profile patient tumor samples. As of March 9, 2026, we owned 1 patent family related to methods of detecting ecDNA signatures in cancers and 1 pending U.S. non-provisional patent application related to our diagnostic. We expect patents issued from these applications, if any, to expire in 2041-2044 without accounting for any patent term adjustment or extension that may be available. We also protect the intellectual property related to ecDNA detection as a trade secret.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Scope and Duration of Intellectual Property Protection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laws of the countries in which they are obtained. In most countries in which we file, the patent term is 20 years from the earliest date of filing of a non-provisional patent application.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Under certain circumstances, the term of U.S. patents may be adjusted for delays encountered during prosecution that are caused by the USPTO. Additionally, the term of a patent as it specifically relates to an FDA regulated product may be extended. For example, for drugs that are regulated by the FDA under the Hatch-Waxman Act, the FDA is permitted to extend the exclusivity term that covers such drug for up to five years beyond the normal expiration date of the patent, depending on the timing of the issuance of the patent, the IND filing, the NDA filing and the approval date, and provided that the term of the patent does not extend beyond 14 years from the NDA approval date. In the future, if and when our product candidates receive FDA approval, we expect to apply for patent term extensions on patents covering those product candidates. We intend to seek patent term extensions to any of our issued patents in jurisdictions where these are available; however, there is no guarantee that the applicable authorities, including the USPTO and FDA, will agree with our assessment of whether such extensions should be granted, and even if granted, the length of such extensions.</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 of oncology therapy has emerged in the U.S. The patent situation outside of the U.S. is even more uncertain. Changes in the patent laws and rules, either by legislation, judicial decisions, or regulatory interpretation in the U.S. and other countries may diminish our ability to protect our inventions and enforce our intellectual property rights, and more generally could affect the value of our intellectual property. In particular, our ability to stop third parties from making,</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using, selling, offering to sell, importing, or otherwise commercializing any of our patented inventions, either directly or indirectly, will depend in part on our success in obtaining, defending, and enforcing patent claims that cover our technology, inventions, and improvements. We cannot be sure that patents will be granted with respect to any of our pending patent applications or with respect to any patent applications filed by us in the future, nor can we be sure that any of our patents that may be granted to us in the future will be commercially useful in protecting our product candidates and the methods used to manufacture them.</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area of patent and other intellectual property rights in the biopharmaceutical industry is an evolving one with many risks and uncertainties, and third parties may have blocking patents that could be used to prevent us from commercializing our product candidates and practicing our proprietary technology. Our patents that may issue in the future may be challenged, narrowed, circumvented, or invalidated, which could limit our ability to stop competitors from marketing related product candidates. In addition, our competitors may independently develop similar technologies, and the rights granted under any issued patents may not provide us with protection or competitive advantages against competitors with similar technology. For these and other reasons, we may have competition for our product candidates. Moreover, because of the extensive time required for development, testing, and regulatory review of a potential product, it is possible that before any product candidate can be commercialized, any related patent may expire or remain in force for only a short period following commercialization, thereby reducing any protection afforded by the patent. For this and other risks related to our proprietary technology, inventions, improvements, and product candidates, please see the section titled “Risk Factors—Risks Related to Our Intellectual Property.”</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also rely on trade secret protection for our confidential and proprietary information. Although we take steps to protect our confidential and proprietary information as trade secrets, including through contractual means with our employees, consultants, outside scientific collaborators, sponsored researchers, and other advisors, third parties may independently develop substantially equivalent proprietary information and techniques or otherwise gain access to our trade secrets or disclose our technology. Thus, we may not be able to meaningfully protect our technology as trade secrets. It is our policy to require our employees, consultants, outside scientific collaborators, sponsored researchers, and other advisors to execute confidentiality agreements under the commencement of employment or consulting relationships with us. These agreements provide that all confidential information concerning our business or financial affairs developed or made known to the individual during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 Despite these efforts, we cannot provide any assurances that all such agreements have been duly executed, and any of these parties may breach the agreements and disclose our proprietary information, and we may not be able to obtain adequate remedies for such breaches.</w:t>
      </w:r>
    </w:p>
    <w:p>
      <w:pPr>
        <w:spacing w:after="0" w:line="1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seek trademark protection in the United States and in certain other jurisdictions where available and when we deem appropriate. We currently have registrations for our “Boundless Bio” mark in the United States as well as in certain foreign jurisdictions, including the European Union. We have registrations for our “UNBOUND BY CONVENTION, BOUND TO SAVE LIVES” mark in the United States. We have also filed a trademark application in the United States for registration of our “ECHO” mark, and we have registrations for our “ECHO” mark in certain foreign jurisdictions, including the European Union. For more information, please see the section titled “Risk Factors—Risks Related to Our Intellectual Property.”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our ecDTx for preclinical and clinical testing, as well as for commercial manufacture if our ecDTx obtains marketing approval. We work with our current manufacturers to ensure that we will be able to scale up our manufacturing capabilities to support our clinical plans. We also plan to continue to evaluate additional manufacturers to build redundancies into our supply chain. In addition, we rely on third parties to package, label, store, and distribute our ecDTx,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ecDTx.</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intend to retain significant development and commercial rights to our ecDTx and, if marketing approval is obtained, to commercialize our ecDTx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ecDTx. Clinical data, the size of the addressable patient population, the size of the commercial infrastructure, and manufacturing needs may all influence or alter our commercialization plans.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testing, manufacture, quality control, import, export, safety, effectiveness, approval, labeling, packaging, storage, record-keeping, promotion, advertising, distribution, marketing and post-approval activities of drug and biological product candidates, such as those we are developing.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(FDCA) and its implementing regulations. Drugs are also subject to other federal, state, and local statutes and regulations. The process of obtaining regulatory approvals and the subsequent compliance with appropriate federal, state, and local statutes and regulations require the expenditure of substantial time and financial resources. The process required by the FDA before a new drug may be marketed in the United States generally involves the following:</w:t>
      </w:r>
    </w:p>
    <w:p>
      <w:pPr>
        <w:spacing w:after="0" w:line="72" w:lineRule="exact"/>
        <w:rPr>
          <w:sz w:val="20"/>
          <w:szCs w:val="20"/>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or preclinical laboratory tests, animal studies, and formulation studies, with certain studies conducted in accordance with Good Laboratory Practice (GLP) regulations, and other applicable regulations;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each trial may be initiated;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regulations (GCPs) to evaluate the safety and efficacy of the product candidate for its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after completion of all pivotal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drug’s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inspection of selected clinical investigation sites to assess compliance with GCPs;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particular indications for use in the United States.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Once a product candidate is identified for development, it enters the preclinical testing stage. Preclinical tests include laboratory evaluations of product chemistry, toxicity, and formulation, as well as animal studies. An IND sponsor must submit, among other things, the results of the preclinical tests, together with manufacturing information and analytical data, to the FDA as part of an IND. An IND is a request for allowance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in such case, the trials may not begin or continue until the FDA notifies the sponsor that the hold has been lifted. FDA may also place a trial on a partial clinical hold. A partial clinical hold is a delay or suspension of only part of the clinical work requested or ongoing under the IND. No more than 30 days after imposition of a clinical hold or partial clinical hold, the FDA will provide the sponsor a written explanation of the basis for the hold.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issuance of a clinical hold or partial clinical hold, an investigation (or full investigation in the case of a partial clinical hold) may only begin or resume after the FDA has notified the sponsor that the investigation may proceed.</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All clinical trials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among other things,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 increased incidence of a serious suspected adverse reaction compared to that listed in the protocol or investigator brochure. The sponsor must report to the FDA any suspected adverse reaction that is both serious and unexpected within fifteen days after the sponsor’s initial receipt of the information. The sponsor must also report to the FDA any unexpected fatal or life-threatening suspected adverse reaction within seven calendar days after the sponsor’s initial receipt of the information.</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Furthermore, an independent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trial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registration of certain clinical trials and reporting of ongoing clinical studies and clinical trial results to public registries, including clinicaltrials.gov.</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and tested for safety, dosage tolerance, absorption, metabolism, distribution, and excretion, and, if possible, to gain an early indication of its effectiveness, identify any adverse effects, and determine maximal dosage.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identify possible adverse effects and safety risks, to preliminarily evaluate the efficacy of the product candidate for specific targeted diseases and to determine dosage tolerance and appropriate dosage.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an expanded patient population to further evaluate dosage, to provide substantial evidence of efficacy, purity, and potency, and to further test for safety, generally at multiple geographically dispersed clinical trial sites. These clinical trials are intended to establish the overall risk-benefit ratio of the product candidate and provide an adequate basis for product labeling.</w:t>
      </w:r>
    </w:p>
    <w:p>
      <w:pPr>
        <w:spacing w:after="0" w:line="17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February 2026, via an editorial published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the FDA Commissioner and the director of the FDA’s Center for Biologics Evaluation and Research announced a policy shift whereby, going forward, the FDA’s default position will be a “a one-trial requirement,” meaning that one adequate and well-controlled study, combined with confirmatory evidence, will serve as the basis of marketing authorization of novel product candidates. Confirmatory evidence can include mechanistic science, data from a related indication, animal models, information from other drugs of the same class, real-world evidence, or a second adequate and well-controlled study. The announcement represents a major shift from the FDA’s historical default requirement of two pivotal clinical trials. However, as indicated by FDA representatives during informal interviews and other media appearances, if FDA shifts to only requiring a single trial, it may heighten the standard for these trials in terms of quality. For example, the FDA indicated it will carefully examine all aspects of study design with particular focus on controls, end points, effect size, and statistical protocols. The FDA may still require additional adequate and well-controlled studies if a product candidate has a nebulous, pluripotent, or nonspecific mechanism of action; if it affects a labile, short-term, or surrogate outcome; or if a trial has some underlying limitation or deficiency. The editorial also referenced a new postmarket initiative being rolled out synchronously to collect robust data on all drugs and devices. The FDA has not published formal guidance regarding the new one-trial default option or postmarket surveillance initiative.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studies, may be conducted after initial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or safety, purity, and potency of the product for the claimed indications in all relevant pediatric subpopulations and support dosing and administration for each pediatric subpopulation for which the product is deemed safe and effective, or safe, pure, and potent. The sponsor may request or the FDA may grant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Once an NDA has been submitted, the FDA conducts a preliminary review of the application within the first 60 days after submission, before accepting it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an NDA for a new molecular entity to complete a standard review and act on the submission. This review typically takes twelve months from the date the NDA is submitted to FDA because the FDA has approximately two months to make a “filing” decision after the application is submitted.</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recommendations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Before approving an NDA, the FDA will typically inspect the facility or facilities where the product is manufactured to assure compliance with cGMPs. Additionally, before approving an NDA, the FDA may inspect one or more clinical trial sites to assure compliance with GCPs. After the FDA evaluates an NDA and conducts any required inspections of manufacturing facilities where the investigational product and/or its drug substance will be produced, the FDA may issue an approval letter or a Complete Response Letter (CRL). An approval letter authorizes commercial marketing of the drug with prescribing information for specific indications. A CRL indicates that the review cycle for the application is complete, and the application will not be approved in its present form. A CRL usually describes the specific deficiencies in the NDA identified by the FDA and may require additional clinical data, including additional clinical trials or other significant and time-consuming requirements related to clinical trials, nonclinical studies, or manufacturing. If a CRL is issued, the sponsor must resubmit the NDA addressing all of the deficiencies identified in the letter or withdraw the application. Even if such data and information are submitted, the FDA may decide that the resubmitted NDA does not satisfy the criteria for approval.</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that contraindications, warnings or precautions be included in the product’s labeling; require that post-approval studies be conducted to</w:t>
      </w:r>
    </w:p>
    <w:p>
      <w:pPr>
        <w:sectPr>
          <w:pgSz w:w="11900" w:h="16838" w:orient="portrait"/>
          <w:cols w:equalWidth="0" w:num="1">
            <w:col w:w="11240"/>
          </w:cols>
          <w:pgMar w:left="320" w:top="117"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assess the drug’s safety or effectiveness; require testing and surveillance programs to monitor the safety of the commercialized product; or impose other conditions, including distribution restrictions or other risk management mechanisms, including a risk evaluation and mitigation strategy (REMS) to assure safe use of the product. If the FDA concludes a REMS is needed, the sponsor of the NDA must submit a proposed REMS, which could include medication guides, physician communication plans, or elements to assure safe use, such as restricted distribution methods, patient registries, and other risk minimization tools. The FDA will not approve the NDA without an approved REMS, if required. Any of these limitations on approval or marketing could restrict the commercial promotion, distribution, prescription or dispensing of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the active moiety of the product candidate is determined to be contained within the competitor’s product for the same disease or condition. In addition, if an orphan designated product receives marketing approval for a disease or condition broader than what is designated, it may not be entitled to orphan exclusivity.</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2026, Congress passed the 2026 Consolidated Appropriations Act, which included the 2026 appropriations legislation for the Department of Health and Human Services (HHS). The HHS appropriations bill included a package of FDA reform legislation better known as the Mikaela Naylon Give Kids a Chance Act. The bill reauthorized the Rare Pediatric Disease Priority Review Voucher program, created new pediatric testing obligations for sponsors of certain molecularly targeted combination oncology products, changed a legal definition impacting how the agency grants orphan drug exclusivity, imposed new requirements on companies to complete pediatric study requirements, and required the FDA to open a new foreign office in a country that signed the Abraham Accords. Additionally, as part of the 2026 Consolidated Appropriations Act, Congress enacted provisions revising how patent exclusivity is applied to orphan-designated drugs. This provision modifies the standard for orphan drug patent protection so that it applies to the same approved use or indication within a rare disease or condition.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a marketing application for an investigational drug. For example, the fast track designation program is intended to expedite or facilitate the process for developing and reviewing product candidates that meet certain criteria. Specifically, investigational drugs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intensive FDA interaction and guidance beginning as early as Phase 1 and an organizational commitment to expedite the development and review of the product candidate, including involvement of senior managers.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 NDA may also be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an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depending on the design of the applicable clinical trials, a product candidate may be eligible for accelerated approval. Specifically,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2025, the FDA launched the Commissioner’s National Priority Voucher (CNPV) pilot program, offering drug manufacturers an expedited 30 to 60-day review by proposing plans to advance five stated priorities, which include addressing public health crises, delivering innovative cures, meeting unmet medical needs, strengthening supply chains through onshore drug manufacturing, and increasing affordability. The FDA cites examples that include developing novel medicines for obesity, PTSD, other chronic diseases, or creating universal flu vaccines. Proposals may also include domestic manufacturing expansions and commitments for the firm to implement “most favored nation” pricing models on some of their drugs. Proposals are not required to address all five priority areas, but more comprehensive plans are likely to be favored in the selection process.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for FDA review or approval will not be shortened.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Any drug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additional labeling claims, are subject to further FDA review and approval. There also are continuing, annual program fees for any marketed products. As noted above, in February 2026, the FDA announced a new postmarket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collection initiative applicable to all drugs and devices, but the FDA has not yet published guidance specific to this new program.</w:t>
      </w:r>
    </w:p>
    <w:p>
      <w:pPr>
        <w:spacing w:after="0" w:line="9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which impose certain procedural and documentation requirements upon NDA holders and their third-party manufacturers. Changes to the manufacturing process are strictly regulated, and, depending on the significance of the change, may require prior FDA approval before being implemented. Accordingly, manufacturers must continue to expend time, money, and effort in the area of production and quality control to maintain compliance with cGMPs and other aspects of regulatory compliance.</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jc w:val="center"/>
        <w:ind w:left="5540" w:right="540" w:hanging="5023"/>
        <w:spacing w:after="0" w:line="532" w:lineRule="auto"/>
        <w:tabs>
          <w:tab w:leader="none" w:pos="10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ongoing or planned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FDA closely regulates the marketing, labeling, advertising, and promotion of drug products. A sponsor can only make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Increased scrutiny over direct-to-consumer (DTC) drug advertising has been a priority of the current administration. In September 2025, the FDA announced a crackdown on deceptive drug advertising, sending thousands of letters warning pharmaceutical companies to remove misleading ads, and issuing many enforcement letters to companies with deceptive ads.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based on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 existing period of regulatory exclusivity or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11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believe that certain of our ecDTx may require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to identify appropriate patient populations for investigation and/or use of our ecDTx. These diagnostics, often referred to as companion diagnostics, are regulated as medical devices. In the United States, the FDCA and its implementing regulations, and other federal and state statutes and regulations govern, among other things,</w:t>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(PMA). Most companion diagnostics for oncology product candidates, such as those we are developing, utilize the PMA pathway.</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use of a companion diagnostic is deemed essential to the safe and effective use of a drug product, then the FDA generally will require approval or clearance of the diagnostic contemporaneously with the approval of the therapeutic product. In August 2014, the FDA issued a final guidance document addressing the development and approval process for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Devices.” According to the guidance, for novel product candidates, a companion diagnostic device and its corresponding drug candidate should be approved or cleared contemporaneously by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may be considered a significant risk device under the FDA’s Investigational Device Exemption (IDE) regulations. In which case, the sponsor of the diagnostic device will be required to submit and obtain approval of an IDE application and subsequently comply with the IDE regulations. However, according to the guidance, if a diagnostic device and a drug are to be studied together to support their respective approvals, both products can be studied in the same investigational study, if the study meets both the requirements of applicable IDE regulations and the IND regulations. The guidance provides that, depending on the details of the study plan and degree of risk posed to subjects, a sponsor may seek to submit an IND alone, or both an IND and an IDE.</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April 2020, the FDA released a guidance titled “Developing and Labeling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Devices for a Specific Group of Oncology Therapeutic Products,” which expands on the policy statement in the 2014 guidance by recommending that companion diagnostic developers consider a number of factors when determining whether their test could be developed, or the labeling for approved companion diagnostics could be revised through a supplement, to support a broader labeling claim such as use with a specific group of oncology therapeutic products, rather than listing an individual therapeutic product(s).</w:t>
      </w:r>
    </w:p>
    <w:p>
      <w:pPr>
        <w:spacing w:after="0" w:line="1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FDA has generally required companion diagnostics intended to select the patients who will respond to cancer treatment to obtain approval of a PMA for that diagnostic simultaneously with approval of the therapeutic.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(QSR), which currently imposes elaborate testing, control, documentation, and other quality assurance requirements.</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the FDA’s evaluation of the PMA application is favorable, the FDA may issue an approvable letter requiring the applicant’s agreement to specific conditions, such as changes in labeling, or specific additional information, such as submission of final labeling,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and when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After a device is commercialized,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currently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2025, the FDA proposed a rule to reclassify certain class III nucleic acid-based test systems indicated for use with a corresponding approved oncology therapeutic product from class III into class II, subject to premarket notification. The FDA also proposed a new device classification regulation, along with the special controls that the FDA believes are necessary to provide a reasonable assurance of safety and effectiveness for these devices. If this proposed rule were enacted, these nucleic acid-based companion diagnostic tests would become class II devices subject to 510(k) premarket notification requirements, which could delay availability of these tests to be used with oncology therapeutics.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and physician payment transparency laws and regulations regarding drug pricing and payments or other transfers of value made to physicians and other licensed healthcare professionals as well as similar foreign laws in the jurisdictions outside the United States.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or imprisonment.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Successful sales of our ecDTx in the U.S. market, if approved, will depend, in part, on the extent to which our ecDTx will be covered and eligible for adequate reimbursement by third-party payors, including government health programs, such as Medicare and Medicaid, and private health insurance (including managed care plans). Patients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Even if coverage is provided, the approved reimbursement amount may not be adequate to support pricing sufficient to realize a return on our investment.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or step therapy for coverage, among other things. For products administered under the supervision of a physician or other healthcare professional, obtaining coverage and adequate reimbursement may be particularly difficult because of the higher prices often associated with such drugs. Additionally, separate reimbursement for the product itself or the treatment or procedure in which the product is used or delivered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9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our net revenue and results. Decreases in third-party payor reimbursement for our drug candidates, if approved, or a decision by third-party payors to not cover our drug candidates could have a material adverse effect on our sales, results of operations, and financial condition.</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regulatory cost control measures may also affect reimbursement for our products. If we obtain approval to market a drug candidate in the United States, we may be subject to spending reductions affecting Medicare, Medicaid, or other publicly funded or subsidized health programs and/or any significant taxes or fees.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authorities. In the United States, CMS, an agency within the DHHS, determines whether and to what extent a new medicine will be covered and reimbursed under Medicare, and private payors tend to follow Medicare policies to a substantial degree. Factors payors frequently consider in determining reimbursement are whether the product is: (a) a covered benefit under its health plan; (b) safe, effective, and medically necessary; (c) appropriate for the specific patient; (d) cost-effective; and (e) neither experimental nor investigational.</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current or future programs to promote the importation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provide any assurances that reimbursement will be available for any product candidate that we commercialize and, if reimbursement is available, whether the level of reimbursement will be adequate. Further, reimbursement for drugs by government healthcare programs may be reduced by mandatory discounts or rebates required by such programs. Certain government healthcare programs impose ceiling prices on products of participating manufacturers.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example, in March 2010, the Affordable Care Act (ACA) was enacted in the United States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and biologic agents; extended manufacturers’ Medicaid rebate liability to covered outpatient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In June 2021, the U.S. Supreme Court dismissed the most recent judicial challenge to the ACA brought by several states without specifically ruling on the constitutionality of the ACA. Thus, the ACA will remain in force in its current form.</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Enacted in August 2011, the Budget Control Act of 2011 includes reductions to Medicare payments to providers of 2% per fiscal year, which went into effect on April 1, 2013 and, due to subsequent legislative amendments to the statute, will remain in effect through 2032, unless additional Congressional action is taken. Enacted in January 2013, the American Taxpayer Relief Act of 2012, among other things, reduced Medicare payments to several providers, including hospitals, and increased the statute of limitations period for the government to recover overpayments to providers from three to five years. Further, enacted in March 2021, the American Rescue Plan Act of 2021 eliminated the statutory Medicaid drug rebate cap, beginning January 1, 2024. The rebate was previously capped at 100% of a drug’s average manufacturer price. The American Rescue Plan Act also temporarily increased premium tax credit assistance for individuals eligible for subsidies under the ACA for 2021 and 2022 and removed the 400% federal poverty level limit that otherwise applies for purposes of eligibility to receive premium tax credits. The Inflation Reduction Act of 2022 (IRA) extended this increased tax credit assistance and removal of the 400% federal poverty limit through 2025. This tax credit assistance expired on December 31, 2025, and additional action from Congress would be needed to restore such assistance in the future.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and regulations designed to, among other things, reduce the cost of prescription drugs under Medicare, bring more transparency to product pricing, review the relationship between pricing and manufacturer patient programs, and reform government program reimbursement methodologies for products.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Most significantly, in August 2022, the IRA was enacted.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discounting program (which began in 2025). CMS has published the negotiated prices for the initial ten drugs, which will first be effective in 2026, and has published the list of the subsequent 15 drugs that will be subject to negotiation. The IRA permits the Secretary of the HHS to implement many of these provisions through guidance, as opposed to regulation, for the initial years. HHS has and will continue to issue and update guidance</w:t>
      </w:r>
    </w:p>
    <w:p>
      <w:pPr>
        <w:sectPr>
          <w:pgSz w:w="11900" w:h="16838" w:orient="portrait"/>
          <w:cols w:equalWidth="0" w:num="1">
            <w:col w:w="11240"/>
          </w:cols>
          <w:pgMar w:left="320" w:top="117"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these programs are implemented, although the Medicare drug price negotiation program is currently subject to legal challenges. The impact of the IRA on the pharmaceutical industry cannot yet be fully determined but is likely to be significant.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In addition, regional healthcare authorities and individual hospitals are increasingly using bidding procedures to determine which pharmaceutical products and suppliers will be included in their prescription drug and other healthcare programs.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Existing healthcare reform measures, as well as the implementation of additional cost containment measures or other reforms, may prevent us from being able to generate revenue, attain profitability or commercialize our product candidates, if approved. These new laws and the regulations and policies implementing them, as well as other healthcare-related measures that may be adopted in the future, could materially reduce our ability to develop and commercialize our product candidates, if approved.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8, 2026, we had 28 employees, all of whom are full-time employees. Of these employees, 16 employees are engaged in research and development and 12 are engaged in finance, legal, business development, and general management and administration. A total of 8 of these employees have M.D. or Ph.D. degrees. None of our employees are represented by labor unions or covered by collective bargaining agreements. We consider our relationship with our employees to be good.</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value our employees and regularly benchmark total rewards we provide, such as short and long-term compensation, 401(k) contributions, health, welfare, and quality of life benefits, paid time off, and personal leave, against our industry peers to help ensure we remain competitive and attractive to potential new hires.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were originally founded as a Delaware corporation on April 10, 2018, under the name Pretzel Therapeutics, Inc. On July 8, 2019, we changed our name to Boundless Bio, Inc.</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use our trademarks in this report as well as trademarks, tradenames and service marks that are the property of other organizations. Solely for convenience, trademarks and tradenames referred to in this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website address is www.boundlessbio.com. The investor relations portion of our website is located at https://investors.boundlessbio.com. We make available free of charge on the investor relations portion of our website under “Financials – SEC Filings” certain reports and other information we file with or furnish to the SEC, including our annual report on Form 10-K, quarterly reports on Form 10-Q, current reports on Form 8-K, our directors’ and officers’ Section 16 reports, and any amendments to those reports, as soon as reasonably practicable after we electronically file such materials with, or furnish them to, the SEC. They are also available for free on the SEC’s website at www.sec.gov.</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intend to use the investor relations portion of our website as a means of disclosing material non-public information and for complying with our disclosure obligations under Regulation FD. Investors should monitor our website, in addition to following our press releases, SEC filings and public conference calls and webcasts. Information relating to our corporate governance is also included in the investor relations portion of our website. The information found on or accessible through our website and the SEC website is not incorporated into, and is not considered part of, this report. We have included these website addresses as inactive textual references only.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as well as the other information in this Annual Report on Form 10-K, including our financial statements and the related notes included elsewhere in this Annual Report on Form 10-K and “Management’s Discussion and Analysis of Financial Condition and Results of Operations,” before making a decision to purchase or sell shares of our common stock. If any of the following risks are realized, our business, financial condition, results of operations, and prospects could be materially and adversely affected. In that event, the trading price of our common stock could decline, and you could lose all or part of your investment. The risks described below are not the only ones we face, and additional risks and uncertainties not known to us or that we currently believe to be immaterial may also impair our business, financial condition, results of operations and prospects.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and our common stock in the future. References in this section to past events and conditions are provided by way of example only and are not intended to be a complete listing or a representation as to whether or not the factors discussed below have occurred in the past or their likelihood of occurring in the future.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oncology company with a limited operating history upon which you can evaluate our business and prospects. We commenced operations in 2018, have no products approved for commercial sale, and have not generated any revenue from the sale of our products. To date, we have focused primarily on organizing and staffing our company, business planning, raising capital, building our proprietary Spyglass platform, discovering our ecDTx, developing our diagnostic, establishing our intellectual property portfolio, conducting research, preclinical studies and clinical trials, establishing arrangements with third parties for the manufacture of our ecDTx and supply of related raw materials, and providing general and administrative support for these operations. Our scientific approach to the discovery and development of ecDTx, including our use of the Spyglass platform, is unproven, and we do not know whether we will be able to develop or obtain regulatory approval for any products of commercial value. We have elected to cease enrollment in the POTENTIATE trial evaluating the combination of BBI-355 and BBI-825, and now have only one ecDTx, BBI-940, proceeding with clinical development. We have not yet completed any clinical trials, successfully developed and validated a diagnostic test, obtained regulatory approvals, manufactured products at commercial scale, or arranged for a third party to do so on our behalf, or conducted sales or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We do not have any products approved for sale and have not generated any revenue since our inception. If we are unable to successfully develop, obtain requisite approval for and commercialize our ecDTx, we may never generate revenue. Our net losses were $58.2 million and $65.4 million for the years ended December 31, 2025 and 2024, respectively. As of December 31, 2025, we had an accumulated deficit of $259.7 million. Substantially all of our losses have resulted from expenses incurred in connection with our research and development programs and from general and administrative costs associated with our operations. All of our ecDTx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our ecDTx and seek to discover and develop additional ecDTx, as well as operate as a public company.</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become and remain profitable, we must succeed in discovering, developing, obtaining regulatory approvals for, and eventually commercializing products that generate significant revenue. This will require us to be successful in a range of challenging activities, including completing clinical trials and preclinical studies of our ecDTx, discovering additional ecDTx, obtaining regulatory approval for these ecDTx and, if required, our diagnostic, and manufacturing, marketing, and selling any products for which we may obtain regulatory approval. We are in only the preliminary stages of these activities.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w:t>
      </w:r>
    </w:p>
    <w:p>
      <w:pPr>
        <w:sectPr>
          <w:pgSz w:w="11900" w:h="16838" w:orient="portrait"/>
          <w:cols w:equalWidth="0" w:num="1">
            <w:col w:w="11240"/>
          </w:cols>
          <w:pgMar w:left="320" w:top="117"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raise capital, expand our business, maintain our research and development efforts, diversify our ecDTx pipeline, achieve our strategic objectives, or even continue our operations. A decline in the value of our company could also cause you to lose all or part of your investment.</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and a failure to obtain this necessary capital when needed on acceptable terms, or at all, could force us to delay, limit, reduce, or terminate our ecDTx development programs, commercialization efforts, or other operations.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of our ecDTx, including conducting preclinical studies and clinical trials, is a very time-consuming, capital-intensive, and uncertain process. Our operations have consumed substantial amounts of cash since inception. We expect our expenses to substantially increase in connection with our ongoing activities, particularly as we conduct our ongoing and planned clinical trials and preclinical studies and potentially seek regulatory approval for our current ecDTx and any future ecDTx we may develop. If we obtain regulatory approval for our ecDTx or any future ecDTx we may develop, we also expect to incur significant commercialization expenses related to product manufacturing, marketing, sales, and distribution. Because the outcome of any clinical trial or preclinical study is highly uncertain, we cannot reasonably estimate the actual amount of capital necessary to successfully complete the development and commercialization of our ecDTx. Furthermore, we will continue to incur additional costs associated with operating as a public company and we have substantial payment obligations under a long-term non-cancellable facility lease.</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short-term investments will be sufficient to fund our operations into the second half of 2028. We have based our belief in this regard on assumptions that may prove to be wrong, and we could expend our capital resources sooner than we currently expect. Our operating plans and other demands on our cash resources may change as a result of many factors currently unknown to us, and we may need to seek additional funds sooner than planned. Our existing capital is not sufficient to complete development of our ecDTx, or any future ecDTx, and we will require substantial capital in order to advance our ecDTx and any future ecDTx through clinical trials, regulatory approval, and commercialization. Accordingly, we will need to obtain substantial additional funding in connection with our continuing operations. Our ability to raise additional funds may be adversely impacted by global economic conditions, disruptions to, and volatility in, the credit and financial markets in the United States, inflation,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ecDTx.</w:t>
      </w:r>
    </w:p>
    <w:p>
      <w:pPr>
        <w:spacing w:after="0" w:line="19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currently have a “shelf” registration statement on Form S-3 effective and an existing ATM offering program; however, our ability to raise capital under our shelf registration statement, including through the ATM offering program, may be limited by SEC rules and regulations. Based on our public float as of the filing date of this Annual Report on Form 10-K, as calculated pursuant to SEC rules, we are only permitted to utilize our shelf registration statement, including the prospectus pursuant to which our ATM offering is conducted, subject to Instruction I.B.6 of Form S-3, which is referred to as the “baby shelf” rule. Accordingly, for so long as our public float is less than $75.0 million, we generally may not sell securities registered on our shelf registration statement in a primary offering with a value exceeding more than one-third of our public float during any 12 calendar month period. Although alternative public and private transaction structures may be available to raise additional capital, these may require additional time and cost, may impose operational restrictions on us, and may not be available on acceptable terms.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are difficult to predict and will depend on many factors, including, but not limited to:</w:t>
      </w:r>
    </w:p>
    <w:p>
      <w:pPr>
        <w:spacing w:after="0" w:line="117"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progress, expansions, results, costs, and timing of clinical trials and preclinical studies of our ecDTx that we are pursuing or may choose to pursue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ecDTx, including commercial manufacture at sufficient scale, if our ecDTx is approved;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raw materials for manufacturing sufficient quantities of our ecDTx or obtaining sufficient quantities of any combination agents or other materials needed for use in our clinical trials and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developing diagnostics, if required, and the outcome of their regulatory review;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meetings and reviews of our ecDTx;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approval pathways;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that hinder its ability to perform routine activities or function in the normal course;</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to obtain, maintain, expand, enforce, defend, and protect our patents and other intellectual property and proprietary rights, or to challenge third-party patents and other intellectual property rights, if necessary;</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purchasing laboratory supplies and equipment and pharmacology supplies for our preclinical activities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variable lease payment obligations under our facility lease;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needed, to support our clinical and preclinical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our ecDTx is approved;</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5"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Conducting clinical trials and preclinical studies and discovering potential ecDTx is a time-consuming, expensive, and uncertain process that takes years to complete, and we may never generate the necessary data or results required to obtain regulatory approval and commercialize our ecDTx. In addition, our ecDTx, if approved, may not achieve commercial success. Our commercial revenue, if any, will initially be derived from sales of products that we do not expect to be commercially available for many years, if at all.</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ecDTx.</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Until we can generate substantial product revenue, if ever,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future collaborations, licenses, and other similar arrangements, we may be required to relinquish valuable rights to our future revenue streams or proprietary technology,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ecDTx that we might otherwise prefer to develop and market ourselves, or on less favorable terms than we would otherwise choose.</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occupy our corporate headquarters under a long-term non-cancellable lease which may limit our operating flexibility and could adversely affect our liquidity and results of operations.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lease office and lab space under a non-cancellable lease agreement with an initial lease term that expires in October 2034. Due to an abatement period, base rent payments under this lease did not commence until July 2025. We expect our payments under this lease will account for a significant portion of our operating expenses. As of December 31, 2025, future undiscounted lease payment obligations under this lease agreement totaled $69.8 million, which is exclusive of future variable lease payments for our allocated share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variable lease costs associated with the operation and management of the property, which include utilities, property taxes, common area maintenance, and amenities costs, which may be material and are outside of our control. Our substantial lease obligations could have significant negative consequences, including:</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significant portion of our cash to be applied to pay our lease obligations, thus reducing cash available for other purposes;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capital to finance our operations and execute our business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the industry in which we compete;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lease generally requires our landlord’s consent to assign the lease or sublease the premises, which may not be granted or may be granted only on unfavorable terms. Even if we are able to assign the lease or sublease the premises, we may incur significant costs, including transaction costs associated with finding and negotiating with potential transferees or sublessees, upfront payments or other inducements, and other costs to exit the property.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ecDTx</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have only one ecDTx in development. If we are unable to successfully develop, obtain regulatory approval, and ultimately commercialize our ecDTx, or experience significant delays in doing so, our business will be materially harmed.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early in our development efforts. We have elected to cease enrollment in the POTENTIATE trial evaluating the combination of BBI-355 and BBI-825, and now have only one ecDTx, BBI-940, proceeding with development. We have invested substantially all of our efforts to date in developing our ecDTx, developing a diagnostic as a potential patient selection tool, identifying other targets for therapeutic pursuit, and developing our proprietary Spyglass platform. We will need to progress our BBI-940 ecDTx through a first-in-human clinical trial to advance to later phase clinical development. There can be no assurance our ecDTx will demonstrate acceptable or commercially viable clinical trial results. Our ability to generate product revenue, which we do not expect will occur for many years, if ever, will depend heavily on the successful development and eventual commercialization of our ecDTx. The success of our ecDTx will depend on several factors, including the following:</w:t>
      </w:r>
    </w:p>
    <w:p>
      <w:pPr>
        <w:spacing w:after="0" w:line="8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enrollment of clinical trials, and timely completion of clinical trials and preclinical studies with favorable results;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to proceed with clinical trials for our ecDTx under INDs by the FDA, or under similar regulatory submissions by comparable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observed in clinical trials and preclinical studies;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contract research organizations (CROs) and clinical sites for the clinical development of our ecDTx, and ability of such CROs and clinical sites to comply with clinical trial protocols, Good Clinical Practice requirements (GCPs) and other applicable requirements;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the safety and efficacy of our ecDTx to the satisfaction of applicable regulatory authorities, including by establishing a safety database of a size satisfactory to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validation, and regulatory approval of diagnostic tests for use in patient selection with our ecDTx, if required;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including approvals of new drug applications (NDAs), from the FDA and maintaining such approvals;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relationships with our third-party manufacturers and their ability to comply with current Good Manufacturing Practice requirements (cGMPs) as well as making arrangements with our third-party manufacturers for, or establishing our own, commercial manufacturing capabilities at a cost and scale sufficient to support commercialization;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protecting, and enforcing any patent and trade secret protection, patent term extensions (if applicable), and/or regulatory exclusivity for our ecDTx;</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products following regulatory approval, if 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commercialize our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approved, by patients, the medical community, and third-party payors.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develop, obtain regulatory approval for, or, if approved, successfully commercialize our ecDTx, or if we experience delays as a result of any of the above factors or otherwise, our business would be materially harmed.</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treating cancer with oncogene amplifications by developing ecDTx directed against ecDNA is novel and unproven, and we do not know whether we will be able to develop any products of commercial value, or if competing approaches will limit the commercial value of our ecDTx.</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discover, develop, and commercialize products based on our scientific approach, which is focused on developing therapies that are directed against ecDNA in oncogene amplified cancers, a novel and unproven approach. While we have had favorable preclinical study results for certain of our ecDTx programs, we have not yet succeeded and may not succeed in demonstrating efficacy and safety for our ecDTx in clinical trials or in obtaining regulatory approvals from the FDA or other regulatory authorities or in commercializing such ecDTx. For example, as discussed above, we recently elected to cease enrollment in the POTENTIATE trial evaluating the combination of BBI-355 and BBI-825, our first two ecDTx to be tested in humans, due to market considerations, clinical data, and prioritization of our BBI-940 program. As an organization, we have not completed any clinical trials for any of our ecDTx. Our research methodology and scientific approach in using our Spyglass platform may be unsuccessful in identifying and discovering additional ecDTx, and, even if successful, we may not be able to submit INDs and have such INDs allowed to proceed to enable us to commence clinical trials on the timelines we expect, if at all. Any ecDTx we do discover may be shown to have harmful side effects or may have other characteristics that may necessitate additional clinical testing or make the ecDTx unmarketable or unlikely to receive regulatory approval. In particular, developing therapies that are directed against ecDNA in oncogene amplified cancers is a novel approach that may have unexpected consequences, including adverse events that preclude successful development and approval of our ecDTx. Further, because our current ecDTx and all of our discovery programs are ecDNA based, adverse developments with respect to one of our programs may have a significant adverse impact on the actual or perceived likelihood of success and value of our other programs.</w:t>
      </w:r>
    </w:p>
    <w:p>
      <w:pPr>
        <w:spacing w:after="0" w:line="19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biotechnology and biopharmaceutical industries are characterized by rapidly advancing technologies. Our future success will depend in part on our ability to maintain a competitive position with our scientific approach. If we fail to stay at the forefront of technological change in utilizing our approach to create and develop ecDTx and, if required, diagnostic tests, we may be unable to compete effectively. Our competitors may render our approach obsolete or limit the commercial value of our products or ecDTx by advances in existing technological approaches or the development of new or different approaches, potentially eliminating the advantages in our drug discovery process that we believe we derive from our approach. By contrast, adverse developments with respect to other companies that attempt to use a similar approach to our approach may adversely impact the actual or perceived value and potential of our ecDTx.</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any of these events occur, we may be forced to delay, modify, or abandon our development efforts for a program or programs, which would have a material adverse effect on our business and could potentially cause us to cease operations.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and preclinical development involves a lengthy and expensive process with uncertain timelines and outcomes, and the results of preclinical studies and early clinical trials are not necessarily predictive of future results. Our ecDTx may not achieve favorable results in ongoing or future clinical trials or preclinical studies or receive regulatory approval on a timely basis, if at all.</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Clinical and preclinical development is expensive and can take many years to complete, and its outcome is inherently uncertain. We cannot guarantee that any clinical trials or preclinical studies will be conducted as planned, including whether we are able to meet expected timeframes for data readouts, or completed on schedule, if at all, and failure can occur at any time during the trial or study process. Despite promising preclinical or clinical results, any ecDTx can unexpectedly fail at any stage of clinical or preclinical development. The historical failure rate for product candidates in our industry is high, particularly in the earlier stages of development. For example, as discussed above, we recently elected to cease enrollment in the POTENTIATE trial evaluating the combination of BBI-355 and BBI-825, due to market considerations, clinical data, and prioritization of our BBI-940 program. The results from preclinical studies or clinical trials of an ecDTx or of a competitor’s product candidates in the same class may not predict the results of later clinical trials of our ecDTx, and interim, topline, or preliminary results of a clinical trial are not necessarily indicative of final results. ecDTx in later stages of clinical trials may fail to show the desired safety and efficacy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If unexpected observations or toxicities are observed in these studies, or in future IND-enabling studies for our current and any potential future ecDTx development programs, such results may delay or prevent the initiation of clinical trials for such ecDTx programs.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Moreover, preclinical and clinical data may be susceptible to varying interpretations and analyses. A number of companies in the biopharmaceutical and biotechnology industries, including us, as discussed above,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ecDTx may fail to demonstrate effectiveness or safety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Based upon negative or inconclusive results, we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w:t>
      </w:r>
    </w:p>
    <w:p>
      <w:pPr>
        <w:spacing w:after="0" w:line="19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a result, we cannot be certain that our ongoing or planned clinical trials and preclinical studies will be successful. Any safety concerns observed in any one of our clinical trials in our targeted indications could limit the prospects for regulatory approval of our ecDTx in those and other indications, which could have a material adverse effect on our business, financial condition, results of operations, and prospects.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difficulties or delays in the commencement or completion, or the termination or suspension, of our current or planned clinical trials or preclinical studies could result in increased costs to us, delay or limit our ability to generate revenue, or adversely affect our commercial prospects.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ecDTx, we must conduct extensive clinical trials to demonstrate the safety and efficacy of the ecDTx in humans. Before we can initiate clinical trials for our preclinical ecDTx, we must submit the results of preclinical studies to the FDA or comparable foreign regulatory authorities along with other information, including information about ecDTx chemistry, manufacturing, and controls, and our proposed clinical trial protocol, as part of an IND or similar regulatory submission. The FDA or comparable foreign regulatory authorities may require us to conduct additional preclinical studies for any ecDTx before it allows us to initiate clinical trials under any IND or similar regulatory submission, which may lead to delays and increase the costs of our preclinical ecDTx programs. Moreover, even if we commence clinical trials, issues may arise that could cause regulatory authorities to suspend or terminate such clinical trials. Any such delays in the commencement or completion, or the termination or suspension, of our ongoing and planned clinical trials or preclinical studies for our current and any future ecDTx could significantly affect our product development timelines and product development costs.</w:t>
      </w:r>
    </w:p>
    <w:p>
      <w:pPr>
        <w:spacing w:after="0" w:line="18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do not know whether our planned clinical trials and preclinical studies will begin on time or if our ongoing or future trials or studies will be completed on schedule, if at all. The commencement, data readouts, and completion of clinical trials and preclinical studies can be delayed for a number of reasons, including delays related to:</w:t>
      </w:r>
    </w:p>
    <w:p>
      <w:pPr>
        <w:spacing w:after="0" w:line="66" w:lineRule="exact"/>
        <w:rPr>
          <w:sz w:val="20"/>
          <w:szCs w:val="20"/>
          <w:color w:val="auto"/>
        </w:rPr>
      </w:pPr>
    </w:p>
    <w:p>
      <w:pPr>
        <w:ind w:left="1020" w:right="20" w:hanging="503"/>
        <w:spacing w:after="0" w:line="284"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obtain animals or materials to initiate and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5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allowance from regulatory authorities to commence a trial or reaching a consensus with regulatory authorities on trial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(IRBs) or ethics committees (ECs) at clinical trial sites;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IRBs/ECs refusing to approve, suspending, or terminating the trial at an investigational site, precluding enrollment of additional patients, or withdrawing their approval of the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amendments to the clinical trial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the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to perform in accordance with GCP requirements or applicable regulatory requirements or guidelines in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raw materials for manufacturing sufficient quantities of our ecDTx or obtaining sufficient quantities of combination therapies or other materials needed for use in clinical trials and preclinical studies;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enroll or remain in our trials at the rate we expect, or failing to return for post-treatment follow-up, including patients failing to remain in our trials due to movement restrictions, health reasons, or otherwise resulting from any future public health concerns;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choosing alternative treatments for the indications for which we are developing our ecDTx, or participating in competing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trials or preclinical studies or costs being greater than we anticipate;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experiencing severe or serious unexpected drug-related adverse effects;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 that could be considered similar to our ecDTx;</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extended analysis of the resulting data;</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contract manufacturing organization (CMO), delays, or failure by our CMOs or us to make any necessary changes to such manufacturing process, or failure of our CMOs to produce clinical trial materials in accordance with cGMP regulations or other applicable requirements;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 in a timely manner.</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and other applicable regulatory authorities’ legal requirements, regulations, or guidelines, and are subject to oversight by these governmental agencies and ECs or IRBs at the medical institutions where the clinical trials are conducted. We could also encounter delays if a clinical trial is suspended or terminated by us, by ECs or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GCP and other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ECs or IRBs for reexamination, which may impact the costs, timing, or successful completion of a clinical trial.</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if we conduct clinical trials in foreign countries, this will present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a comparable foreign regulatory authority, as the case may be, and may ultimately lead to the denial of regulatory approval of our ecDTx.</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many of the factors that cause, or lead to, the termination or suspension of, or a delay in the commencement or completion of, clinical trials may also ultimately lead to the denial of regulatory approval of an ecDTx. Any delays to our clinical trials that occur as a result could shorten any period during which we may have the exclusive right to commercialize our ecDTx. In such cases, our competitors may be able to bring products to market before we do, and the commercial viability of our ecDTx could be significantly reduced. Any of these occurrences may harm our business, financial condition, results of operations, and prospects.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encounter difficulties or delays enrolling patients in our clinical trials, our clinical development activities could be delayed or otherwise adversely affected.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identify and enroll a specified number of patients for each of our clinical trials. We may not be able to initiate or continue clinical trials for our ecDTx if we are unable to identify and enroll a sufficient number of eligible patients to participate in these trials as required by the FDA or similar regulatory authorities outside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United States. Patient enrollment, a significant factor in the timing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and competing clinical trials and clinicians’ and patients’ perceptions as to the potential advantages and risks of the ecDTx being studied in relation to other available therapies, including any new products that may be approved for the indications we are investigating as well as any product candidates under development. We will be required to identify and enroll a sufficient number of patients for each of our clinical trials and monitor such patients adequately during and after treatment. Potential patients for any planned clinical trials may not be adequately diagnosed or identified with the diseases that we are targeting, which could adversely impact the outcomes of our trials and could have safety concerns for the potential patients. Potential patients for any planned clinical trials may also not meet the entry criteria for such trials.</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particular, because our ecDTx are focused on patients with tumors harboring oncogene amplifications on or enabled by ecDNA, our ability to enroll eligible patients may be limited or take more time than we anticipate, due to the frequency of the biomarker we are seeking to target, or our ability to effectively identify such biomarker. We also may encounter difficulties in identifying and enrolling patients with the proper tumor characteristics or stage of disease appropriate for our planned clinical trials and monitoring such patients adequately during and after treatment. Additionally, other pharmaceutical companies targeting these same types of cancer are recruiting clinical trial patients from these patient populations, which may make it more difficult to fully enroll our clinical trials. The timing of our clinical trials depends, in part, on the speed at which we can recruit patients to participate in our trials, as well as completion of required follow-up periods. The eligibility criteria of our clinical trials, once established, may further limit the pool of available trial participants. If patients are unwilling or unable to participate in our trials for any reason, including the existence of concurrent clinical trials for similar target populations, the availability of approved therapies, or the fact that enrolling in our trials may prevent patients from taking a different product, or we otherwise have difficulty enrolling a sufficient number of patients, the timeline for recruiting patients, conducting trials, and obtaining regulatory approval of our ecDTx may be delayed. Additionally, patients in our clinical trials are typically in the late stages of their disease and may experience disease progression independent from our ecDTx, making them unevaluable for purposes of the clinical trial and requiring additional patient enrollment. Our inability to enroll a sufficient number of patients for any of our future clinical trials would result in significant delays or may require us to abandon one or more clinical trials altogether.</w:t>
      </w:r>
    </w:p>
    <w:p>
      <w:pPr>
        <w:spacing w:after="0" w:line="1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rely on, and will continue to rely on, CROs and clinical trial sites to ensure proper and timely enrollment of our clinical trials. Though we have entered into agreements governing their services, we have limited influence over their actual performance. We cannot assure you that our assumptions used in determining expected clinical trial timelines are correct, or that we will not experience delays or difficulties in enrollment, or be required by the FDA or other regulatory authorities to increase our enrollment, which would result in the delay of completion of such trials beyond our expected timelines.</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Use of our ecDTx could be associated with side effects, adverse events, or other properties or safety risks, which could delay or preclude regulatory approval, cause us to suspend or discontinue clinical trials, cause us to abandon an ecDTx, limit the commercial profile of an approved label, or result in other significant negative consequences that could severely harm our business, financial condition, results of operations, and prospects.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oncology drugs generally, it is likely that there may be side effects and adverse events associated with use of our ecDTx. Results of our clinical trials could reveal a high and unacceptable severity and prevalence of expected or unexpected side effects or unexpected characteristics. Undesirable side effects caused by our ecDTx when used alone or in combination with approved or investigational drugs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results of operations, and prospects significantly.</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Moreover, if our ecDTx are associated with undesirable side effects in clinical trials or demonstrate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ecDTx if approved. Unacceptable enhancement of certain toxicities may be seen when our ecDTx is combined with standard of care therapies, or when used as a single agent. We may also be required to modify our development and clinical trial plans based on findings in our ongoing clinical trials. For example, in the now-discontinued monotherapy arm of the POTENTIATE trial, BBI-355 administered with continuous every other day dosing (Q2D) demonstrated a narrow therapeutic index resulting from hematological toxicity at or near doses associated with clinical activity, and in the now-discontinued combination arms with third-party targeted therapies, the combination of BBI-355 administered with Q2D dosing in combination with these therapies was not well-tolerated at the exposure levels believed to be required for robust, sustained anti-tumor activity. Many compounds that initially showed promise in early-stage testing for treating cancer have later been found to cause side effects that prevented further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of the compounds. In addition, we have studied, and plan to study, our ecDTx in combination with other therapies, which may exacerbate adverse events associated with such ecDTx.</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successfully complete early phase clinical studies and establish initial clinical proof-of-concept, it is possible that as we test our ecDTx in larger, longer, and more extensive clinical trials, including with different dosing regimens, or as the use of these ecDTx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our business, financial condition, and prospects significantly.</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Patients treated with our ecDTx may also be undergoing surgical, radiation, and/or chemotherapy treatments, which can cause side effects or adverse events that are unrelated to our ecDTx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we expect that some of the patients enrolled in our clinical trials will die or experience major clinical events either during the course of our clinical trials or after participating in such trials.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if our ecDTx receives regulatory approval, and we or others later identify undesirable side effects caused by such product, a number of potentially significant negative consequences could result, including:</w:t>
      </w:r>
    </w:p>
    <w:p>
      <w:pPr>
        <w:spacing w:after="0" w:line="54" w:lineRule="exact"/>
        <w:rPr>
          <w:sz w:val="20"/>
          <w:szCs w:val="20"/>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approvals of such product, or seek an injunction against its manufacture or distribution;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distributed or administered, conduct additional clinical trials, change the labeling of a product, or conduct additional post-marketing studies or surveillance;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 or the product could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ecDTx, if approved, and could significantly harm our business, results of operations,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organization, we have never completed any clinical trials and may be unable to do so for our ecDTx.</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early in our development efforts for our ecDTx, have never completed any clinical trials, and we will need to successfully complete our ongoing and later-stage and pivotal clinical trials in order to obtain FDA or comparable foreign regulatory approval to market our ecDTx. Carrying out later-stage clinical trials and the submission of a successful NDA is a complicated process. As discussed above, we elected to cease enrollment in the POTENTIATE trial and have not yet completed any clinical trials for our ecDTx. We have limited experience as a company in preparing and submitting marketing applications and have not previously submitted an NDA or other comparable foreign regulatory submission for any ecDTx. In addition, as a company, we have had limited interactions with the FDA and no interaction with other comparable foreign regulatory authorities and cannot be certain how many additional clinical trials of our ecDTx will be required or how such trials should be designed. Consequently, we may be unable to successfully and efficiently execute and complete necessary clinical trials in a way that leads to submission and regulatory approval of our ecDTx. We may require more time and incur greater costs than our competitors and may not succeed in obtaining regulatory approvals of ecDTx that we develop. Failure to commence or complete, or delays in, our planned clinical trials could prevent us from or delay us in submitting marketing applications, including NDAs, for and commercializing our ecDTx.</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identify predictive biomarkers to identify patient populations most likely to benefit from our ecDTx, or develop a diagnostic to enable patient selection for our ecDTx, or if we experience significant delays in doing so, we may not realize the full commercial potential of our ecDTx.</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key component of our strategy is our ability to identify patient populations most likely to benefit from our ecDTx by using a biomarker-driven approach. Identification of these patients will require identification of predictive biomarkers and may require the development and use of a diagnostic assay.</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may not be able to identify predictive biomarkers to identify patients most likely to benefit from our ecDTx. If we identify predictive biomarkers, there are several risks associated with the development of a diagnostic assay to identify the biomarkers. We may not be able to validate a diagnostic and the related biomarkers or their functional relevance clinically. Potential biomarkers, even if validated preclinically, may not be functionally validated in human clinical trials. Any failure by us to successfully develop or obtain marketing authorization for a diagnostic assay, or any delays in doing so, may harm the commercial prospects of our ecDTx. Moreover, we may need to work with a third-party diagnostic developer to assist us in developing a diagnostic assay. For example, we developed an ecDNA diagnostic as a clinical trial assay for use during our Phase 1/2 POTENTIATE clinical trial using a third-party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company. In the future, we may have difficulty identifying or maintaining a relationship with a third-party diagnostic developer, and we may face competition from other companies in establishing these relationships.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develop our ecDTx in combination with other therapies, which exposes us to additional risks.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intend to develop our ecDTx for use in combination with one or more currently approved cancer therapies. Even if our ecDTx was to receive regulatory approval or be commercialized for use in combination with other existing therapies, we would continue to bear the risks that the FDA or similar foreign regulatory authorities could revoke approval of the therapy used in combination with our ecDTx or that safety, efficacy, manufacturing, or supply issues could arise with these existing therapies. Combination therapies are commonly used for the treatment of cancer, and we would be subject to similar risks if we develop our ecDTx for use in combination with other drugs or biologics or for indications other than cancer. Developing combination therapies using approved therapeutics, as we plan to do for our ecDTx, also exposes us to additional clinical risks, such as the requirement that we demonstrate the safety and efficacy of each active component of any combination regimen we may develop.</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FDA or similar foreign regulatory authorities revoke the approval of combination agents, or if safety, efficacy, manufacturing, or supply issues arise with the drugs we choose to evaluate in combination with our ecDTx, we may be unable to obtain approval of or market our ecDTx for combination therapy regimens.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if the third-party providers of therapies or therapies in development used in combination with our ecDTx are unable to produce sufficient quantities for clinical trials or for commercialization of our ecDTx, or if the cost of combination therapies are prohibitive, our development and commercialization efforts would be impaired, which would have an adverse effect on our business, financial condition, results of operations, and prospects.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ecDTx or a particular indication for an ecDTx and fail to capitalize on ecDTx or indications that may be more profitable or for which there is a greater likelihood of success.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ecDTx, development programs, and indications. As a result, we may forgo or delay pursuit of opportunities with other ecDTx that could have had greater commercial potential. Our resource allocation and other decisions may cause us to fail to identify and capitalize on viable potential ecDTx or additional indications for our ecDTx or other profitable market opportunities. Our spending on current and future research and development programs and ecDTx for specific indications may not yield any commercially viable ecDTx. For example, until recently, we have focused our efforts and resources in large part on discovering and developing BBI-355 and BBI-825, however, as discussed above, based on market considerations, clinical data, and our prioritization of BBI-940, we elected to cease enrollment in the POTENTIATE trial evaluating the combination of these drugs. Similarly, while we are currently expending significant resources to investigate BBI-940, there can be no assurance that we will complete KOMODO-1, the first-in-human clinical study of BBI-940, or that BBI-940 will demonstrate acceptable or commercially viable safety and efficacy results in that trial or any later clinical study, if any.</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if we do not accurately evaluate the commercial potential or target market for a particular indication or ecDTx, we may relinquish valuable rights to that ecDTx through collaborations, licenses, and other similar arrangements in cases in which it would have been more advantageous for us to retain sole development and commercialization rights to such ecDTx.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certain of our clinical trials for our ecDTx outside of the United States. However, the FDA and other foreign equivalents may not accept data from such trials, in which case our development plans will be delayed, which could materially harm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in the future conduct one or more of our clinical trials for our ecDTx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the data are applicable to the United States population and United States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There can be no assurance the FDA will accept data from clinical trials conducted outside of the United States. If the FDA does not accept data from our clinical trials of our ecDTx, it would likely result in the need for additional clinical trials, which would be costly and time-consuming and delay or permanently halt our development of our ecDTx.</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standards for reporting and evaluating clinical data and adverse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or political instability, civil unrest, war, or similar events that may jeopardize our ability to commence, conduct, or complete a clinical trial and evaluate resulting data.</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ecDTx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ecDTx or our business. If the interim, topline, or preliminary data that we report differ from actual results, or if others, including regulatory authorities, disagree with the conclusions reached, our ability to obtain approval for, and commercialize our ecDTx may be harmed, which could harm our business, operating results, prospects, or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ecDTx manufacturing or formulation may result in additional costs or delay.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our ecDTx progress through preclinical studies to clinical trials to regulatory approval and commercialization, it is common that various aspects of the ecDTx development program, such as manufacturing methods and formulation, are altered along the way in an effort to optimize safety, efficacy, yield, and manufacturing batch size, minimize costs, and achieve consistent quality and results. There can be no assurance that this or any other future manufacturing or formulation changes will achieve their intended objectives. These changes and any future changes we may make to our ecDTx may also cause such candidates to perform differently and affect the results of future clinical trials conducted with the altered materials. Such changes or related unfavorable clinical trial results could delay initiation or completion of additional clinical trials, require the conduct of bridging studies or clinical trials or the repetition of one or more studies or clinical trials, increase development costs, delay or prevent potential regulatory approval, and jeopardize our ability to commercialize our ecDTx, if approved, and generate revenue.</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or comparable foreign regulatory authority to obtain approval of a companion diagnostic test in connection with approval of our ecDTx, and we do not obtain, or face delays in obtaining, FDA or foreign approval of such companion diagnostic, we will not be able to commercialize our ecDTx, and our ability to generate revenue will be materially impaired.</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the FDA believes that the safe and effective use of our ecDTx depends on an in vitro diagnostic, then it may require approval or clearance of that diagnostic as a companion diagnostic at the same time that the FDA approves our ecDTx,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diagnostic is not commercially available in this situation, we may be required to complete the development of a diagnostic that would be subject to regulatory approval requirements. The process of obtaining or creating such diagnostics is time-consuming and costly.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and the FDA has generally required premarket approval of companion diagnostics for cancer therapies. As such, we expect we may need to obtain approval for any diagnostic we may develop for use with our ecDTx.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the FDA or a comparable foreign regulatory authority requires approval or clearance of a companion diagnostic for our ecDTx, whether before, simultaneously with, or after the ecDTx obtains regulatory approval, we and/or third-party developers may encounter difficulties in developing and obtaining approval or clearance for these companion diagnostics. Any delay or failure by us or third-party developers to develop or obtain regulatory approval or clearance of a companion diagnostic could delay or prevent approval or continued marketing of the relevant ecDTx. We or our third-party developers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ecDTx, if approved, on a timely or profitable basis, if at all.</w:t>
      </w:r>
    </w:p>
    <w:p>
      <w:pPr>
        <w:spacing w:after="0" w:line="2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through the use of the accelerated approval pathway. If we are unable to obtain such approval, we may be required to conduct additional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in the future seek an accelerated approval for our ecDTx.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accelerated approval is usually contingent on the sponsor’s agreement to conduct, in a diligent manner, additional post-approval confirmatory studies to verify and describe the drug’s clinical benefit. If such confirmatory studies fail to confirm the drug’s clinical benefit or are not completed in a timely manner, the FDA may withdraw its approval of the drug on an expedited basis. In addition, the Food and Drug Omnibus Reform Act of 2022, among other things, provided the FDA with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Prior to seeking approval for our ecDTx, we intend to seek feedback from the FDA and will otherwise evaluate our ability to seek and receive accelerated approval. There can be no assurance that after our evaluation of the feedback and other factors we will decide to pursue or submit an NDA for accelerated approval or obtain any other form of expedited development, review, or approval. Furthermore, if we decide to submit an application for accelerated approval for our ecDTx, there can be no assurance that such submission or application will be accepted or that any expedited development, review, or approval will be granted on a timely basis, or at all. The FDA could also require us to conduct further studies prior to considering our application or granting approval of any type. A failure to obtain accelerated approval or any other form of expedited development, review, or approval for our ecDTx would result in a longer time period to commercialization of such ecDTx, if any, could increase the cost of development of such ecDTx, and could harm our competitive position in the marketplace.</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including due to government shutdowns, other funding shortages, policy changes, leadership changes, layoffs or significant personnel turnover, or public health concerns, could impede development and potential marketing approval of our ecDTx and our ability to raise capital.</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Over the last several years, the U.S. government has shut down several times and certain federal regulatory agencies, such as the FDA and SEC, furloughed or laid off employees and halted non-essential operations due to the failure of Congress to pass a new appropriations bill or continuing resolution to temporarily extend funding. Political polarization among lawmakers may lead to a higher frequency and longer duration of government shutdowns in the future. A federal government shutdown or other disruption to ordinary course operations could prevent or delay staff at federal agencies from performing key functions that may adversely affect our business, and the more prolonged the disruption, the greater risks it may pose to our business. In addition, considerable uncertainty exists regarding the current U.S. presidential administration’s initiatives and how these might impact federal government agencies, including the FDA, their implementation of laws, regulations, policies, and guidance, and their personnel. Alternatively, state governments may attempt to address or react to changes at the federal level with changes to their own regulatory frameworks in a manner that is adverse to our business or operations.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 applications or take action with respect to other regulatory matters can be affected by a variety of factors, including funding levels, ability to accept the payment of user fees, ability to hire and retain key personnel, and statutory, regulatory, and policy changes. Government funding of other government agencies that fund research and development activities is subject to the political process, which is inherently fluid and unpredictable. For example, the current U.S. presidential administration has issued certain policies and executive orders directed towards reducing, and subsequent reductions have occurred to, the employee headcount and costs associated with U.S. administrative agencies, including the FDA, and it remains unclear the degree to which these efforts may limit or otherwise adversely affect the FDA’s ability to conduct routine activities. Disruptions at the FDA may delay meetings and other communications with agency staff necessary to progress development of our ecDTx and may slow the time necessary for acceptance, review, and approval of applications to commence clinical studies or to market a new product in the U.S., which could also adversely affect our operating results and financial condition.</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disruptions at the SEC could prevent or delay SEC staff from performing key functions, including, for example, granting acceleration requests for registration statements, declaring registration statements or amendments thereto effective and providing interpretive guidance or no-action letters. If a federal government shutdown halts non-essential SEC operations for an extended period, it may negatively impact our ability to raise additional capital through registered offerings of our securities. If a prolonged U.S. government shutdown or other event or condition occurs that prevents or significantly delays the FDA, SEC or other regulatory agencies from hiring and retaining personnel and conducting their regular activities, or if an agency is restructured or experiences significant reduction in funding, leadership changes, or employee turnover, it could significantly impact the ability of these agencies to timely review and process our regulatory submissions and may impede our access to additional capital needed to maintain or expand our operations or to complete important acquisitions or other transactions, which could have a material adverse effect on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preclinical studies. If these third parties do not successfully carry out their contractual duties, comply with applicable regulatory requirements, or meet expected deadlines, our ecDTx development programs and our ability to seek or obtain regulatory approval for or commercialize our ecDTx may be delayed.</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dependent on third parties to conduct our clinical trials and preclinical studies. Specifically, we rely on, and intend to continue to rely on, medical institutions, clinical investigators, CROs, and consultants to conduct our preclinical studies and clinical trials in accordance with our clinical protocols and regulatory requirements. These CROs, investigators, and other third parties play a significant role in the conduct and timing of these trials and subsequent collection and analysis of data.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Good Laboratory Practice (GLP) requirements for certain preclinical studies, as well as GCP requirements, which are regulations and guidelines enforced by the FDA and comparable foreign regulatory authorities for clinical trials of all of our ecDTx. Regulatory authorities enforce these GCPs through periodic inspections of trial sponsors, principal investigators, and trial sites. If we or any of our CROs or trial sites fail to comply with applicable GLP or GCP or other requirements, the clinical data generated in our preclinical studies or clinical trials may be deemed unreliable, and the FDA or comparable foreign regulatory authorities may require us to perform additional preclinical studies or clinical trials before approving our marketing applications, if ever. Further, our clinical trials must be conducted with products produced in accordance with cGMP regulations. Failure to comply with these regulations may require us to repeat clinical trials, which would delay the regulatory approval process.</w:t>
      </w:r>
    </w:p>
    <w:p>
      <w:pPr>
        <w:spacing w:after="0" w:line="1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manufacture of our ecDTx for clinical and preclinical development and expect to continue to do so for the foreseeable future. This reliance on third parties increases the risk that we will not have sufficient quantities of our ecDTx or products or such quantities at an acceptable cost, which could delay, prevent, or impair, our development or commercialization efforts.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do not own or operate manufacturing facilities and have no plans to develop our own clinical or commercial-scale manufacturing capabilities. We rely, and expect to continue to rely, on third parties, some of which operate outside of the U.S., for the manufacture of our ecDTx and related raw materials and to package, label, ship, store, and distribute our ecDTx for clinical and preclinical development, and we intend to rely on third parties for such services for our commercial products if any marketing approval is obtained. This reliance on third parties increases the risk that timely availability of clinical trial supplies of our ecDTx, and future products, if any, may be delayed, limited, or interrupted, or that their quality or cost is not satisfactory or acceptable. The facilities used by third-party manufacturers to manufacture our ecDTx must be approved for the manufacture of our ecDTx by the FDA and any comparable foreign regulatory authority pursuant to inspections that will be conducted after we submit an NDA to the FDA or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quality control, quality assurance, and qualified personnel. If the FDA or any comparable foreign regulatory authority does not approve these facilities for the manufacture of our ecDTx or if it withdraws any such approval in the future, we may need to find alternative manufacturing facilities, which would significantly impact our ability to develop, obtain regulatory approval for, or market our ecDTx, if approved. Our failure,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the failure of our third-party manufacturers, to comply with applicable regulations could result in sanctions being imposed on us, including clinical holds, fines, injunctions, civil penalties, delays, suspension or withdrawal of approvals, seizures or recalls of ecDTx or products, operating restrictions, and criminal prosecutions, any of which could significantly and adversely affect supplies of our ecDTx.</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on commercially reasonable terms, in a timely manner and in compliance with cGMP or other regulatory requirements could adversely affect our business in a number of ways, including:</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our ecDTx;</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our ecDTx;</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our ecDTx;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our ecDTx, an inability to meet commercial demands for our ecDTx.</w:t>
      </w:r>
    </w:p>
    <w:p>
      <w:pPr>
        <w:spacing w:after="0" w:line="22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currently, and may in the future, rely on foreign CMOs. Such foreign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in January 2024, there was congressional activity, including the introduction of the BIOSECURE Act (“H.R. 7085”) in the House of Representatives and a substantially similar Senate bill (“S.3558”). A version of the BIOSECURE Act was passed by the U.S. House of Representatives in September 2024 (“H.R. 8333”), however, the Senate did not approve that legislation. In October 2025, both the U.S. House of Representatives and Senate passed their respective versions of the National Defense Authorization Act of 2026 (“NDAA”), each including an amendment often referred to as “BIOSECURE 2.0.” BIOSECURE 2.0 was reconciled in conference and signed into law on December 18, 2025. BIOSECURE 2.0 establishes federal government contracting, grant, and loan restrictions similar in effect to previously introduced bills. BIOSECURE 2.0 implements a process-based designation system through which biotechnology companies “of concern” are identified based on whether such companies fall within statutorily defined categories, including entities identified on the Department of Defense’s Section 1260H list of “Chinese military companies” and other entities that are subject to the administrative governance structure, direction, control, or jurisdiction of a foreign adversary’s government which pose national security risks based on specified criteria. The prohibitions of BIOSECURE 2.0 will become effective approximately three years after the enactment of BIOSECURE 2.0 (i.e., December 2028). BIOSECURE 2.0 has the potential to severely restrict the ability of U.S. biopharmaceutical companies like us to purchase products or services from, or otherwise collaborate with, certain Chinese biotechnology companies “of concern” without losing the ability to contract with, or otherwise receive funding from, the U.S. government. It is possible some of our Chinese CMOs and other Chinese vendors, could be impacted by this legislation.</w:t>
      </w:r>
    </w:p>
    <w:p>
      <w:pPr>
        <w:spacing w:after="0" w:line="1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do not have any long-term commitments or supply agreements with our third-party manufacturers. We may be unable to establish any long-term supply agreements with third-party manufacturers or to do so on acceptable terms or at all, which increases the risk of failing to timely obtain sufficient quantities of our ecDTx or such quantities at an acceptable cost. Even if we are able to establish agreements with third-party manufacturers, reliance on third-party manufacturers entails additional risks, including:</w:t>
      </w:r>
    </w:p>
    <w:p>
      <w:pPr>
        <w:spacing w:after="0" w:line="7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specifications;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adequate raw materials and other materials required for 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schedule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scale up manufacturing capacity, if required;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to pay tariffs for products or the related raw materials imported from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exposure to supply chain complexities and disruptions;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Our ecDTx and any products that we may develop may compete with other product candidates and products for access to manufacturing facilities.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and any related remedial measures may be costly or time consuming to implement. We do not currently have arrangements in place for redundant supply or a second source for all required raw materials used in the manufacture of our ecDTx. If our existing or future third-party manufacturers cannot perform as agreed, we may be required to replace such manufacturers and we may be unable to replace them on a timely basis or at all.</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our current and anticipated future dependence upon others for the manufacture of our ecDTx or products may adversely affect our future profit margins and our ability to commercialize any products that receive regulatory approval on a timely and competitive basis.</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or other third party will discover them or that our trade secrets will be misappropriated or disclosed.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we currently rely on third parties to manufacture our ecDTx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licenses, and other similar arrangements and may not be successful in doing so, and even if we are, we may relinquish valuable rights and may not realize the benefits of such relationships.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seek to enter into collaborations, joint ventures, licenses, and other similar arrangements for the development or commercialization of our ecDTx, if approved, due to capital costs required to develop or commercialize the ecDTx or manufacturing constraints. We may not be successful in our efforts to establish or maintain such collaborations for our ecDTx because our research and development pipeline may be insufficient, our ecDTx may be deemed to be at too early of a stage of development for collaborative effort, or third parties may not view our ecDTx as having the requisite potential to demonstrate safety and efficacy or significant commercial opportunity. In addition, we face significant competition in seeking appropriate strategic partners, and the negotiation process can be time-consuming and complex. Even if we are successful in our efforts to establish such collaborations, the terms that we agree upon may not be favorable to us. For example, we may need to relinquish valuable rights to our future revenue streams, research programs, intellectual property, ecDTx or a diagnostic assay, or grant licenses on terms that may not be favorable to us, as part of any such arrangement, and such arrangements may restrict us from entering into additional agreements with other potential collaborators. In addition, if we enter into such collaborations, we will have limited control over the amount and timing of resources that our collaborators will dedicate to the development or commercialization of our ecDTx. Our ability to generate revenue from these arrangements will depend on any future collaborators’ abilities to successfully perform the functions assigned to them in these arrangements. We cannot be certain that, following a collaboration, license, or strategic transaction, we will achieve an economic benefit that justifies such transaction, and such transaction may not yield additional development or ecDTx for our pipeline. Furthermore, we may not be able to maintain such collaborations if, for example, the development or approval of an ecDTx is delayed, the safety of an ecDTx is questioned, or the sales of an approved ecDTx are unsatisfactory.</w:t>
      </w:r>
    </w:p>
    <w:p>
      <w:pPr>
        <w:spacing w:after="0" w:line="19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ecDTx, if approved, and may not conduct those activities in the same manner as we do. Any termination of collaborations we enter into in the future, or any delay in entering into collaborations related to our ecDTx, could delay the development and commercialization of our ecDTx, if approved, and reduce its competitiveness if it reaches the market, which could have a material adverse effect on our business, financial condition, results of operations,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ecDTx</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ecDTx, we will be subject to ongoing regulatory obligations and continued regulatory review, which may result in significant additional expense.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regulatory approvals that we may receive for our ecDTx will require the submission of reports to regulatory authorities, subject us to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ecDTx, which could include requirements for a medication guide, physician communication plans, or additional elements to ensure safe use, such as restricted distribution methods, patient registries, and other risk minimization tools.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our ecDTx,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Failure to comply with regulatory requirements or later discovery of previously unknown problems with our products, including adverse events of unanticipated severity or frequency, or with our third-party manufacturers or manufacturing processes, may result in, among other things:</w:t>
      </w:r>
    </w:p>
    <w:p>
      <w:pPr>
        <w:spacing w:after="0" w:line="84" w:lineRule="exact"/>
        <w:rPr>
          <w:sz w:val="20"/>
          <w:szCs w:val="20"/>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 warning letters, untitled letters, adverse publicity requirements, or holds on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submitted by us or suspension or revocation of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 the imposition of civil or criminal penalties.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ecDTx and generate revenue and could require us to expend significant time and resources in response and could generate negative publicity.</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marketing authorization of any ecDTx.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our ecDTx, if approved. In particular, a product may not be promoted for uses that are not approved by the FDA or such other regulatory agencies as reflected in the product’s approved labeling. If we receive regulatory approval for an ecDTx,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ecDTx, if approved, we could become subject to significant liability, which would materially adversely affect our business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ecDTx will depend upon the degree of market acceptance of such ecDTx by physicians, patients, healthcare payors, and others in the medical community.</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ecDTx may not be commercially successful. Even if our ecDTx receives regulatory approval, it may not gain market acceptance among physicians, patients, healthcare payors, or the medical community. The commercial success of our ecDTx will depend significantly on the broad adoption and use of the resulting product by these individuals and organizations for approved indications. The degree of market acceptance of our products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including as compared to any more-established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ecDTx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drug for the relevant indication by healthcare providers and their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products, as well as the cost of treatment with our products in relation to alternative treatments and therapies;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products in the absence of sufficient third-party coverage and adequate reimbursement;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and the prevalence and severity of any adverse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availability, safety, and efficacy of competitive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potential future collaborators’ sales and marketing strategies;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any ecDTx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ecDTx, if approved, will depend in part on the extent to which governmental authorities and health insurers establish coverage, adequate reimbursement levels, and favorable pricing policies. Failure to obtain or maintain coverage and adequate reimbursement for our ecDTx could limit our ability to market those products and decrease our ability to generate revenue.</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ecDTx, if approved. Our ability to achieve coverage and adequate levels of reimbursement for our ecDTx by third-party payors will have a material effect on our ability to successfully commercialize our ecDTx. Accordingly, we will need to successfully implement a coverage and reimbursement strategy for any approved ecDTx. Even if we obtain coverage for a given ecDTx by a third-party payor, the resulting reimbursement payment rates may not be adequate or may require co-payments that patients find unacceptably high. Reimbursement for drugs by government healthcare programs may be reduced by mandatory discounts or rebates required by such programs. Certain government healthcare programs impose ceiling prices on products of participating manufacturers.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ecDTx as substitutable and offer to reimburse patients only for the less expensive product. Even if we are successful in demonstrating improved efficacy or improved convenience of administration with our ecDTx, pricing of existing drugs may limit the amount we will be able to charge for our ecDTx. These payors may deny or revoke the reimbursement status of a given product or establish prices for new or existing marketed products at levels that are not adequate to enable us to realize an appropriate return on our investment in ecDTx development. If reimbursement is not available or is available only at inadequate levels, we may not be able to successfully commercialize our ecDTx and may not be able to obtain a satisfactory financial return on ecDTx that we may develop. In addition, in the event that we develop companion diagnostic tests for use with our ecDTx, once approved, such diagnostic tests will require coverage and reimbursement separate and apart from the coverage</w:t>
      </w:r>
    </w:p>
    <w:p>
      <w:pPr>
        <w:sectPr>
          <w:pgSz w:w="11900" w:h="16838" w:orient="portrait"/>
          <w:cols w:equalWidth="0" w:num="1">
            <w:col w:w="11240"/>
          </w:cols>
          <w:pgMar w:left="320" w:top="117"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reimbursement for their companion pharmaceutical product. Similar challenges to obtaining coverage and reimbursement applicable to pharmaceutical products will apply to companion diagnostics tests.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third-party payors, including private and governmental payors, such as the Medicare and Medicaid,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time consuming and costly and may require us to provide scientific and clinical support for the use of our ecDTx to each payor separately, with no assurance that coverage and adequate reimbursement will be applied consistently or obtained in the first instance. Reimbursement practices are also subject to rules and regulations that may change frequently, and, in some cases, at short notice.</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ecDTx,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ecDTx. Accordingly, in markets outside the United States, the reimbursement for our products may be reduced compared with the United States and may be insufficient to generate commercially reasonable revenue and profits.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ecDTx. We expect to experience pricing pressures in connection with the sale of our ecDTx due to the trend toward managed healthcare, the increasing influence of health maintenance organizations and additional legislative changes. There is increasing downward pressure on healthcare costs in general, and prescription drugs, surgical procedures, and other treatments in particular. As a result, increasingly high barriers are being erected to the entry of new products. See the section titled “Risk Factors—Risks Related to Our Business Operations and Industry—Current and future healthcare reform legislation or regulation may increase the difficulty and cost for us to obtain coverage for and commercialize our ecDTx and may adversely affect the prices we may set” for additional related information.</w:t>
      </w:r>
    </w:p>
    <w:p>
      <w:pPr>
        <w:spacing w:after="0" w:line="2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their product candidates are more effective, safer, or less expensive than our ecDTx, our business and our ability to develop and successfully commercialize ecDTx may be adversely affected.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rapid advancing technologies, intense competition, and a strong emphasis on proprietary and novel products and product candidates. Our competitors have developed, are developing, or may develop products or product candidates competitive with our ecDTx. Any ecDTx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indications for which we may attempt to develop ecDTx. In particular, there is intense competition in the oncology field. Our competitors include larger and better-funded pharmaceutical, biopharmaceutical, biotechnological, and therapeutics companies. Moreover, we may also compete with universities and other research institutions that may be active in oncology research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patients for clinical trials, and identifying and in-licensing intellectual property related to new ecDTx,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our ecDTx is approved, it will compete with surgery, radiation, and drug therapy, including chemotherapy, hormone therapy, biologic therapy, such as monoclonal and bispecific antibodies, antibody-drug conjugates, radiopharmaceuticals, immunotherapy, cell-based therapy, and targeted therapy, or a combination of any such methods, either approved or under development, that are intended to treat the same indications that we are targeting or may target, including through approaches that may prove to be more effective, have fewer side effects, be less costly to manufacture, be more convenient to administer, or have other advantages over our ecDTx. There are numerous companies developing precision oncology medicines with which we may compete. In addition to competing with other therapies targeting similar indications, there are numerous other companies and academic institutions focused on similar targets as our ecDTx and/or different scientific approaches to treating the same indications. We face competition from such companies in seeking any future potential collaborations to partner our ecDTx, as well as potentially competing commercially for any approved products.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our current ecDTx, BBI-940, the kinesin target is novel and we are unaware of any therapeutic programs developing compounds directed against this kinesin target; however, potential competition could arise from established companies as well as emerging biotechnology companies that may launch programs against the novel target once it is disclosed publicly, or against targets similar to this novel target. Additionally, we are not aware of any companies with programs in clinical development for ecDNA-enabled cancer or a related patient selection strategy for ecDNA. We are aware of one early-stage private company that is focused on research in ecDNA, Econic Biosciences.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any ecDTx,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ecDTx we develop obsolete or noncompetitive before we recover the expense of developing and commercializing it. If we are unable to compete effectively, our opportunity to generate revenue from the sale of any ecDTx we may develop, if approved, could be adversely affected.</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ecDTx may be limited to patients who are ineligible for or have failed prior treatments and may be small or different from our estimates.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Cancer therapies are defined by lines of therapy as well as by treatment-naïve or previously-treated status. Often the initial approval for a new therapy is in later lines and subsequent approval in an earlier line may not be feasible. When cancer is detected early enough, first line therapy is sometimes adequate to cure the cancer or prolong life without a cure. Whenever first line therapy, including surgery, radiation therapy, targeted therapy, immunotherapy, chemotherapy, hormone therapy, or a combination of these, proves unsuccessful, second line therapy may be administered. Second line therapies often consist of additional chemotherapy, radiation, antibody drugs, tumor targeted small molecules, or a combination of these. Third line therapies can include antibody and small molecule targeted therapies, more invasive forms of surgery, and new technologies. In markets with approved therapies, there is no guarantee that our ecDTx, even if approved, would be approved for second line or first line therapy. This could limit our potential market opportunity. In addition, we may have to conduct additional clinical trials prior to gaining approval for second line or first line therapy.</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later stage therapy and who have the potential to benefit from treatment with our ecDTx, are based on our beliefs and estimates. These estimates have been derived from a variety of sources, including scientific literature, publicly available clinical molecular reports, patient foundations, or market research, and may prove to be incorrect. Further, new trials or information may change the estimated incidence or prevalence of these cancers. Further, specific to our biomarker-driven strategy, data analytics, and information from databases that we rely on for identifying or validating some of our biomarker-target relationships may not accurately reflect potential patient populations or may be based on incorrect methodology. As ecDNA in oncogene amplified cancers is a new and novel approach, this heightens the risk that our estimates of the eligible patient population may not be accurate.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ecDTx, because some of our potential target populations are very small, we may never achieve profitability despite obtaining such significant market share.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no internal sales, marketing, or distribution capabilities, nor have we ever commercialized a product. If our ecDTx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with the marketing, sale, or distribution of biopharmaceutical products, and there are significant risks involved in the building and managing of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ecDTx revenue and our profitability, if any, may be lower if we rely on third parties for these functions than if we were to market, sell, and distribute any ecDTx that we develop ourselves. We likely will have little control over such third parties, and any of them may fail to devote the necessary resources and attention to sell and market our ecDTx effectively. If we are not successful in commercializing our ecDTx, either on our own or through arrangements with one or more third parties, we may not be able to generate any future ecDTx revenue and we would incur significant additional losses.</w:t>
      </w:r>
    </w:p>
    <w:p>
      <w:pPr>
        <w:spacing w:after="0" w:line="3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ecDTx in foreign markets. We are not permitted to market or promote our ecDTx before we receive regulatory approval from applicable regulatory authorities in foreign markets, and we may never receive such regulatory approvals for our ecDTx. To obtain separate regulatory approval in many other countries we must comply with numerous and varying regulatory requirements regarding safety and efficacy and governing, among other things, clinical trials, commercial sales, pricing, and distribution of our ecDTx. Approval procedures may be more onerous than those in the United States and may require that we conduct additional preclinical studies or clinical trials. If we obtain regulatory approval of our ecDTx and ultimately commercialize our ecDTx in foreign markets, we would be subject to additional risks and uncertainties, including:</w:t>
      </w:r>
    </w:p>
    <w:p>
      <w:pPr>
        <w:spacing w:after="0" w:line="81"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export control and import laws and regulations and unexpected changes in tariffs, trade barriers, and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public health pandemics or epidemics, or natural disasters including earthquakes, typhoons, floods, and fires.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ecDTx, which may change from time to time, including the need to conduct unanticipated clinical trials or trials that are larger or more complex than anticipated;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or clinical trials for our ecDTx or competing products, or any other change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ecDTx, if approved, and potential future drugs that compete with our ecDTx;</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ecDTx, which may vary depending on the quantity of production and the terms of our agreements with third-party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ecDTx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approved ecDTx, which may vary significantly and be difficult to predict;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payable by us or due to us under any collaboration, licensing, or other similar agreement.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relatively small number of employees which may constrain our ability to accomplish our business objectives. Our long-term success is dependent on our ability to retain and attract highly qualified management and other clinical and scientific personnel.</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8, 2026, we had 28 full-time employees. Due to our relatively small workforce, we may experience constraints that impede the achievement of our business objectives. Further, if multiple employees were to become unable to work for a prolonged period, or if they were to resign at roughly the same time, our ability to effectively manage and operate our business could become significantly impaired.</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long-term success depends in part on our ability to attract, recruit, retain, manage, and motivate highly qualified management, clinical, and scientific personnel, and we face significant competition for experienced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clinical trials and preclinical studies, regulatory approvals, or the commercialization of our ecDTx. Although we have executed employment agreements or offer letters with each member of our senior management team, these agreements are terminable at will with or without notice and, therefore, we may not be able to retain their services as expected. For example, the employment of our Chief Business Officer with us terminated in January 2025. We do not currently maintain “key person” life insurance on the lives of our executives or any of our employees. This lack of insurance means that we may not have adequate compensation for the loss of the services of these individuals.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employment candidates and existing employees often consider the value of the stock awards they receive in connection with their employment. If the perceived benefits of our stock awards decline, either due to the trading price of our stock or for other reasons, it may harm our ability to recruit and retain highly skilled employees. Our ability to retain highly skilled employees may be negatively impacted by any significant appreciation or depreciation in our stock price relative to the exercise price of outstanding stock options.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future, 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scientific personnel in the future due to the intense competition for qualified personnel among biopharmaceutical, biotechnology, and other businesses.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we continue development and pursue the potential commercialization of our ecDTx, we will need to expand our financial, development, regulatory, manufacturing, information technology, marketing, and sales capabilities or contract with third parties to provide these capabilities for us. As our operations expand, we expect that we will need to manage additional relationships with various strategic partners, suppliers, and other third parties, and we may not be successful in doing so. Our future financial performance and our ability to develop and commercialize our ecDTx and to compete effectively will depend, in part, on our ability to manage any future growth effectively.</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regulatory approval. Such laws include:</w:t>
      </w:r>
    </w:p>
    <w:p>
      <w:pPr>
        <w:spacing w:after="0" w:line="72" w:lineRule="exact"/>
        <w:rPr>
          <w:sz w:val="20"/>
          <w:szCs w:val="20"/>
          <w:color w:val="auto"/>
        </w:rPr>
      </w:pPr>
    </w:p>
    <w:p>
      <w:pPr>
        <w:jc w:val="both"/>
        <w:ind w:left="1020" w:hanging="503"/>
        <w:spacing w:after="0" w:line="25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false claims laws, including the civil False Claims Act (FCA),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The government can bring claims directly or through a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and potential liability includes mandatory treble damages and significant per-claim penalties.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Pharmaceutical and other healthcare companies have been, and continue to be, prosecuted under these laws, among other things, for allegedly providing free product to customers with the expectation that the customers would bill federal programs for the product and for causing false claims to be submitted because of the companies’ marketing of the product for unapproved, off-label, and thus generally non-reimbursable uses. In addition, the government may assert that a claim including items or services resulting from a violation of the federal Anti-Kickback Statute constitutes a false or fraudulent claim for purposes of the civil False Claims Act. Similar to the federal Anti-Kickback Statute, a person or entity does not need to have actual knowledge of the statute or specific intent to violate it in order to have committed a violation;</w:t>
      </w:r>
    </w:p>
    <w:p>
      <w:pPr>
        <w:spacing w:after="0" w:line="8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imposes criminal and civil liability for, among other things, knowingly and willfully executing, or attempting to execute, a scheme to defraud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right="120"/>
        <w:spacing w:after="0" w:line="253" w:lineRule="auto"/>
        <w:rPr>
          <w:sz w:val="20"/>
          <w:szCs w:val="20"/>
          <w:color w:val="auto"/>
        </w:rPr>
      </w:pPr>
      <w:r>
        <w:rPr>
          <w:rFonts w:ascii="Times New Roman" w:cs="Times New Roman" w:eastAsia="Times New Roman" w:hAnsi="Times New Roman"/>
          <w:sz w:val="18"/>
          <w:szCs w:val="18"/>
          <w:color w:val="auto"/>
        </w:rPr>
        <w:t>healthcare benefit program, or knowingly and willfully falsifying, concealing, or covering up a material fact or making any materially false statement, in connection with the delivery of, or payment for, healthcare benefits, items, or services. HIPAA, as amended by the Health Information Technology for Economic and Clinical Health Act of 2009 (HITECH) and their respective implementing regulations, which impose privacy, security, and breach reporting obligations with respect to individually identifiable health information upon covered entities, including certain healthcare providers, health plans, and healthcare clearinghouses, and their respective business associates and covered subcontractors.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Similar to the federal Anti-Kickback Statute and federal false claims laws, a person or entity does not need to have actual knowledge of the statute or specific intent to violate it in order to have committed a violation;</w:t>
      </w:r>
    </w:p>
    <w:p>
      <w:pPr>
        <w:spacing w:after="0" w:line="86" w:lineRule="exact"/>
        <w:rPr>
          <w:sz w:val="20"/>
          <w:szCs w:val="20"/>
          <w:color w:val="auto"/>
        </w:rPr>
      </w:pPr>
    </w:p>
    <w:p>
      <w:pPr>
        <w:ind w:left="1020" w:right="100" w:hanging="503"/>
        <w:spacing w:after="0" w:line="25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such healthcare professionals and their immediate family members; and</w:t>
      </w:r>
    </w:p>
    <w:p>
      <w:pPr>
        <w:spacing w:after="0" w:line="80" w:lineRule="exact"/>
        <w:rPr>
          <w:rFonts w:ascii="Times New Roman" w:cs="Times New Roman" w:eastAsia="Times New Roman" w:hAnsi="Times New Roman"/>
          <w:sz w:val="18"/>
          <w:szCs w:val="18"/>
          <w:color w:val="auto"/>
        </w:rPr>
      </w:pPr>
    </w:p>
    <w:p>
      <w:pPr>
        <w:ind w:left="1020" w:right="240" w:hanging="503"/>
        <w:spacing w:after="0" w:line="255"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companies to report information on the pricing of certain drug products; and some state and local laws that require the registration or pharmaceutical sales representatives.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including certain consulting agreements and advisory board agreements we have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p>
    <w:p>
      <w:pPr>
        <w:spacing w:after="0" w:line="3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to obtain coverage for and commercialize our ecDTx and may adversely affect the prices we may set.</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our ecDTx for which we obtain regulatory approval. In particular, there have been and continue to be a number of initiatives at the U.S. federal and state levels that seek to reduce healthcare costs and improve the quality of healthcare.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example, in March 2010, the Affordable Care Act (ACA) was enacted in the United States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and biologic agents; extended manufacturers’ Medicaid rebate liability to covered outpatient drugs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In June 2021, the U.S. Supreme Court dismissed the most recent judicial challenge to the ACA brought by several states without specifically ruling on the constitutionality of the ACA. The current U.S. presidential administration has made several changes to how the ACA is implemented. For example, in January 2025, President Trump issued Executive Order 14148, which revoked Executive Order 14009 issued by President Biden in January 2021, that had initiated a special enrollment period for purposes of obtaining health insurance coverage through the ACA marketplace. It is possible that the ACA will be subject to further judicial or Congressional challenges in the future. It is unclear what healthcare reform measures will be implemented by the current presidential administration going forward, but further changes are anticipated.</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In July 2025, the annual reconciliation bill, the “One Big Beautiful Bill Act” (OBBBA), was signed into law which is expected to reduce Medicaid spending and enrollment by shortening the open enrollment period, disqualifying Deferred Action for Childhood Arrivals (DACA) recipients, implementing work requirements for some beneficiaries, capping state-directed payments, reducing federal funding, and limiting provider taxes used to fund the program. OBBBA also narrows access to ACA marketplace exchange enrollment and declined to extend the ACA’s enhanced advanced premium tax credits, which expired in 2025, and these changes, among other provisions in the law, are anticipated to reduce the number of Americans with health insurance. Additionally, under the sequestration required by the Budget Control Act of 2011, beginning April 1, 2013, Medicare payments to providers were reduced, which will remain in effect through 2032 unless additional Congressional action is taken. Enacted in January 2013, the American Taxpayer Relief Act of 2012, among other things, reduced Medicare payments to several providers, including hospitals, and increased the statute of limitations period for the government to recover overpayments to providers from three to five years. Further, enacted in March 2021, the American Rescue Plan Act of 2021 eliminated the statutory Medicaid drug rebate cap, beginning January 1, 2024. The rebate was previously capped at 100% of a drug’s average manufacturer price.</w:t>
      </w:r>
    </w:p>
    <w:p>
      <w:pPr>
        <w:spacing w:after="0" w:line="192"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and regulations designed to, among other things, reduce the cost of prescription drugs under Medicare, bring more transparency to product pricing, review the relationship between pricing and manufacturer patient assistance programs, and reform government program reimbursement methodologies for products. Most significantly, in August 2022, the Inflation Reduction Act of 2022 (IRA) was enacted. This statute marks the most significant action by Congress with respect to the pharmaceutical industry since adoption of the ACA in 2010. Among other things, the IRA requires manufacturers of certain drugs to engage in price negotiations with Medicare to establish a “maximum fair price” for a fixed number of pharmaceutical and biological products covered under Medicare Parts B and D; imposes rebates under Medicare Part B and Medicare Part D to penalize price increases that outpace inflation (first due in 2023); redesigns the Medicare Part D benefit (beginning in 2024); and replaces the Part D coverage gap discount program with a new manufacturer discounting program (which began in 2025). CMS published the negotiated maximum prices for the initial ten drugs that were subject to the IRA’s negotiation process, which are effective in 2026, and published the negotiated maximum prices for the subsequent 15 drugs to be effective in 2027.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In December 2023, the National Institute of Standards and Technology published for comment a Draft Interagency Guidance Framework for Considering the Exercise of March-In Rights, which, under the Bayh-Dole Act, gives the federal government authority to "march in" and grant compulsory patent licenses to third parties in some circumstances. Under the draft guidance, march-in rights include the price of a product as one factor an agency can use when deciding to exercise march-in rights. While march-in rights have not previously been exercised, it is uncertain if that will continue under the new framework. The impact of the IRA on the pharmaceutical industry cannot yet be fully determined but is likely to be significant. Further, there is uncertainty surrounding this program with the current U.S. presidential administration, especially in light of the administration’s budget cuts which impact an agency’s ability to regulate through guidance. Further, it is unclear how the new leadership of HHS, CMS, etc. will approach the issue of drug pricing. Additional drug pricing proposals could appear in future legislation.</w:t>
      </w:r>
    </w:p>
    <w:p>
      <w:pPr>
        <w:spacing w:after="0" w:line="20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while some states are also seeking to implement general, across-the-board price caps for pharmaceuticals, or are seeking to regulate drug distribution. Legally mandated price controls on payment amounts by third-party payors or other restrictions could harm our business, results of operations, financial condition, and prospects. In addition, regional healthcare authorities and individual hospitals are increasingly using bidding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procedures to determine what pharmaceutical products and which suppliers will be included in their prescription drug and other healthcare programs. This could reduce the ultimate demand for our ecDTx, if approved, or put pressure on our product pricing, which could negatively affect our business, results of operations, financial condition, and prospects.</w:t>
      </w:r>
    </w:p>
    <w:p>
      <w:pPr>
        <w:spacing w:after="0" w:line="17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future course of federal or state healthcare legislation and regulation in the U.S. directed at broadening the availability of healthcare and containing or lowering the cost of healthcare, is subject to considerable uncertainty. The current presidential administration is pursuing policies to reduce regulations and expenditures across the federal government, including at HHS, the FDA, the CMS, and related agencies. These actions, presently directed by executive orders or memoranda from the Office of Management and Budget, may propose policy changes that create additional uncertainty for the pharmaceutical industry and our business. These actions and proposals include, for example, (a) reducing agency workforce and cutting programs; (b) rescinding a prior presidential administration’s executive order tasking the Center for Medicare and Medicaid Innovation to consider new payment and healthcare models to limit drug spending; (c) directing HHS and other agencies to lower prescription drug costs through a variety of initiatives, including by improving upon the Medicare Drug Price Negotiation Program and establishing most-favored-nation pricing for pharmaceutical products; (d) imposing tariffs of imported pharmaceutical products; and (e) directing certain federal agencies to enforce existing law regarding hospital and price plan price transparency and by standardizing prices across hospitals and health plans. Additionally, in its June 2024 decision in Loper Bright Enterprises v. Raimondo, or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The U.S. Congress may introduce and ultimately pass healthcare related legislation that could, among others, impact the drug approval process and make changes to modify the Medicare Drug Price Negotiation Program created under the IRA.</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In addition, we expect to experience pricing pressures in connection with the sale of our product candidates due to the trend toward managed health care, the increasing influence of health maintenance organizations and additional legislative changes.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ecDTx, if approved.</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delay, or cease commercialization of our ecDTx.</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trials of our ecDTx and will face an even greater risk if we commercialize our ecDTx, if approved. For example, we may be sued if our ecDTx allegedly cause injury or are found to be otherwise unsuitable during product testing, manufacturing, marketing, or sale. Any such product liability claims may include allegations of defects in manufacturing, defects in design, a failure to warn of dangers inherent in the ecDTx,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ecDTx;</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our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product recipients;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 and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financial impact;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ecDTx;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currently hold approximately $10.0 million in product liability insurance coverage in the aggregate. We may need to increase our insurance coverage as we expand our clinical trials or if we commence commercialization of our ecDTx. Insurance coverage is increasingly expensive. Our inability to obtain and retain sufficient product liability insurance at an acceptable cost to protect against potential product liability claims could prevent or inhibit the commercialization of our ecDTx.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from only some business risks, which will leave us exposed to significant uninsured liabilities.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property, general liability, employee benefits liability, business automobile, workers’ compensation, products/clinical trial liability, cyber liability, clinical trials, and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service providers may be subject to a variety of data protection, privacy, and security obligations, including laws, regulations, standards, and contractual provisions, which could increase compliance costs, and our actual or perceived failure to comply with such laws and obligations could subject us to potentially significant liability, fines, or penalties and otherwise harm our business.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our service providers maintain a large quantity of sensitive information, including confidential business and patient health information, in connection with our clinical trials, and are subject to laws and regulations governing the privacy and security of such information. The global data protection landscape is rapidly evolving, and we and our service providers may be affected by or subject to existing, amended, or new laws and regulations in the future, including as our operations continue to expand or if we operate in foreign jurisdictions. These laws and regulations may be subject to differing interpretations, thus creating potentially complex compliance issues for us and our service providers, strategic partners, and future customers.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United States, numerous federal and state laws and regulations, including health information privacy laws, data breach notification laws, and consumer protection laws, that govern the collection, use, storage, transfer, disclosure, protection, and other processing of health-related and other personal information could apply to our operations or the operations of our collaborators and third-party providers. In addition, we may obtain health information from third parties (including research institutions from which we obtain clinical trial data) that are subject to privacy and security requirements under HIPAA, as amended by HITECH. Consequently, depending on the facts and circumstances, we could be subject to significant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many of which may differ from each other and from HIPAA, thus, complicating compliance efforts. Failure to comply with these laws, where applicable, can result in the imposition of significant civil and/or criminal penalties and private litigation. By way of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reflecting a trend toward more stringent privacy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legislation in the United States. In the event that we are subject to or affected by HIPAA, the CCPA, or other domestic privacy and data protection laws, any liability from failure to comply with the requirements of these laws could adversely affect our financial condition.</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state comprehensive data privacy laws, recent years have brought substantial changes to the federal and state treatment of non-HIPAA consumer health information. The Federal Trade Commission (FTC) and many state Attorneys General continue to enforce federal and state consumer protection laws against companies for online collection, use, dissemination, and security practices that appear to be unfair or deceptive. The FTC brought three enforcement actions in 2023 against a range of companies that handle electronic health information relating to collection and disclosure of non-HIPAA covered consumer health information under Section 5 of the FTC Act, two of which included allegations made under the FTC’s Health Breach Notification Rule (HBNR). The FTC’s focus on health information continued in 2024 with changes to the HBNR that clarified its scope and emphasized applicability to non-HIPAA health care providers as well as three additional enforcement actions against companies for their use of health information for advertising purposes. At the state level, Washington and Nevada have adopted significant new legislation addressing businesses treatment of consumer health information, and Connecticut added more stringent protections for health information to its existing comprehensive state privacy law. In both Washington’s and Nevada’s laws, there are restrictive provisions limiting collection and disclosure of consumer health information, and Washington’s law provides a separate private right of action for violations.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are also privacy laws in other countries that may impact our operations, now or in the future. For example, in Europe, the General Data Protection Regulation (GDPR) went into effect in May 2018, and imposes stringent requirements regarding the collection, use, disclosure, storage, transfer, or other processing of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The GDPR also confers a private right of action in some circumstances on data subjects and consumer associations to lodge complaints with supervisory authorities, seek judicial remedies, and obtain compensation for damages resulting from violations of the GDPR. In addition to fines, a breach of the GDPR may result in regulatory investigations, reputational damage, orders to cease or change our data processing activities, enforcement notices, assessment notices (for a compulsory audit), and/or civil claims (including class actions).</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clauses—a standard form of contract approved by the European Commission as an adequate personal data transfer mechanism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 following the withdrawal of the United Kingdom from the European Union and the end of the transition period, from January 1, 2021, companies could also be subject to the United Kingdom General Data Protection Regulation and Data Protection Act 2018 (collectively, the UK GDPR). The UK GDPR mirrors the fines under the GDPR and has the ability to fine up to the greater of €20 million/£17 million or 4% of global turnover. On October 12, 2023, the UK Extension to the DPF came into effect (as approved by the UK Government), as a data transfer mechanism from the UK to U.S. entities self-certified under the DPF. As we expand into other foreign countries and jurisdictions, we may be subject to additional laws and regulations that may affect how we conduct business.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store, use, transfer, disclose, and otherwise process data, update our data privacy and security policies and procedures, or in some cases, impact our ability to operate in certain jurisdictions. Failure or perceived failure by us or our collaborators and our service providers to comply with U.S. and international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contractual obligations, even if we are not found liable, could be expensive and time consuming to defend, could result in adverse publicity, and adversely affect our business, financial condition, results of operations, and prospects.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any of our service providers, may fail or suffer security incidents and other disruptions, which could result in a material disruption of our ecDTx development programs, compromise sensitive information related to our business, or prevent us from accessing critical information, potentially exposing us to liability, or otherwise adversely affecting our business.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collect, store, and transmit confidential information including but not limited to intellectual property, clinical trial data, proprietary and confidential business information, and personal information of our employees and contractors (collectively, Confidential Information). Our information technology systems and those of our third-party service providers, strategic partners, and other contractors or consultants are vulnerable to attack, damage, and interruption from computer viruses and malware (e.g. ransomware), malicious code, misconfigurations, “bugs” or other vulnerabilities, natural disasters, terrorism, war, telecommunication and electrical failures, hacking, cyberattacks, phishing attacks and other social engineering schemes, employee theft or misuse, human error, fraud, denial or degradation of service attacks, and sophisticated nation-state and nation-state-supported actors. In addition,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and our third-party service providers’, strategic partners’, contractors’, or consultants’ cybersecurity risk management program and processes, including policies, controls, or procedures, will be fully implemented, complied with or effective in protecting our systems, networks, and Confidential Information.</w:t>
      </w:r>
    </w:p>
    <w:p>
      <w:pPr>
        <w:spacing w:after="0" w:line="19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If any such event, whether actual or perceived, were to occur, it could impact our reputation and/or operations,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We also rely on a third party to manufacture our ecDTx, and similar events relating to their computer systems could also have a material adverse effect on our business. To the extent that any actual or perceived disruption or security incident affects our systems (or those of our third-party collaborators, service providers, contractors or consultants) or were to result in a loss of or accidental, unlawful, or unauthorized access to, use of, release of, or other processing of Confidential Information, we could incur liability, the further development and commercialization of our ecDTx could be delayed, and we could be subject to significant fines, penalties or liabilities for any noncompliance to certain privacy and security laws.</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Information, we may be vulnerable to disruptions in service and unauthorized access to our Confidential Information and we could incur liability and reputational damage.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Some of the federal, state, and foreign government requirements include obligations of companies to notify individuals of security breaches involving particular categories of personally identifiable information, which could result from incidents experienced by us or by our vendors, contractors, or organizations with which we have formed strategic relationships. Any adverse impact to the availability, integrity, or confidentiality of our or third-party systems or Confidential Information can result in legal claims or proceedings (such as class actions), regulatory investigations and enforcement actions, fines, and penalties. Our contracts may not contain limitations of liability, and even where they do, there can be no assurance that limitations of liability in our contracts are sufficient to protect us from liabilities, damages, or claims related to our data privacy and security obligations. Although we currently hold cybersecurity insurance, the costs related to significant security breaches or disruptions could be material and cause us to incur significant expenses.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arising from pandemic and epidemic diseases.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COVID-19 worldwide pandemic presented substantial public health and economic challenges and affected our employees, patients, physicians and other healthcare providers, communities, and business operations, as well as the U.S. and global economies and financial markets. Any future pandemic or epidemic disease outbreaks could disrupt the supply chain and the manufacture or shipment of drug substances and finished drug products for our ecDTx for use in our clinical trials and research and preclinical studies and, delay,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limit or prevent our employees and CROs from continuing research and development activities, impede our clinical trial initiation and recruitment and the ability of patients to continue in clinical trials, alter the results of the clinical trial based on participants contracting the disease or otherwise increasing the number of observed adverse events,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 Any future pandemic or epidemic disease outbreak could also potentially further affect the business of the FDA, EMA, or other regulatory authorities, which could result in delays in meetings related to our planned clinical trials, as well have an adverse impact on global economic conditions, which could have an adverse effect on our business and financial condition, including impairing our ability to raise capital when needed.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litigation, government investigations, and enforcement actions.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(subject to limitations), until such unused losses expire (if at all). As of December 31, 2025, we had net operating loss (NOL) carryforwards of approximately $161.4 million for federal income tax purposes and $231.3 million for state income tax purposes, which may be available to offset our future taxable income, if any. Our federal NOL carryforwards will not expire but may generally be used to offset only 80% of taxable income, which may require us to pay federal income taxes in future years despite having additional federal NOL carryforwards to utilize. Our state NOL carryforwards begin to expire in various amounts in 2038. Our NOL carryforwards and other tax attributes are subject to review and possible adjustment by the Internal Revenue Service (IRS) and state tax authorities.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under Section 382 of the U.S. Internal Revenue Code of 1986, as amended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determined the amount of the cumulative change in our ownership resulting from our IPO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potential changes in connection with our IPO.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could adversely affect our business and results of operation.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While inflation in the United States has been relatively low in recent years, the economy in the United States encountered a material level of inflation since 2021. Although inflation eased somewhat in 2024, it has raised our costs for commodities, labor, materials, and services and other costs required to grow and operate our business, and failure to secure these on reasonable terms may adversely impact our financial condition. Additionally, increases in inflation, along with public health concerns, geopolitical developments, and global supply chain disruptions, have caused, and may in the future cause, global economic uncertainty, and uncertainty about the interest rate environment, which may make it more difficult, costly, or dilutive for us to secure additional financing. A failure to adequately respond to these risks could have a material adverse impact on our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defend, and enforce patent or other intellectual property protection for our ecDTx, diagnostic, or technology, or if the scope of the patent or other intellectual property protection obtained is not sufficiently broad, our competitors or other third parties could develop and commercialize products similar or identical to ours, and our ability to successfully commercialize our ecDTx may be adversely affected.</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upon a combination of patent, trade secret, and trademark protection for our ecDTx, our diagnostic, and proprietary technologies to prevent third parties from exploiting our achievements, thus eroding our competitive position in our market. These legal measures afford only limited protection, and competitors or others may gain access to or use our intellectual property and proprietary information. Our success depends in large part on our ability to obtain, maintain, expand, enforce, and defend the scope of our intellectual property protection in the United States and other countries with respect to our ecDTx, our diagnostic, and other proprietary technologies we may develop. We generally seek to protect our proprietary position, in part, by filing patent applications in the United States and abroad relating to our ecDTx and diagnostics, manufacturing processes, and methods of use. We may also seek to protect our proprietary position by acquiring or in-licensing relevant issued patents or pending patent applications from third parties. If we are unable to obtain,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maintain, expand, enforce, and defend the scope of our intellectual property protection, our business, financial condition, results of operations, and prospects could be materially harmed.</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jurisdictions may diminish our ability to protect our intellectual property, obtain, maintain, expand, enforce, and defend our intellectual property rights and, more generally, could affect the value of our intellectual property or narrow the scope of our protection. We cannot predict whether the patent applications we currently or may in the future pursue or may in-license will issue as patents in any particular jurisdiction, whether the claims of any issued patents will provide sufficient protection against competitors or other third parties, or if these patents are challenged by our competitors, whether the patents will be found to be invalid, unenforceable, or not infringed.</w:t>
      </w:r>
    </w:p>
    <w:p>
      <w:pPr>
        <w:spacing w:after="0" w:line="187"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defend, or license all necessary or desirable patent applications or patents at a reasonable cost or in a timely manner or in all jurisdictions. If we are unable to adequately fund our patent prosecution and maintenance, or if the costs of defending our patents against third-party challenges become prohibitive, our competitive position could be weakened.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third-party collaborators, CROs, contract manufacturers, consultants, advisors, and other third parties, any of these parties may breach the agreements and disclose such output before a patent application is filed, thereby jeopardizing our ability to seek patent protection. Consequently, we may not be able to prevent any third party from using any of our technology that is in the public domain to compete with our ecDTx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invent the inventions claimed in any of our owned patents or pending patent applications, or that we or any future licensors were the first to file for patent protection of such inventions. If a third party can establish that we were not the first to make or the first to file for patent protection of such inventions, our patents and patent applications may not issue as patents and even if issued, may be challenged and invalidated or rendered unenforceable.</w:t>
      </w:r>
    </w:p>
    <w:p>
      <w:pPr>
        <w:spacing w:after="0" w:line="20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current and future patent applications may not result in patents being issued.</w:t>
      </w:r>
    </w:p>
    <w:p>
      <w:pPr>
        <w:spacing w:after="0" w:line="17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Any issued patents may not afford sufficient protection of our ecDTx or their intended uses against competitors, nor can there be any assurance that the patents issued will not be infringed, designed around, invalidated by third parties, or effectively prevent others from commercializing competitive technologies or products. Further, even if these patents are granted, they may be difficult to enforce. 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 In the event we experience noncompliance events that cannot be corrected and we lose our patent rights, competitors could enter the market, which would have a material adverse effect on our business. Further, any issued patents that we own or may license in the future covering our ecDTx could be narrowed or found invalid or unenforceable if challenged in court or before administrative bodies in the United States or other countries, including the U.S. Patent and Trademark Office (USPTO). Also, patent terms, including any extensions or adjustments that may or may not be available to us, may be inadequate to protect our competitive position on our ecDTx for an adequate amount of time, and we may be subject to claims challenging the inventorship, validity, or enforceability of our patents and/or other intellectual property. Changes in United States patent law, or laws in other countries, could diminish the value of patents in general, thereby impairing our ability to protect our ecDTx. Further, if we encounter delays in our development and testing of our ecDTx, clinical trials, or regulatory review and approval of our ecDTx, the period of time during which we could market our ecDTx under patent protection may be reduced (i.e., patents protecting the ecDTx might expire before or shortly after such ecDTx are commercialized). Thus, our patents may not provide us with sufficient rights to exclude others from commercializing products similar or identical to ours or afford us any meaningful competitive advantage.</w:t>
      </w:r>
    </w:p>
    <w:p>
      <w:pPr>
        <w:spacing w:after="0" w:line="19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Moreover, the claim coverage in a patent application can be significantly reduced before the corresponding patent is granted. Even if patent applications issue as patents, they may not issue in a form that will provide us with any meaningful protection, prevent</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competitors or other third parties from competing with us, or otherwise provide us with any competitive advantage. Any patents issuing from our owned and any future in-licensed patent applications may be challenged, narrowed, circumvented, or invalidated by third parties. Consequently, we do not know whether our ecDTx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Furthermore, our competitors or other third parties may avail themselves of safe harbors under the Drug Price Competition and Patent Term Restoration Act of 1984 (Hatch-Waxman Amendments) to conduct research and clinical trials.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 rights may be challenged in the courts or patent offices in the United States and abroad. We may be subject to a third-party post-issuance submission of prior art to the USPTO challenging the validity of one or more claims of our patents or patents we may license in the future. Third-party submissions may also be made prior to a patent’s issuance, precluding the granting of a patent based on our pending patent application or patent application we may license in the future. A third party may also claim that our patent rights are invalid or unenforceable in a litigation. The outcome following legal assertions of invalidity and unenforceability is unpredictable. In addition, we may become involved in opposition, derivation, revocation, reexamination, reissue, post-grant, proceedings, inter partes review, interference proceedings, or other similar proceedings in the United States and/or foreign jurisdictions challenging our patent rights. An adverse determination in any such submission, proceeding, or litigation could reduce the scope of, or invalidate or render unenforceable, our patent rights, and may allow third parties, including generic drug companies, to commercialize our ecDTx and other proprietary technologies we may develop and compete directly with us.</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some of our patent rights may in the future be co-owned with third parties. In the United States, each co-owner has the freedom to license and exploit the technology.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conditions,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Filing, prosecuting, maintaining, enforcing, and defending patents on our ecDTx in all countries throughout the world is expensive, and the laws of foreign countries may not protect our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limiting patent protection to specifically disclosed embodiments.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patents we may license in the future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patents and any patents we may license in the future at risk of being invalidated or interpreted narrowly, could put our patent applications and any patent applications we may license in the future at risk of not issuing, and could provoke third parties to assert claims against us. We may not prevail in any lawsuits that we initiate, and the damages or other remedies awarded, if any, may not be commercially meaningful. Accordingly, our efforts to enforce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intellectual property and proprietary rights around the world may be inadequate to obtain a significant commercial advantage from the intellectual property that we develop.</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(such as the geopolitical conflicts in and around Ukraine and the Middle East; retaliatory measures by foreign countries in response to actions by the U.S., in particular, tariffs) could increase the uncertainties and costs surrounding the prosecution or maintenance of our patent applications or those of any future licensors and the maintenance, enforcement, or defense of our issued patents, which could impair our competitive intellectual property position. Many foreign countries could threaten to impose retaliatory measures that may adversely impact our intellectual property rights in those countries. For example, government actions may prevent filing, prosecution, and maintenance of issued patents in various jurisdictions experiencing geopolitical conflict. These actions could result in abandonment or lapse of our patents or patent applications, resulting in partial or complete loss of patent rights in such jurisdictions. In addition, jurisdictions outside of the U.S. could also permit our patents to be exploited without consent or compensation. For example, on March 14, 2025, Brazil enacted Law No. 15.122/2025 (known as the Economic Reciprocity Law), which provides a framework that allows for the suspension of obligations related to foreign entity’s intellectual property rights.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several procedural, documentary, fee payment, and other similar provisions during the patent application process. In some circumstances, we may be dependent on any future licensors to take the necessary action to comply with these requirements with respect to any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patents and applications. In certain circumstances, we may rely on licensing partners to pay these fees due to the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would also be dependent on any future licensors to take the necessary actions to comply with these requirements with respect to any intellectual property we may license in the future.</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Public health pandemics (such as the COVID-19 pandemic), geopolitical instability (war and terrorism),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our products and ecDTx.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laws or their interpretations could diminish the value of patents in general, thereby impairing our ability to protect our products.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our ecDTx and other proprietary technologies we may develop or (ii) invent any of the inventions claimed in our patents or patent applications.</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America Invents Act also included a number of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any patent claims we may license in the future that would not have been invalidated if first challenged by the third party as a defendant in a district court action.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patent rights. For example, the U.S. Supreme Court held in </w:t>
      </w:r>
      <w:r>
        <w:rPr>
          <w:rFonts w:ascii="Times New Roman" w:cs="Times New Roman" w:eastAsia="Times New Roman" w:hAnsi="Times New Roman"/>
          <w:sz w:val="18"/>
          <w:szCs w:val="18"/>
          <w:i w:val="1"/>
          <w:iCs w:val="1"/>
          <w:color w:val="auto"/>
        </w:rPr>
        <w:t>Amgen v. Sanofi (2023)</w:t>
      </w:r>
      <w:r>
        <w:rPr>
          <w:rFonts w:ascii="Times New Roman" w:cs="Times New Roman" w:eastAsia="Times New Roman" w:hAnsi="Times New Roman"/>
          <w:sz w:val="18"/>
          <w:szCs w:val="18"/>
          <w:color w:val="auto"/>
        </w:rPr>
        <w:t xml:space="preserve">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or may obtain or license in the future.</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 and allow for the possibility of a competitor to obtain pan-European injunction. Such a loss of patent protection could have a material adverse impact on our business and our ability to commercialize our technology and ecDTx due to increased competition and, resultantly, on our business, financial condition, results of operations, and prospects. The UPC and Unitary Patent are significant changes in European patent practice. As the UPC is a new court system, there is no precedent for the court, increasing the uncertainty of any litigation in the UPC.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ecDTx could be found invalid or unenforceable if challenged in court or before administrative bodies in the United States or abroad.</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any future licensors are unsuccessful in any of these proceedings, such patents and patent applications may be narrowed, invalidated, or held unenforceable. Any of the foregoing could have a material adverse effect on our business, financial condition, results of operations, and prospects.</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we initiate legal proceedings against a third party to enforce a patent covering our ecDTx,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rights or any patent rights we may obtain or license in the future in such a way that they no longer cover our ecDTx or prevent third parties from competing with our ecDTx.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for our ecDTx. Such a loss of patent protection would have a material adverse impact on our business, financial condition, results of operations, and prospects.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the competitive position of our ecDTx for an adequate amount of time.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ecDTx are obtained, once the patent has expired, we may be vulnerable to competition from competitive products, including generics. Given the amount of time required for the development, testing, and regulatory review of new ecDTx, patents protecting such ecDTx might expire before or shortly after such ecDTx are commercialized. As a result, our intellectual property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equivalent extensions outside of the United States for our ecDTx, our business may be materially harmed.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regulatory approval of our ecDTx, one or more of our U.S. patents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requests for patent term extension, which could result in a patent term extension not being timely granted (e.g., before the expiration of the patent). Moreover, the applicable time period or the scope of patent protection afforded could be less than we project or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project or request, our competitors may obtain approval of competing products following our patent expiration, and our business, financial condition, results of operations, and prospects could be materially harmed.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consultants, collaborators, or other third parties have an interest in our patent rights, trade secrets, or other intellectual property as an inventor, co-inventor, or owner of trade secrets. For example, we may have inventorship disputes arise from conflicting obligations of consultants or others who are involved in developing our ecDTx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the right to use intellectual property that is important to our ecDTx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seeking patent protection for our ecDTx and proprietary technologies, we may rely on trade secret protection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third-party collaborators, CROs, contract manufacturers, consultants, advisors, and other third parties. We also enter into confidentiality and invention or patent assignment agreements with our employees and consultants. Trade secrets and know-how can be difficult to protect. We cannot guarantee that we have entered into applicable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Furthermore, others may independently discover similar trade secrets and proprietary information. If any of our trade secrets were to be disclosed or misappropriated or if any such information were to be independently developed by a competitor or other third party, our competitive position would be materially and adversely harmed.</w:t>
      </w:r>
    </w:p>
    <w:p>
      <w:pPr>
        <w:spacing w:after="0" w:line="19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our ecDTx.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ecDTx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Such claims could have a material adverse effect on our business, financial condition, results of operations, and prospects.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 and ecDTx.</w:t>
      </w:r>
    </w:p>
    <w:p>
      <w:pPr>
        <w:spacing w:after="0" w:line="5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or will be complete or thorough, nor can we be certain that we have identified or will identify each and every third-party patent and pending patent application in the United States and abroad that is relevant to or necessary for the commercialization of our current and future ecDTx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our ecDTx could have been filed by others without our knowledge.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products or ecDTx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our ecDTx.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our ecDTx that is held to be infringing. We might, if possible, also be forced to redesign ecDTx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3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against us or our collaborators could be expensive and time consuming and may prevent or delay the development and commercialization of our ecDTx.</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Numerous U.S. and foreign-issued patents and pending patent applications owned by third parties exist in the fields in which we plan to commercialize our therapeutic and diagnostic programs and in which we are developing other proprietary technologies. As the biotechnology and pharmaceutical industries expand and more patents are issued, and as we gain greater visibility and market exposure as a public company, the risk increases that our ecDTx and diagnostic programs and commercializing activities may give rise to claims of infringement of the patent rights of others. We cannot assure that our ecDTx and diagnostic programs and other proprietary technologies we develop will not infringe existing or future patents owned by third parties. We may not be aware of patents that have already been issued for which a third party, such as a competitor in the fields in which we are developing our ecDTx and diagnostic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ecDTx. As such, we monitor third-party patents in the relevant pharmaceutical markets. In addition, because patent applications can take many years to issue, there may be currently pending patent applications that may later result in issued patents that we may infringe. For example, pending patent applications that have been published can, subject to certain limitations, be later amended in a manner that could cover our ecDTx or the use of our ecDTx. We are aware of an issued patent in the United States and certain patent applications elsewhere that contain claims that may cover one of our CHK1 related ecDTx. While we believe we have valid defenses to</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claims of patent infringement, we cannot be certain that we would prevail in any dispute, and we cannot be certain how an adverse determination would affect our business.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may in the future pursue invalidity proceedings with respect to third-party patents.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staff and budgets experienced by the Patent and Trial Appeal Board, could further delay our ability to timely challenge any such patents.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For example, recent shifts in USPTO policy and increased discretionary denials may restrict our ability to challenge third-party patents, increasing our litigation risk and costs. Our ability to use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and other post-grant proceedings to challenge the validity of third-party patents is subject to evolving procedural rules and increased administrative discretion. If we are unable to use the Patent Trial and Appeal Board to invalidate questionable patents, we may face increased litigation expenses in slower and more costly district court venues. These policy shifts could result in infringement liability, licensing fees, or injunctions that could adversely affect our product development timelines, market share, and overall financial condition. If we do not prevail in the patent proceedings, third parties may assert a claim of patent infringement directed at our ecDTx.</w:t>
      </w:r>
    </w:p>
    <w:p>
      <w:pPr>
        <w:spacing w:after="0" w:line="2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Third parties, such as a competitor, may infringe our patent rights. In an infringement proceeding, a court may decide that a patent we own or a patent we may license in the future is invalid or unenforceable or may refuse to stop the other party from using the invention at issue. In addition, our patent rights may become involved in inventorship, ownership, priority, enforceability,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discovery required in connection with intellectual property litigation and proceedings, there is a risk that some of our confidential information could be compromised by disclosure during such litigation and proceedings.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In the event that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our ecDTx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names, or other intellectual property may be ineffective and could result in substantial costs and diversion of resources and could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ecDTx or utilize similar technology but that are not covered by the claims of the patents that we own or may license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our current or future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our or their inventions;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and future patent applications that we own or may license will not lead to issued patents;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 that we own or license in the future may be held invalid or unenforceable, including as a result of legal challenges by our competitors or other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potential patentable subject matter and/or may fail to file on 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for patent protection in order to maintain certain trade secrets or know-how, and a third party may subsequently file a patent application covering such intellectual property or disclose information resulting in a loss of protection for such trade secret.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 foregoing occur, it could adversely affect our business, financial condition, results of operations, and prospects.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in-license, or use third-party intellectual property and proprietary rights. For example, our ecDTx may require specific formulations to work effectively and efficiently, we may develop ecDTx containing our compounds and pre-existing pharmaceutical compounds, or we may be required by the FDA or comparable foreign regulatory authorities to provide a diagnostic test or tests with our ecDTx,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research and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Even if we are able to obtain a license, it may be non-exclusive, and our competitors may also receive access to the same technologies licensed to us.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ecDTx. More established companies may have a competitive advantage over us due to their size, cash resources, or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ecDTx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be sustained, or we may in the future fail to satisfy the continued listing requirements of Nasdaq.</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Prior to our IPO, there was no public market for our common stock. Our common stock began trading on The Nasdaq Global Select Market (Nasdaq) in late March 2024, and we can provide no assurance that an active trading market for our common stock will be sustained. If an active market for our common stock is not sustained, it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shares of our common stock at or above the price they paid to purchase them. The market price for our common stock may be influenced by those factors discussed in this “Risk Factors” section and many others, including:</w:t>
      </w:r>
    </w:p>
    <w:p>
      <w:pPr>
        <w:spacing w:after="0" w:line="72" w:lineRule="exact"/>
        <w:rPr>
          <w:sz w:val="20"/>
          <w:szCs w:val="20"/>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clinical trials and preclinical studies, and the results of trials of our competitors or those of other companies in our market sector;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future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ecDTx or additional indications thereof, or limitations to specific label indications or patient populations for their use, or changes or delays in the regulatory review process;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develop, acquire, or license additional ecDTx;</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clinical trial results, product approvals, and other developments regarding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collaborators, or other strategic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development timelines or those of companies that are perceived to be similar to us, including variations from expectations of securities analysts or investors;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us, our insiders,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geopolitical, and market conditions, such as military conflict or war, inflation and financial institution instability, or pandemic or epidemic disease outbreaks, many of which are beyond our control;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senior management, directors, or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 or our inability to enforce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and the incurrence of additional debt;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divert our management’s attention and resources, and damage our reputation, which could have a material adverse effect on our business, financial condition and results of operations and prospects.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significantly influence all matters submitted to stockholders for approval.</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our executive officers, directors, greater than 5% stockholders, and their respective affiliates, in the aggregate, owned approximately 41.4% of our outstanding common stock. As a result, such persons, acting together, have the ability to significantly influence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combinations involving us, or discouraging a potential acquiror from making a tender offer or otherwise attempting to obtain control of our business, even if such a transaction would benefit other stockholders.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so any returns on your investment will be limited to the value of our common stock.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4,578,055 shares of our outstanding common stock, or 20.4%, were held by our directors, executive officers, and other affiliates. Such shares may be sold under Rule 144 under the Securities Act, subject to volume limitations. 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holders of 4,193,340 shares of our outstanding common stock, or approximately 18.7% of our total outstanding common stock as of December 31, 2025, may have registration rights that entitle such holders to require us to register their shares for resale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or the registration of such shares, could also significantly reduce the market price of our common stock and impair our ability to raise adequate capital through the sale of additional equity securities.</w:t>
      </w:r>
    </w:p>
    <w:p>
      <w:pPr>
        <w:spacing w:after="0" w:line="18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employee arrangement, or otherwise. For example, in April 2025,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with Jefferies LLC under which we may sell shares of our common stock in “at the market” (ATM) offerings through or to Jefferies, as sales agent or principal, and pursuant to the prospectus for the ATM offering, we may sell shares from time to time having an aggregate offering price of up to $14.5 million. Any such issuance could result in substantial dilution to our existing stockholders and could cause the price of our common stock to decline.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and may remain an emerging growth company until the last day of the fiscal year following the fifth anniversary of our IPO, or December 31, 2029. However, if certain events occur prior to the end of such five-year period, including if we become a “large accelerated filer”, as defined under the Exchange Act, our annual gross revenue exceeds $1.235 billion, or we issue more than $1.0 billion of non-convertible debt in any three-year period, we will cease to be an emerging growth company prior to December 31, 2029.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9" w:lineRule="exact"/>
        <w:rPr>
          <w:sz w:val="20"/>
          <w:szCs w:val="20"/>
          <w:color w:val="auto"/>
        </w:rPr>
      </w:pPr>
    </w:p>
    <w:p>
      <w:pPr>
        <w:ind w:left="1020" w:right="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the Sarbanes-Oxley Act of 2002 (Sarbanes-Oxley Act);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taken advantage of reduced reporting burdens in this report. In particular, in this report, we have provided only two years of audited financial statements and have not included all of the executive compensation-related information that would be required if we were not an emerging growth company. Investors may find our common stock less attractive because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may not be subject to new or revised accounting standards at the same time that they become applicable to public companies that are not emerging growth companies. We intend to rely on other exemptions provided by the JOBS Act, including without limitation, not being required to comply with the auditor attestation requirements of Section 404(b) of the Sarbanes-Oxley Act.</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Rule 12b-2 under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9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total number of directors on our board of directors is established by our board of directors, which may delay the ability of stockholders to change the composition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fill any vacancy on our board of directors however occurring, which prevents stockholders from being able to fill vacancies on our board of directors, subject to any special rights of the holders of any series of preferred stock;</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may be removed from office except for cause and, in addition to any other vote required by law, upon the approval of at least 66-2/3% of the voting power of all of our then outstanding shares of our voting stock entitled to vote at an election of directors, subject to any special rights of the holders of any then outstanding series of preferred stock;</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amend or repeal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then outstanding shares entitled to vote to adopt, amend, or repeal our amended and restated bylaws or repeal the provisions of our amended and restated certificate of incorporation regarding the election and removal of directors;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special meeting of stockholders may be called only by or at the direction of our board of directors, the chair of our board of directors, our chief executive officer, or our president,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which a corporation may not engage in a business combination with any holder of 15% or more of its capital stock unless the holder has held the stock for three years or, among other exceptions, the board of directors has approved the transaction.</w:t>
      </w:r>
    </w:p>
    <w:p>
      <w:pPr>
        <w:spacing w:after="0" w:line="2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and that the federal district courts are the exclusive forum for the resolution of any complaint asserting a cause of action arising under the Securities Act, which could limit our stockholders’ ability to obtain a favorable judicial forum for disputes with us or our directors, officers, or employees.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or any other claim for which the federal courts have exclusive jurisdiction. Our amended and restated certificate of incorporation also provides that unless we consent in writing to the selection of an alternative forum, the federal district courts of the United States are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is required to devote substantial time to new compliance initiatives.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and the application of existing laws, regulations, and standards may evolve over time as they are subject to varying interpretations and new guidance is provided by regulatory and governing bodies. This may lead to additional compliance costs and impact the manner in which we operate our business in ways we cannot currently anticipate.</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rules and regulations applicable to public companies substantially increase our legal and financial compliance costs and make some activities more time consuming and costly. The increased costs decrease our net income or increase our net loss, and may require us to reduce expenditures in other areas of our business. For example, these rules and regulations make it more difficult and more expensive for us to obtain director and officer liability insurance, and we incur substantial costs to maintain the same or similar coverage. The impact of these requirements could also make it more difficult for us to attract and retain qualified persons to serve on our board of directors, our board committees, or as executive officers. If these requirements divert the attention of our management and personnel from other business concerns, they could have a material adverse effect on our business, financial condition, and results of operations.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w:t>
      </w:r>
    </w:p>
    <w:p>
      <w:pPr>
        <w:spacing w:after="0" w:line="19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time-consuming or costly.</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any of our third-party manufacturers or suppliers and current or potential future collaborators may use biological materials, potent chemical agents, and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neither we nor our third-party manufacturers and suppliers can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or our manufacturers’ or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the storage or disposal of biologic, hazardous, or radioactive materials.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the operations of our suppliers, CROs, CMOs,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(including, for example, the COVID-19 pandemic), and other natural or manmade disasters or business interruptions, for which we are predominantly self-insured. We rely on third-party manufacturers or suppliers to produce our ecDTx and its components and on CROs and clinical sites to conduct our clinical trials, and do not have a redundant source of supply for all components of our ecDTx. Our ability to obtain clinical or, if approved, commercial, supplies of our ecDTx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In addition, our corporate headquarters is located in San Diego,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and adverse developments with respect to financial institutions and associated liquidity risk may have serious adverse consequences on our business, financial condition, and stock price.</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including changes related to the U.S. and foreign governments in tariffs and trade policies affecting trade between the United States and other countries. The financial markets and the global economy may also be adversely affected by the current or anticipated impact of military conflict, including geopolitical conflict in and around Ukraine and the Middle East,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changes in tariffs and trade policies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w:t>
      </w:r>
    </w:p>
    <w:p>
      <w:pPr>
        <w:sectPr>
          <w:pgSz w:w="11900" w:h="16838" w:orient="portrait"/>
          <w:cols w:equalWidth="0" w:num="1">
            <w:col w:w="11240"/>
          </w:cols>
          <w:pgMar w:left="320" w:top="117" w:right="339"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manner and on favorable terms could have a material adverse effect on our growth strategy, financial performance and stock price and could require us to delay or abandon clinical development plans.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own or operate manufacturing facilities and have no plans to develop our own clinical or commercial-scale manufacturing capabilities. We rely, and expect to continue to rely, on third parties for the manufacture of our ecDTx and related raw materials and to package, label, ship, store, and distribute our ecDTx for clinical and preclinical development, and we intend to rely on third parties for such services for our commercial products if our ecDTx receives regulatory approval. Currently, we work with some suppliers located outside of the United States, including a manufacturer of drug substance for BBI-940 that is located in China. We also rely on specialized laboratory equipment, supplies and materials, all or part of which we believe may be ultimately sourced from multiple countries outside the United States, to advance our research and development efforts.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Current or future tariffs could result in increased research and development expenses, including with respect to increased costs associated with active pharmaceutical ingredients, raw materials, laboratory equipment, and other research materials and components. In addition, such tariffs could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entirely domestically or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suppliers or future customers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results of operations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may materially adversely affect our financial condition, results of operations and cash flows, or adversely impact the value of an investment in our common stock.</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or interpreted, changed, modified, or applied adversely to us, any of which could adversely affect our business operations and financial performance. For example, the U.S. government recently enacted the OBBBA, which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in future legislation. In addition, it is uncertain if and to what extent various states will conform to federal tax legislation. Changes in corporate tax rates, the realization of net deferred tax assets relating to our operations, and the deductibility of expenses, or future reform legislation could have a material impact on the value of our deferred tax assets, could result in significant one-time charges, and could increase our future U.S. tax expense.</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or if we fail to meet the expectations of one or more of these analysts, our stock price would likely decline. If one or more of these analysts ceases to cover us or fails to regularly publish reports on us, interest in our stock could decrease, which could cause our stock price or trading volume to decline.</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is required to report upon the effectiveness of our internal control over financial reporting, and when we lose our status as an “emerging growth company” and do not qualify as a non-accelerated filer,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If we or, if required, our auditors are unable to conclude that our internal control over financial reporting is effective, investors may lose confidence in our financial reporting and the trading price of our common stock may decline.</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legal proceedings or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and a diversion of our management’s attention and resources, which could harm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Strategy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developed our cybersecurity risk management program, including a cybersecurity incident response plan, based on the National Institute of Standards and Technology Cybersecurity Framework’s (NIST CSF) principles: Identify, Protect, Detect, Respond, and Recover. This does not, however, imply that we meet any particular technical standards, specifications, or requirements, only that we use the NIST CSF as a guide to help us identify, assess, and manage cybersecurity risks relevant to our business.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cybersecurity risk management program, which is integrated into our overall enterprise risk management program, and shares common methodologies, reporting channels and governance processes that apply across the enterprise risk management program to other legal, compliance, strategic, operational, and financial risk areas, is intended to address current vulnerabilities and anticipate future cybersecurity threats and risks to our cyber ecosystem. Our cybersecurity risk management program includes: (a) assessments designed to help identify material cybersecurity risks to our critical systems, information, products, services, and our broader enterprise IT environment; (b) a security team principally responsible for managing our cybersecurity risk assessment processes, our security controls, and our response to cybersecurity incidents; (c) the use of external service providers, where appropriate, to assess, test or otherwise assist with aspects of our security controls; (d) cybersecurity awareness training of our employees, including our senior management, and incident response personnel; (e) a cybersecurity incident response process that includes procedures for responding to cybersecurity incidents; and (f) a risk evaluation of the service providers, suppliers, and vendors of critical systems during contracting.</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the filing date of this report, we have not identified incidents from known cybersecurity threats, including as a result of any prior cybersecurity incidents, that have materially affected or are reasonably likely to materially affect us, including our operations, business strategy, results of operations, or financial condition. There can be no assurance, however, that our cybersecurity risk management program and processes, including our policies, controls, or procedures, will be fully implemented, complied with or effective in protecting our systems and information. For more information, see the section titled “Risk Factors—Risks Related to Our Business Operations and Industry— Our information technology systems, or those of any of our service providers, may fail or suffer security incidents and other disruptions, which could result in a material disruption of our ecDTx development programs, compromise sensitive information related to our business, or prevent us from accessing critical information, potentially exposing us to liability, or otherwise adversely affecting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function and has delegated to our audit committee oversight of cybersecurity and other information technology risks. Our audit committee oversees our management team’s implementation of our cybersecurity risk management program, receives periodic reports from our management team on our cybersecurity risks, and receives reports from our management team, as necessary, regarding material cybersecurity incidents, as well as any incidents with lesser impact potential.</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audit committee reports to our board of directors regarding its activities, including those related to cybersecurity. Our board of directors also receives briefings from our management team on our cyber risk management program.</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team is responsible for assessing and managing our material risks from cybersecurity threats, and has primary responsibility for our overall cybersecurity risk management program and supervises both our internal cybersecurity personnel and our retained external cybersecurity consultants. Our management team oversees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are currently located in San Diego, California, where we lease approximately 80,168 square feet of laboratory and office space pursuant to a lease that expires in October 2034. We believe our existing facilities are adequate to meet our current business requirements for the near term, and that additional space will be available on commercially reasonable terms, if required.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currently is no material pending legal proceeding to which we are a party or to which any of our property is subject. From time to time, we may become involved in legal proceedings or subject to claims incident to the ordinary course of business. Regardless of outcome, such proceedings or claims can have an adverse impact on us because of defense and settlement costs, diversion of resources, negative publicity, reputational harm, and other factors and there can be no assurances that favorable outcomes will be obtained.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6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began trading under the symbol “BOLD” on the Nasdaq Global Select Market on March 28,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8, 2026, there were approximately 66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all available funds and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our IPO</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27, 2024, our registration statement on Form S-1 (File No. 333-277696), as amended, was declared effective by the SEC for our IPO. At the closing of the IPO on April 2, 2024, we sold 6,250,000 shares of common stock at a public offering price of $16.00 per share and received gross proceeds of $100.0 million, which resulted in net proceeds to us of approximately $87.7 million, after deducting underwriting discounts and commissions and other offering expenses.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Pending the uses described below, the net proceeds from our IPO have been held in cash, cash equivalents, and short-term investments. Our planned use of the net proceeds from our IPO has changed from that described in the prospectus for our IPO due to our portfolio prioritization decisions, which have focused our activity on the BBI-940 program in lieu of other research programs and other ecDTx development programs, including the POTENTIATE and STARMAP trials, as discussed above. Net proceeds that may have been used to fund other research and development programs, and that are not used to wind down the POTENTIATE trial, are now expected to be directed to support the development of BBI-940, including through initial proof-of-concept clinical data, and to be used for working capital and other general corporate purposes. We may also use a portion of the net proceeds and our existing cash, cash equivalents, and short-term investments to in-license, acquire, or invest in complementary businesses, technologies, products, or assets. However, we have no current commitments or obligations to do so. We cannot predict with certainty all of the particular uses for the net proceeds from our IPO. Our expected use of the net proceeds from our IPO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and costs of our development activities, the status of and results from clinical trials and preclinical studies, as well as any collaborations that we may enter into with third parties for our ecDTx, and the amount of cash used in our operations and any unforeseen cash needs, as well as other factors described in Item 1A, “Risk Factors,” in Part I of this Annual Report on Form 10-K. Our management has broad discretion in the application of the net proceeds from our IPO, and investors will be relying on their judgment regarding the application of the net proceeds.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notes thereto included elsewhere in this Annual Report on Form 10-K. This discussion contains forward-looking statements that involve risks and uncertainties, including those described in the section titled “Special Note Regarding Forward Looking Statements.” As a result of many factors, including those factors set forth in the “Risk Factors” section of this Annual Report on Form 10-K, our actual results and the timing of events could differ materially from the results and timing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Our mission is to be the foremost biopharma company interrogating ecDNA biology to deliver transformative therapies that improve and extend the lives of patients with previously intractable oncogene amplified cancers.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ecDNA are large circular units of nuclear DNA that are a primary mechanism of gene amplification and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without oncogene amplification. Using our proprietary Spyglass platform, we identify targets essential for ecDNA functionality in oncogene amplified cancer cells, then design and develop small molecule drugs called ecDNA-directed therapeutic candidates (ecDTx) to inhibit those targets, with the aim to prevent cancer cells from using chromosomal instability and ecDNA amplification biology to grow, adapt, and become resistant to existing therapies. Instead of directly targeting the proteins produced by amplified oncogenes, which is the approach of traditional targeted therapies, our ecDTx are intended to be synthetic lethal in tumor cells reliant on ecDNA amplification biology. In the context of drug development, synthetic lethality is a therapeutic approach wherein using a drug to inhibit one target is lethal to cancer cells harboring a specific genetic alteration to a second target, but not lethal to healthy cells that lack the genetic alteration to the second target. Accordingly, our ecDTx are designed to preferentially kill ecDNA-enabled cancer cells, but not healthy cells. They are engineered to disrupt the underlying cellular machinery that enables ecDNA or functional amplification.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lead ecDTx, BBI-940, is a novel, oral, selective degrader that targets a previously undrugged kinesin involved in DNA segregation, including ecDNA segregation during mitosis. BBI-940 has demonstrated potent anti-tumor activity across a range of cancer cell lines as well as in mouse xenograft models, including single-agent tumor regressions. In February 2026, we initiated a Phase 1, open-label, multicenter, first-in-human clinical trial of BBI-940 in patients with estrogen receptor positive and human epidermal growth factor receptor 2 negative, or ER+/HER2-, breast cancer who have progressed following treatment with a cyclin-dependent kinase 4 and/or 6 inhibitor, or CDK4/6 inhibitor, plus endocrine therapy, as well as patients with triple-negative breast cancer luminal androgen receptor subtype, or TNBC-LAR. We refer to this trial as KOMODO-1 for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inesin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ral </w:t>
      </w:r>
      <w:r>
        <w:rPr>
          <w:rFonts w:ascii="Times New Roman" w:cs="Times New Roman" w:eastAsia="Times New Roman" w:hAnsi="Times New Roman"/>
          <w:sz w:val="18"/>
          <w:szCs w:val="18"/>
          <w:u w:val="single" w:color="auto"/>
          <w:color w:val="auto"/>
        </w:rPr>
        <w:t>Mo</w:t>
      </w:r>
      <w:r>
        <w:rPr>
          <w:rFonts w:ascii="Times New Roman" w:cs="Times New Roman" w:eastAsia="Times New Roman" w:hAnsi="Times New Roman"/>
          <w:sz w:val="18"/>
          <w:szCs w:val="18"/>
          <w:color w:val="auto"/>
        </w:rPr>
        <w:t xml:space="preserve">lecular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egrader for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ncology-1(clinicaltrials.gov identifier NCT07408089). In the KOMODO-1 trial, we contemplate two distinct biomarkers for patient selection, and we will retrospectively assess ecDNA status using multiple techniques for inferring ecDNA in tumor samples. For additional information, see “Our Lead ecDTx: BBI-940 Kinesin Degrader” in Part I, Item 1., “Business,” of this Annual Report on Form 10-K. We expect to have initial proof-of-concept safety and efficacy clinical data from the KOMODO-1 trial of BBI-940 within our existing cash runway timeline discussed below.</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been investigating BBI-355, a novel, oral, selective inhibitor of checkpoint kinase 1 designed to target replication stress in oncogene amplified cancers, and BBI-825, a novel oral, selective inhibitor of ribonucleotide reductase, in the clinic in the POTENTIATE trial and the STARMAP trial. We made decisions to cease enrollment in these previously initiated trials, and, accordingly, we also do not plan to invest further in the development of ECHO, which is an ecDNA diagnostic clinical trial assay used in the POTENTIATE trial. We completed winding down the STARMAP trial of BBI-825 in 2025. For additional information, see “Other Programs” in Part I, Item 1., “Business,” of this Annual Report on Form 10-K.</w:t>
      </w:r>
    </w:p>
    <w:p>
      <w:pPr>
        <w:spacing w:after="0" w:line="14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Spyglass is our internal proprietary platform used to identify new targets. We utilized Spyglass to identify targets that exploit cellular vulnerabilities of oncogene amplified cancers. Our target identification efforts revealed multiple distinct nodes of vulnerability within the lifecycle of ecDNA. In addition to the program described above, we have preclinically validated multiple additional targets and have historically initiated ecDTx drug discovery efforts to identify potential candidates against such targets. We continue to deploy Spyglass to inform development of BBI-940 and potential complementary targets or assets that we may wish to acquire or internally develop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we commenced operations in 2018, we have devoted substantially all of our efforts and resources to organizing and staffing our company, business planning, raising capital, building our proprietary Spyglass platform, discovering our ecDTx, developing our diagnostic, establishing our intellectual property portfolio, conducting research, preclinical studies, and clinical trials, establishing arrangements with third parties for the manufacture of our ecDTx and related raw materials, and providing general and administrative support for these operations. During this time, we have incurred significant operating losses and, as of December 31, 2025, we had an accumulated deficit of $259.7 million. We expect to continue to incur losses for the foreseeable future, and, in general, we anticipate these losses will increase substantially in the future as we continue our development of, seek regulatory approval for, and potentially commercialize our ecDTx, conduct our ongoing and planned clinical trials and preclinical studies, utilize third parties to manufacture our ecDTx and related raw materials, leverage Spyglass to potentially identify additional development opportunities for our ecDTx and expand our therapeutic pipeline, seek to expand and protect our intellectual property, as well as incur additional costs associated with being a public company. If we obtain regulatory approval for our ecDTx, we expect to incur significant commercialization expenses related to product sales, marketing, manufacturing, and distribution. Our net losses may fluctuate significantly from quarter-to-quarter and year-to-year, depending on the timing of our clinical trials, preclinical studies, and our other research and development activities and capital expenditures.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Through December 31, 2025, we have raised a total of $353.8 million to fund our operations primarily from the gross proceeds from the sale and issuance of our convertible preferred and common stock. In April 2024, we completed our IPO, in which we sold and issued 6,250,000 shares of our common stock for gross proceeds of $100.0 million. In April 2025, we commenced an “at the market” (ATM) offering as defined in Rule 415(a)(4) under the Securities Act, under which we may offer and sell shares of our common stock having an aggregate offering price of up to $14.5 million from time to time through or to our sales agent, as described further under “Liquidity and Capital Resources” below. As of December 31, 2025, we had cash, cash equivalents, and short-term investments of $117.6 million.</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response to clinical data and other market considerations, we have made a series of portfolio prioritization decisions and taken steps to streamline operations in connection with those decisions. As of January 2026, we are focusing our research and development activities on BBI-940. Based on our current operating plans, we believe that our existing cash, cash equivalents, and short-term investments will be sufficient to fund our operations into the second half of 2028. We have based this estimate on assumptions that may prove to be wrong, and we could deplete our capital resources sooner than we expect. See “Liquidity and Capital Resources” below for more information. We do not have any products approved for sale and have not generated any revenue to date. We do not expect to generate any revenue from product sales until we successfully complete development and obtain regulatory approval for one or more of our ecDTx, which we expect will take several years and may never occur. We will need substantial additional funding to support our continuing operations and pursue our long-term business plan, including to complete the development and commercialization of our ecDTx, if approved. Accordingly, until such time as we can generate significant revenue from sales of our ecDTx, if ever, we expect to finance our cash needs through equity offerings, debt financings, or other capital sources, including potential collaborations, licenses, and other similar arrangements. However, we may be unable to raise additional funds or enter such other arrangements when needed on favorable terms or at all. Our failure to raise capital or enter such other arrangements when needed would have a negative impact on our financial condition and could force us to delay, limit, reduce, or terminate our research and development programs or other operations, or grant rights to develop and market ecDTx that we would otherwise prefer to develop and market ourselves.</w:t>
      </w:r>
    </w:p>
    <w:p>
      <w:pPr>
        <w:spacing w:after="0" w:line="15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our ecDTx, for preclinical and clinical testing, as well as for commercial manufacture if our ecDTx obtains marketing approval. We are working with our current manufacturers to ensure that we will be able to scale up our manufacturing capabilities to support our clinical plans. In addition, we rely on third parties to package, label, ship, store, and distribute our ecDTx,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discovery and development of our ecDTx.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Political, and Regulatory Environment Considerations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Uncertainty in the United States and global macroeconomic, political, and regulatory environments present significant risks to our business. Our operating costs, ability to raise additional capital, and stock price could be materially and adversely affected by macroeconomic and geopolitical events and conditions outside of our control, including market volatility, high interest rates, inflation, tariffs and other trade barriers, retaliatory measures taken by foreign countries, slowed economic growth or recession, uncertainty with respect to the federal budget and debt ceiling, potential or prolonged government shutdowns related thereto, liquidity concerns at financial institutions, supply chain disruptions, military conflicts, and other geopolitical events and instability. Further, one or more of our current service providers or vendors, manufacturers, clinical investigative sites, financial institutions, and other partners may be adversely affected by the foregoing risks, which could directly affect our ability to attain our operating goals on schedule and on budget.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FDA-regulated industries, such as ours, face uncertainty with regard to the regulatory environment we will face as we proceed with research and development and possibly in the future commercialization. The FDA has recently experienced significant leadership changes, voluntary and involuntary staff departures, shifts in scientific and regulatory priorities, and political pressure to increase scrutiny of certain products. These and other factors increased uncertainties associated with interpreting the FDA’s guidance and predicting its areas of focus and responses to various issues. Changes and disruptions at the FDA, including due to federal government shutdowns, could impact the FDA’s ability to retain key personnel and hire additional personnel and may result in delays or limitations on our ability to obtain guidance from agency staff and slow review times for applications we submit to obtain the requisite regulatory approvals in the future. Moreover, actions that the federal government recently has taken and may take in the future to freeze or reduce federal funding for medical research, has and could further decrease the ability of facilities that rely on such funding to conduct clinical trials or increase the costs to us of conducting clinical trials at those facilities. There remains general uncertainty regarding future activities. New executive orders, regulations, policies, or guidance could be issued or promulgated that adversely affect us or create a more challenging or costly environment to pursue the development and commercialization of our ecDTx, including in areas relating to regulatory framework and oversight, research and development funding, drug pricing reform, intellectual property rights, global trade policy, and tariffs.</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the ultimate impact of global economic and market conditions and changes in government agencies, regulations and policies remains highly uncertain and will depend on future developments and factors that continue to evolve. We closely monitor these ongoing developments and the potential impact of these factors on our business, operating expenses, and cash position and, if circumstances warrant, we may make adjustments to our operating plan. For more information regarding these risks and uncertainties, see Item 1A, “Risk Factors,” in Part I of this Annual Report on Form 10-K.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the sale of products. We do not expect to generate any such revenue unless and until such time that our ecDTx have advanced through clinical development and regulatory approval, if ever. If we fail to complete preclinical and clinical development of our ecDTx or obtain regulatory approval for them, our ability to generate future revenues, and our results of operations and financial position would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expenses and general and administrative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research and development (R&amp;D) expenses have related primarily to building our Spyglass platform, our ecDTx discovery efforts, our preclinical and clinical development activities, and the development of a diagnostic test. R&amp;D expenses are recognized as incurred, and payments made prior to the receipt of goods or services to be used in R&amp;D are capitalized until the goods or services are received. We use internal resources primarily to conduct our research and discovery activities, as well as for managing our preclinical development, process development, manufacturing, and clinical development activities. We track direct costs on a development program specific basis. Certain shared costs are allocated ratably between BBI-355 and BBI-825. Indirect costs are not included in program costs, as these costs are general in nature and benefit all our discovery efforts and development programs.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direct, or development program specific, R&amp;D costs consist of:</w:t>
      </w:r>
    </w:p>
    <w:p>
      <w:pPr>
        <w:spacing w:after="0" w:line="117" w:lineRule="exact"/>
        <w:rPr>
          <w:sz w:val="20"/>
          <w:szCs w:val="20"/>
          <w:color w:val="auto"/>
        </w:rPr>
      </w:pPr>
    </w:p>
    <w:p>
      <w:pPr>
        <w:ind w:left="1020" w:hanging="503"/>
        <w:spacing w:after="0" w:line="26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our contract research organizations (CROs), investigative sites, and consultants to conduct our clinical trials and preclinical studies, as well as third party costs related to the development of a diagnostic test; and</w:t>
      </w: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manufacturing our ecDTx for clinical trials and preclinical studies, including fees paid to third-party manufacturers.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indirect R&amp;D costs include:</w:t>
      </w:r>
    </w:p>
    <w:p>
      <w:pPr>
        <w:spacing w:after="0" w:line="117" w:lineRule="exact"/>
        <w:rPr>
          <w:sz w:val="20"/>
          <w:szCs w:val="20"/>
          <w:color w:val="auto"/>
        </w:rPr>
      </w:pPr>
    </w:p>
    <w:p>
      <w:pPr>
        <w:ind w:left="1020" w:right="20" w:hanging="503"/>
        <w:spacing w:after="0" w:line="26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severance, bonuses, benefits, travel, and stock-based compensation expenses for employees engaged in R&amp;D functions,</w:t>
      </w: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outside services from third parties, including consultants,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 and pharmacology supplies,</w:t>
      </w:r>
    </w:p>
    <w:p>
      <w:pPr>
        <w:spacing w:after="0" w:line="9"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facilities-related costs, including rent and maintenance costs, and other costs including insurance, depreciation, supplies, and miscellaneous expenses,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including costs related to travel, repairs and maintenance, service contracts, computer supplies, software, and publications and subscription services.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successful development of our ecDTx is highly uncertain. There are numerous factors associated with the successful development of our ecDTx,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ultimately expect that our R&amp;D expenses will increase substantially in the long-term to support advanced clinical development of our ecDTx, hiring of additional personnel, and maintaining, expanding, protecting, and enforcing our intellectual property portfolio; however, in the short term, we intend to manage our R&amp;D expenses to help enable delivery of initial proof-of-concept clinical data for BBI-940.</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R&amp;D expenses may vary significantly based on a wide variety of factors such as:</w:t>
      </w:r>
    </w:p>
    <w:p>
      <w:pPr>
        <w:spacing w:after="0" w:line="117"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rate of progress, expense, and results of our clinical trials and preclinical activities;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requested by regulatory agencies;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ecDTx;</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ecDTx;</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decision not to advance the clinical development of an ecDTx;</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necessity and cost of developing a diagnostic for our ecDTx;</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equipment and pharmacology supplies for our preclinical activities and clinical trials;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changes in government regulation and regulatory guidance;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that hinder its ability to perform routine activities or function in the normal course;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ecDTx;</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collaboration, license, or other arrangements.</w:t>
      </w:r>
    </w:p>
    <w:p>
      <w:pPr>
        <w:spacing w:after="0" w:line="20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development of our ecDTx could significantly change the costs and timing associated with the development of our ecDTx.</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process of conducting the necessary preclinical and clinical research to obtain regulatory approval is costly and time-consuming. The actual probability of success for our ecDTx or any future ecDTx may be affected by a variety of factors. We may never succeed in achieving regulatory approval for our ecDTx. Preclinical and clinical development timelines, the probability of success, and total development costs can differ materially from expectations. As we have done in recent months, we anticipate that we will continue to make determinations as to how much funding to direct to our ecDTx on an ongoing basis in response to the results of ongoing and future preclinical studies and clinical trials, regulatory developments, and our ongoing assessment of our ecDTx’s commercial potential. We will need to raise substantial additional capital in the future. In addition, we cannot forecast whether our ecDTx may be subject to future collaborations, when such arrangements will be secured, if at all, and to what degree such arrangements would affect our development plans and capital requirements.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personnel-related costs, including salaries, severance, bonuses, benefits, travel, and stock-based compensation expenses for employees in executive, accounting and finance, business development, legal, and other administrative functions. Other significant costs include allocated facility-related costs, legal fees relating to intellectual property and corporate matters, professional fees for accounting and consulting services, insurance costs, and business development expenses.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G&amp;A expenses will increase substantially in the future as we grow our business and, if our ecDTx receives marketing approval, when we commence commercialization activities. We expect to continue to incur increased facilities-related costs related to our current headquarters facilities. We also expect to continue to incur expenses related to audit, legal, regulatory, and tax-related services associated with maintaining compliance with securities exchange listing and SEC requirements, director and officer insurance premiums, and investor relations costs associated with operating as a public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earned on our cash, cash equivalents, and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each of the periods indicated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44,845</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55,267</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(10,422)</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(9,715)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(63,552)</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(73,267)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16"/>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(58,197)</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(65,363)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8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-2463800</wp:posOffset>
            </wp:positionV>
            <wp:extent cx="102235" cy="136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-2463800</wp:posOffset>
            </wp:positionV>
            <wp:extent cx="93980" cy="1365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-1928495</wp:posOffset>
            </wp:positionV>
            <wp:extent cx="76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-1928495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-1079500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-1079500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R&amp;D expenses for each of the periods indicated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 program costs:</w:t>
            </w:r>
          </w:p>
        </w:tc>
        <w:tc>
          <w:tcPr>
            <w:tcW w:w="148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BBI-355</w:t>
            </w:r>
          </w:p>
        </w:tc>
        <w:tc>
          <w:tcPr>
            <w:tcW w:w="230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BBI-825</w:t>
            </w:r>
          </w:p>
        </w:tc>
        <w:tc>
          <w:tcPr>
            <w:tcW w:w="1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(8,757)</w:t>
            </w: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14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direct program costs</w:t>
            </w:r>
          </w:p>
        </w:tc>
        <w:tc>
          <w:tcPr>
            <w:tcW w:w="1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20,233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(6,613)</w:t>
            </w: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Indirect program costs:</w:t>
            </w:r>
          </w:p>
        </w:tc>
        <w:tc>
          <w:tcPr>
            <w:tcW w:w="148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Personnel-related (including stock compensation)</w:t>
            </w:r>
          </w:p>
        </w:tc>
        <w:tc>
          <w:tcPr>
            <w:tcW w:w="1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12,740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(4,080)</w:t>
            </w: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Outside services and consulting</w:t>
            </w: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Lab and pharmacology supplies</w:t>
            </w:r>
          </w:p>
        </w:tc>
        <w:tc>
          <w:tcPr>
            <w:tcW w:w="1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Facilities-related (including depreciation)</w:t>
            </w: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indirect program costs</w:t>
            </w:r>
          </w:p>
        </w:tc>
        <w:tc>
          <w:tcPr>
            <w:tcW w:w="14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indirect program costs</w:t>
            </w: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24,612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R&amp;D expenses</w:t>
            </w:r>
          </w:p>
        </w:tc>
        <w:tc>
          <w:tcPr>
            <w:tcW w:w="23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44,845</w:t>
            </w: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55,267</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(10,422)</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-1148080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-1148080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-316865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-316865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R&amp;D expenses were $44.8 million and $55.3 million for the years ended December 31, 2025 and 2024, respectively. The $10.4 million decrease was primarily attributable to (i) a $6.6 million decrease in direct program costs, driven by reduced spending on the STARMAP and POTENTIATE trials, partially offset by increased investment in other development programs, primarily BBI-940, (ii) a $4.1 million decrease in personnel-related costs, primarily due to workforce reductions implemented in 2024 and 2025, (iii) a $2.4 million decrease in outside services and consulting costs, and (iv) a $1.3 million decrease in laboratory and pharmacology supply costs due to lower material needs in certain development programs. These decreases were partially offset by a $4.0 million increase in facilities-related expenses, primarily due to the commencement of the lease related to our corporate headquarters in the fourth quarter of 2024, which resulted in a full-year impact on facilities-related costs in 2025 compared to a partial-year impact in 2024.</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G&amp;A expenses were $18.7 million and $18.0 million for the years ended December 31, 2025 and 2024, respectively. The $0.7 million increase in G&amp;A expenses was primarily attributable to a $1.9 million increase in facilities-related costs, primarily due to the relocation of our corporate headquarters in the fourth quarter of 2024, partially offset by a $1.2 million decrease in personnel-related costs, primarily due to workforce reductions implemented in 2024 and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income, net was $5.4 million and $7.9 million for the years ended December 31, 2025 and 2024, respectively. The $2.5 million decrease resulted primarily from a reduction in interest income generated by our available-for-sale investment securities portfolio, due to both a decrease in the amount of cash equivalents available for investing purposes and a decline in the market yields available for such investment securities compared to the prior year.</w:t>
      </w:r>
    </w:p>
    <w:p>
      <w:pPr>
        <w:spacing w:after="0" w:line="284"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Through December 31, 2025, we have raised a total of $353.8 million to fund our operations primarily from the gross proceeds from the sale and issuance of shares of our convertible preferred stock prior to our IPO and the sale and issuance of 6,250,000 shares of our common stock in our IPO, which closed in April 2024. Our IPO generated gross proceeds of $100.0 million, which resulted in net proceeds to us of approximately $87.7 million, after deducting underwriting discounts and commissions and other offering expenses.</w:t>
      </w:r>
    </w:p>
    <w:p>
      <w:pPr>
        <w:spacing w:after="0" w:line="187" w:lineRule="exact"/>
        <w:rPr>
          <w:sz w:val="20"/>
          <w:szCs w:val="20"/>
          <w:color w:val="auto"/>
        </w:rPr>
      </w:pPr>
    </w:p>
    <w:p>
      <w:pPr>
        <w:jc w:val="both"/>
        <w:ind w:firstLine="509"/>
        <w:spacing w:after="0" w:line="227" w:lineRule="auto"/>
        <w:rPr>
          <w:sz w:val="20"/>
          <w:szCs w:val="20"/>
          <w:color w:val="auto"/>
        </w:rPr>
      </w:pPr>
      <w:r>
        <w:rPr>
          <w:rFonts w:ascii="Times New Roman" w:cs="Times New Roman" w:eastAsia="Times New Roman" w:hAnsi="Times New Roman"/>
          <w:sz w:val="18"/>
          <w:szCs w:val="18"/>
          <w:color w:val="auto"/>
        </w:rPr>
        <w:t>In April 2025,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Sales Agreement) with Jefferies LLC (the Agent), pursuant to which we may, from time to time, sell shares of our common stock in “at-the-market” offerings through or to the Agent, acting as</w:t>
      </w:r>
    </w:p>
    <w:p>
      <w:pPr>
        <w:sectPr>
          <w:pgSz w:w="11900" w:h="16838" w:orient="portrait"/>
          <w:cols w:equalWidth="0" w:num="1">
            <w:col w:w="11240"/>
          </w:cols>
          <w:pgMar w:left="320" w:top="117"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agent or principal. See Note 1 to our financial statements included elsewhere in this Annual Report on Form 10-K under the section entitled “ATM Offering” for further information. We are not obligated to sell any shares under the Sales Agreement, and the Agent is not obligated to buy or sell any shares of our common stock. We cannot provide any assurance that we will sell any shares under the Sales Agreement, or, if we do, as to the prices, amounts, or timing of any such sales. As of December 31, 2025, no shares had been sold under the Sales Agreement.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cash equivalents, and short-term investments of $107.6 million. Based upon our current operating plans, we believe that our existing cash, cash equivalents, and short-term investments will be sufficient to fund our operations into the second half of 2028.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manufacturing ecDTx, and testing ecDTx in clinical trials is costly, and the timing of progress and expenses in these studies and trials is uncertain.</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as of December 31, 2025, we had an accumulated deficit of $259.7 million. We expect to continue to incur losses for the foreseeable future, and, in general, we anticipate these losses will increase substantially in the future as we continue our development of, seek regulatory approval for, and potentially commercialize our ecDTx, conduct our ongoing and planned clinical trials and preclinical studies, utilize third parties to manufacture our ecDTx and related raw materials, leverage Spyglass to potentially identify additional development opportunities for our ecDTx and expand our therapeutic pipeline, seek to expand and protect our intellectual property, as well as incur additional costs associated with being a public company. We also have substantial payment obligations under a long-term non-cancellable facility lease, as discussed below. If we obtain regulatory approval for our ecDTx, we expect to incur significant commercialization expenses related to product sales, marketing, manufacturing, and distribution. Our net losses may fluctuate significantly from quarter-to-quarter and year-to-year, depending on the timing of our clinical trials, preclinical studies, and our other research and development activities and capital expenditures.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are difficult to predict and depend on many factors, including but not limited to:</w:t>
      </w:r>
    </w:p>
    <w:p>
      <w:pPr>
        <w:spacing w:after="0" w:line="117" w:lineRule="exact"/>
        <w:rPr>
          <w:sz w:val="20"/>
          <w:szCs w:val="20"/>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progress, expansions, results, costs, and timing of clinical trials and preclinical studies of our ecDTx that we are pursuing or may choose to pursue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ecDTx, including commercial manufacture at sufficient scale, if our ecDTx is approved;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raw materials for manufacturing sufficient quantities of our ecDTx or obtaining sufficient quantities of any combination agents or other materials needed for use in our clinical trials and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developing diagnostics, if required, and the outcome of their regulatory review;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meetings and reviews of our ecDTx;</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approval pathways;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that hinder its ability to perform routine activities or function in the normal course;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to obtain, maintain, expand, enforce, defend, and protect our patents and other intellectual property and proprietary rights or, if necessary, challenging third-party patents and other intellectual property and proprietary rights;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purchasing laboratory supplies and equipment and pharmacology supplies for our preclinical activities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variable lease payment obligations under our facility lease;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costs not currently contemplated due to events that may occur as a result of, or that are associated with, streamlining our operations as discussed above;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needed, to support our clinical and preclinical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our ecDTx is approved;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competing technological and market developments as well as disruptions to and volatility in the credit and financial markets.</w:t>
      </w:r>
    </w:p>
    <w:p>
      <w:pPr>
        <w:spacing w:after="0" w:line="22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no committed sources of capital. Until we can generate sufficient product revenue to finance our cash requirements, if ever, we expect to finance our future cash needs primarily through equity offerings (including through the Sales Agreement), debt financings, or other capital sources, including potential collaborations, licenses, and other similar arrangements. However, we may be unable to raise additional funds or enter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other collaborations or licensing arrangements with third parties, we may have to relinquish valuable rights to our future revenue streams, ecDTx, research programs, intellectual property, or proprietary technology, or grant licenses on terms that may not be favorable to us. Our ability to raise additional funds may be adversely impacted by global economic conditions, disruptions to, and volatility in, the credit and financial markets in the United States, inflation, diminished liquidity and credit availability, declines in consumer confidence, declines in economic growth, increases in unemployment rates, and uncertainty about economic stability. If we are unable to raise additional funds through equity or debt financings or other arrangements when needed, we may be required to delay, limit, reduce, or terminate our ecDTx development or other operations, or grant rights to develop and market ecDTx to third parties that we would otherwise prefer to develop and market ourselves, or on less favorable terms than we would otherwise choose.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indicated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(46,661)</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(60,841)</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89,823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(89,682)</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(8,719)</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(11,600)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$46.7 million and $60.8 million for the years ended December 31, 2025 and 2024, respectively. The net cash used in operating activities during the year ended December 31, 2025 was primarily due to our reported net loss of $58.2 million, net of noncash charges (including stock-based compensation expense, depreciation, and right-of-use (ROU) asset amortization) totaling $8.1 million and a $3.5 million decrease of our net operating assets. The net cash used in operating activities during the year ended December 31, 2024 was primarily due to our reported net loss of $65.4 million, net of noncash charges (including stock-based compensation expense, depreciation, and ROU asset amortization) totaling $6.2 million and a $1.7 million increase of our net operating assets. The decrease in cash used in operations during the year ended December 31, 2025 in comparison to the year ended December 31, 2024 was primarily attributable to a decrease in third-party spending associated with our discovery, development,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clinical activities and a decrease in personnel-related costs, each resulting from a reduction in scope of our programs and our headcount following our portfolio prioritization.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Investing activities consist primarily of purchases and maturities of investment securities and, to a lesser extent, capital expenditures for property and equipment. Investing activities resulted in a net cash inflow of approximately $37.8 million during the year ended December 31, 2025, compared to a net cash outflow of approximately $26.1 million during the year ended December 31, 2024. The net inflow during 2025 was primarily driven by higher maturities of investment securities relative to purchases as we managed our available-for-sale securities portfolio to maintain liquidity. In contrast, the net outflow during 2024 was primarily attributable to greater purchases of investment securities as we invested proceeds from financing activities, primarily the issuance of shares of our common stock in our IPO. Purchases of property and equipment were $0.5 million in 2025, compared to $2.5 million in 2024, reflecting lower capital investment requirements following the Company’s relocation to its new headquarters in 2024.</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financing activities relate to the offering and sale of shares of our common stock in our IPO and under our 2024 Employee Stock Purchase Plan (ESPP), and the exercise of common stock options by our employees and consultants. Net cash provided by financing activities was $0.1 million during the year ended December 31, 2025, representing net proceeds from the sale of shares of our common stock under our ESPP. Net cash provided by financing activities was $89.8 million during the year ended December 31, 2024, primarily due to the net proceeds from our IPO.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lease office and lab space under a non-cancellable lease agreement that commenced in November 2024 and expires in October 2034. As of December 31, 2025, future undiscounted lease payment obligations under this lease agreement totaled $69.8 million, which is exclusive of future variable lease payments for our allocated share of variable costs associated with the operation and management of the property, which include utilities, property taxes, common area maintenance, and amenities costs. Due to an abatement period, base rent payments under this lease did not commence until July 2025. Accordingly, our total minimum lease payments for future years under the lease agreement will be substantially greater than our total lease payments for the year ended December 31, 2025. See Note 7 to our financial statements included elsewhere in this Annual Report on Form 10-K for further information.</w:t>
      </w:r>
    </w:p>
    <w:p>
      <w:pPr>
        <w:spacing w:after="0" w:line="18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our business with various third parties for clinical trial and preclinical research services, contract manufacturing services, and professional and other services and products related to our business. These contracts generally provide for termination after a notice period, and, therefore, are cancellable contracts and not separately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not had, and we do not currently have, any off-balance sheet arrangements as defined under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 and Judgments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(GAAP). The preparation of these financial statements requires us to make estimates, assumptions, and judgments that affect the reported amounts of assets, liabilities, and expenses, as well as the disclosure of contingent assets and liabilities. On an ongoing basis, we evaluate our estimates, assumptions, and judgments, including those related to accrued research and development expenses, and stock-based compensation expense. We base our estimates on historical experience, known trends and events,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the financial statements included elsewhere in this Annual Report on Form 10-K, we believe that the accounting policies described below are critical to understanding and evaluating our financial condition and results of operations because they involve a significant degree of estimation uncertainty and have had, or are reasonably likely to have, a material impact on our financial condition or results of operations.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R&amp;D Expenses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R&amp;D expenses as of each balance sheet date based on facts and circumstances known to us at that time. The significant estimates in our accrued R&amp;D expenses include the costs incurred for services performed by our vendors in connection with services for which we have not yet been invoiced.</w:t>
      </w:r>
    </w:p>
    <w:p>
      <w:pPr>
        <w:spacing w:after="0" w:line="14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w:t>
      </w:r>
    </w:p>
    <w:p>
      <w:pPr>
        <w:spacing w:after="0" w:line="14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w:t>
      </w:r>
    </w:p>
    <w:p>
      <w:pPr>
        <w:spacing w:after="0" w:line="1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Stock-based compensation expense represents the grant date fair value of equity awards recognized over the requisite service period of the awards (usually the vesting period of the award) on a straight-line basis. We estimate the grant date fair value of stock-based awards, which for the years ended December 31, 2025 and 2024, consisted of stock option awards and, subsequent to completion of our IPO, rights to purchase shares under our 2024 Employee Stock Purchase Plan (ESPP), using the Black-Scholes option pricing model and recognize forfeitures as they occur. The Black-Scholes option pricing model requires the use of subjective assumptions, including the risk-free interest rate, the expected stock price volatility, the expected term of the award, the expected dividend yield, and, prior to the completion of our IPO, the estimated fair value of our common stock. Changes in these assumptions can materially affect the grant date fair value of our stock-based awards, and ultimately, how much stock-based compensation expense is recognized. These inputs are subjective and generally require significant judgment to develop. See Note 2 under “Stock-Based Compensation” and Note 10 to our financial statements included elsewhere in this Annual Report on Form 10-K for information concerning the subjectivity and judgment involved in developing these assumptions and certain of the specific inputs we used in applying the Black-Scholes option pricing model to determine the estimated fair value of stock options granted and rights to purchase ESPP shares in the years ended December 31, 2025 and 2024.</w:t>
      </w:r>
    </w:p>
    <w:p>
      <w:pPr>
        <w:spacing w:after="0" w:line="16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Prior to our IPO, since there was no public market for our common stock, we were required to estimate the fair value of the common stock underlying our equity awards when performing fair value calculations. The fair value of the common stock underlying our equity awards was determined on each grant date by our board of directors, taking into account input from management and independent third-party valuation analyses. All options to purchase shares of our common stock are intended to be granted with an exercise price per share no less than the fair value per share of our common stock underlying those options on the date of grant, based on the information known to us on the date of grant. In the absence of a public trading market for our common stock, on each grant date we developed an estimate of the fair value of our common stock in order to determine an exercise price for the option grants. Our determinations of the fair value of our common stock were made using methodologies, approaches, and assumptions consistent with the American Institute of Certified Public Accountants Accounting and Valuation Guide: Valuation of Privately Held Company Equity Securities Issued as Compensation (the Practice Aid).</w:t>
      </w:r>
    </w:p>
    <w:p>
      <w:pPr>
        <w:spacing w:after="0" w:line="14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Following our IPO, the fair value of our common stock is based on the closing price per share on the Nasdaq Global Select Market on the date of grant. We will continue to use judgment in evaluating the interest rates, expected stock price volatility, expected terms of the stock-based awards, and expected dividend yield utilized for our stock-based compensation expense calculations on a prospective basis.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of 2012 (the JOBS Act), we can take advantage of an extended transition period for complying with new or revised accounting standards. This period allows an emerging growth company to delay the adoption of certain accounting standards until those standards would otherwise apply to private companies. We have elected to avail ourselves of this exemption from new or revised accounting standards, and therefore our financial statements may not be comparable to companies that comply with new or revised accounting standards as of public company effective dates. We also intend to rely on other exemptions provided by the JOBS Act, including, without limitation, the exemption from the auditor attestation requirement of Section 404(b) of the Sarbanes-Oxley Act, for so long as we remain eligible.</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2029, which is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Rule 12b-2 under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See Note 2 to our financial statements included elsewhere in this Annual Report on Form 10-K for recently adopted accounting pronouncements and recently issued accounting pronouncements not yet adopted.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our cash, cash equivalents, and short-term investments consisted of cash held in readily available checking and money market accounts, as well as short-term debt securities. Our primary exposure to market risk is interest rate sensitivity, which is affected by changes in the general level of United States interest rates. However, because of the short-term nature of the instruments in our portfolio, we believe that our exposure to interest rate risk is not significant, and a hypothetical sudden 10% change in market interest rates would not be expected to have a material impact on our financial condition or results of operations during the periods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contract with vendors in foreign countries, including countries in Europe and the Asia Pacific. We are therefore subject to fluctuations in foreign currency rates in connection with these agreements, however we believe our exposure to foreign currency exchange rate risk is not significant and we do not hedge our foreign currency exchange rate risk.</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Net realized and unrealized gains and losses from foreign currency transactions are reported in other income (expense), net, in the statements of operations and comprehensive loss. The impact of foreign currency costs on our operations have been negligible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labor and clinical trial costs. We do not believe that inflation has had a material effect on our results of operations during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financial statements required to be filed pursuant to this Item 8, together with the report of our independent registered public accounting firm, appear beginning on page F-1 of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principal executive officer and our principal financial officer, evaluated, as of the end of the period covered by this Annual Report on Form 10-K, the effectiveness of our disclosure controls and procedures (as such term is defined in Rules 13a-15(e) and 15d-15(e) under the Exchange Act). Based on this evaluation, our principal executive officer and our principal financial officer concluded that, as of such date,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(ICFR), as such term is defined in Rules 13a-15(f) and 15d-15(f) under the Exchange Act. ICFR cannot provide absolute assurance due to its inherent limitations; it is a process that involves human diligence and compliance and is subject to lapses in judgment and breakdowns resulting from human failures. ICFR also can be circumvented by collusion or improper management override. Because of such inherent limitations, ICFR may not prevent or detect misstatements. Also, projections of any evaluation of effectiveness to future periods are subject to the risk that controls may become inadequate because of changes in conditions, or that the degree of compliance with applicable policies or procedures may deteriorate. Our ICFR is designed to provide reasonable assurance regarding the reliability of financial reporting and the preparation of financial statements for external purposes in accordance with U.S. GAAP.</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Management, with the participation of our principal executive officer and our principal financial officer, conducted an assessment of the effectiveness of our ICFR as of the end of the period covered by this Annual Report on Form 10-K using the criteria set forth in Internal Control— Integrated Framework (2013) issued by the Committee of Sponsoring Organizations of the Treadway Commission. Based on this assessment, management concluded that our ICFR was effective as of December 31, 2025 to provide reasonable assurance regarding the reliability of financial reporting and the preparation of financial statements in accordance with U.S. GAAP.</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an “emerging growth company” and a “non-accelerated filer,” we are not required to provide an auditor attestation report on our ICFR, and we did not engage our independent registered public accounting firm to perform an audit of our ICFR.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principal executive officer and our principal financial officer, evaluated any changes in our ICFR that occurred during the quarter ended December 31, 2025, as required by Rules 13a-15(d) and 15d-15(d) under the Exchange Act. Management concluded that there was no change in our ICFR that occurred during the quarter ended December 31, 2025 that has materially affected, or is reasonably likely to materially affect, our ICFR.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of the Exchange Act) and directors may enter into Rule 10b5-1 trading arrangements or non-Rule 10b5-1 trading arrangements (as each such term is defined in Item 408 of Regulation S-K). During the three months ended December 31, 2025, none of our officers or directors adopted, modified, or terminated such a trading arrangement.</w:t>
      </w:r>
    </w:p>
    <w:p>
      <w:pPr>
        <w:sectPr>
          <w:pgSz w:w="11900" w:h="16838" w:orient="portrait"/>
          <w:cols w:equalWidth="0" w:num="1">
            <w:col w:w="11240"/>
          </w:cols>
          <w:pgMar w:left="320" w:top="117" w:right="3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for our 2026 Annual Meeting of Stockholders, which we expect to be filed with the SEC within 120 days of the end of our fiscal year ended December 31, 2025 (Definitive Proxy Statement), under the headings “Board of Directors,” “Corporate Governance,” “Executive Officers,” and, if applicable, “Section 16(a) Beneficial Ownership Reporting Compliance,” and is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on our website at www.boundlessbio.com under the “Investors — Governance Overview” section. We intend to disclose on our website any amendments to, or waivers from, any provision of the Code of Business Conduct and Ethics that would otherwise be required to be disclosed under applicable SEC rules or the listing standards of Nasdaq.</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lef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under the heading “Executive Compensation and Other Information,”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under the headings “Security Ownership of Certain Beneficial Owners and Management” and “Securities Authorized for Issuance Under Equity Compensation Plans,”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under the headings “Certain Relationships and Related Person Transactions” and “Corporate Governance”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under the heading “Proposal 2 Ratification of Appointment of Independent Registered Public Accounting Firm,” and is incorporated herein by reference.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independent public accounting firm is KPMG LLP, San Diego, CA, PCAOB Auditor ID: 185.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list of the financial statements included herein, see Index to the Financial Statements on page F-1 of this Annual Report on Form 10-K, incorporated into this Item by reference.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financial statements or the notes thereto.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42"/>
        </w:trPr>
        <w:tc>
          <w:tcPr>
            <w:tcW w:w="114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gridSpan w:val="18"/>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tcBorders>
              <w:bottom w:val="single" w:sz="8" w:color="auto"/>
            </w:tcBorders>
          </w:tcPr>
          <w:p>
            <w:pPr>
              <w:jc w:val="center"/>
              <w:ind w:left="71"/>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tcBorders>
              <w:bottom w:val="single" w:sz="8" w:color="auto"/>
            </w:tcBorders>
          </w:tcPr>
          <w:p>
            <w:pPr>
              <w:ind w:left="64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Amended and Restated Certificate of Incorporation</w:t>
              </w:r>
            </w:hyperlink>
          </w:p>
        </w:tc>
        <w:tc>
          <w:tcPr>
            <w:tcW w:w="62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4/2/2024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Amended and Restated Bylaws</w:t>
              </w:r>
            </w:hyperlink>
          </w:p>
        </w:tc>
        <w:tc>
          <w:tcPr>
            <w:tcW w:w="62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4/2/2024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1"/>
                <w:szCs w:val="21"/>
                <w:color w:val="auto"/>
              </w:rPr>
            </w:pPr>
          </w:p>
        </w:tc>
        <w:tc>
          <w:tcPr>
            <w:tcW w:w="4760" w:type="dxa"/>
            <w:vAlign w:val="bottom"/>
            <w:gridSpan w:val="14"/>
          </w:tcPr>
          <w:p>
            <w:pPr>
              <w:spacing w:after="0"/>
              <w:rPr>
                <w:rFonts w:ascii="Times New Roman" w:cs="Times New Roman" w:eastAsia="Times New Roman" w:hAnsi="Times New Roman"/>
                <w:sz w:val="18"/>
                <w:szCs w:val="18"/>
                <w:color w:val="0000FF"/>
                <w:w w:val="98"/>
              </w:rPr>
            </w:pPr>
            <w:hyperlink r:id="rId173">
              <w:r>
                <w:rPr>
                  <w:rFonts w:ascii="Times New Roman" w:cs="Times New Roman" w:eastAsia="Times New Roman" w:hAnsi="Times New Roman"/>
                  <w:sz w:val="18"/>
                  <w:szCs w:val="18"/>
                  <w:color w:val="0000FF"/>
                  <w:w w:val="98"/>
                </w:rPr>
                <w:t>Specimen stock certificate evidencing the shares of common stock</w:t>
              </w:r>
            </w:hyperlink>
          </w:p>
        </w:tc>
        <w:tc>
          <w:tcPr>
            <w:tcW w:w="120" w:type="dxa"/>
            <w:vAlign w:val="bottom"/>
            <w:vMerge w:val="restart"/>
          </w:tcPr>
          <w:p>
            <w:pPr>
              <w:spacing w:after="0"/>
              <w:rPr>
                <w:sz w:val="21"/>
                <w:szCs w:val="21"/>
                <w:color w:val="auto"/>
              </w:rPr>
            </w:pPr>
          </w:p>
        </w:tc>
        <w:tc>
          <w:tcPr>
            <w:tcW w:w="240" w:type="dxa"/>
            <w:vAlign w:val="bottom"/>
            <w:vMerge w:val="restart"/>
          </w:tcPr>
          <w:p>
            <w:pPr>
              <w:spacing w:after="0"/>
              <w:rPr>
                <w:sz w:val="21"/>
                <w:szCs w:val="21"/>
                <w:color w:val="auto"/>
              </w:rPr>
            </w:pPr>
          </w:p>
        </w:tc>
        <w:tc>
          <w:tcPr>
            <w:tcW w:w="360" w:type="dxa"/>
            <w:vAlign w:val="bottom"/>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26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620" w:type="dxa"/>
            <w:vAlign w:val="bottom"/>
            <w:vMerge w:val="restart"/>
          </w:tcPr>
          <w:p>
            <w:pPr>
              <w:jc w:val="center"/>
              <w:ind w:left="71"/>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vMerge w:val="restart"/>
          </w:tcPr>
          <w:p>
            <w:pPr>
              <w:jc w:val="center"/>
              <w:ind w:left="112"/>
              <w:spacing w:after="0"/>
              <w:rPr>
                <w:sz w:val="20"/>
                <w:szCs w:val="20"/>
                <w:color w:val="auto"/>
              </w:rPr>
            </w:pPr>
            <w:r>
              <w:rPr>
                <w:rFonts w:ascii="Times New Roman" w:cs="Times New Roman" w:eastAsia="Times New Roman" w:hAnsi="Times New Roman"/>
                <w:sz w:val="18"/>
                <w:szCs w:val="18"/>
                <w:color w:val="auto"/>
                <w:w w:val="98"/>
              </w:rPr>
              <w:t>3/21/2024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11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Borders>
              <w:top w:val="single" w:sz="8" w:color="0000FF"/>
            </w:tcBorders>
          </w:tcPr>
          <w:p>
            <w:pPr>
              <w:spacing w:after="0"/>
              <w:rPr>
                <w:sz w:val="6"/>
                <w:szCs w:val="6"/>
                <w:color w:val="auto"/>
              </w:rPr>
            </w:pPr>
          </w:p>
        </w:tc>
        <w:tc>
          <w:tcPr>
            <w:tcW w:w="380" w:type="dxa"/>
            <w:vAlign w:val="bottom"/>
            <w:tcBorders>
              <w:top w:val="single" w:sz="8" w:color="0000FF"/>
            </w:tcBorders>
          </w:tcPr>
          <w:p>
            <w:pPr>
              <w:spacing w:after="0"/>
              <w:rPr>
                <w:sz w:val="6"/>
                <w:szCs w:val="6"/>
                <w:color w:val="auto"/>
              </w:rPr>
            </w:pPr>
          </w:p>
        </w:tc>
        <w:tc>
          <w:tcPr>
            <w:tcW w:w="1280" w:type="dxa"/>
            <w:vAlign w:val="bottom"/>
            <w:tcBorders>
              <w:top w:val="single" w:sz="8" w:color="0000FF"/>
            </w:tcBorders>
            <w:gridSpan w:val="2"/>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12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240" w:type="dxa"/>
            <w:vAlign w:val="bottom"/>
            <w:tcBorders>
              <w:top w:val="single" w:sz="8" w:color="0000FF"/>
            </w:tcBorders>
          </w:tcPr>
          <w:p>
            <w:pPr>
              <w:spacing w:after="0"/>
              <w:rPr>
                <w:sz w:val="6"/>
                <w:szCs w:val="6"/>
                <w:color w:val="auto"/>
              </w:rPr>
            </w:pPr>
          </w:p>
        </w:tc>
        <w:tc>
          <w:tcPr>
            <w:tcW w:w="1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Amended and Restated Investor Rights Agreement, dated April 5, 2023, by and</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3/6/2024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21"/>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among the Registrant and certain of its stockholders</w:t>
              </w:r>
            </w:hyperlink>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Description of the Registrant’s securities</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3/27/2025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Boundless Bio, Inc. 2018 Equity Incentive Plan, as amended, and form of stock</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3/6/2024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21"/>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option agreement and form of restricted stock agreement thereunder</w:t>
              </w:r>
            </w:hyperlink>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Boundless Bio, Inc. 2024 Incentive Award Plan and form of stock option agreement</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3/21/2024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21"/>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and form of restricted stock unit agreement thereunder</w:t>
              </w:r>
            </w:hyperlink>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Boundless Bio, Inc. 2024 Employee Stock Purchase Plan</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3/21/2024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Non-Employee Director Compensation Program (as amended and restated effective</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5/9/2025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21"/>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March 27, 2025)</w:t>
              </w:r>
            </w:hyperlink>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Amended and Restated Employment Offer Letter Agreement, dated March 5, 2024,</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3/6/2024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21"/>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between Zachary D. Hornby and the Registrant</w:t>
              </w:r>
            </w:hyperlink>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Amended and Restated Employment Offer Letter Agreement, dated March 5, 2024,</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3/6/2024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21"/>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between Christian Hassig, Ph.D. and the Registrant</w:t>
              </w:r>
            </w:hyperlink>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Amended and Restated Employment Offer Letter Agreement, dated March 5, 2024,</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3/6/2024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21"/>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between Jessica Oien and the Registrant</w:t>
              </w:r>
            </w:hyperlink>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Amended and Restated Employment Offer Letter Agreement, dated April 2, 2024,</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3/27/2025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21"/>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between David Hinkle and the Registrant</w:t>
              </w:r>
            </w:hyperlink>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Employment Offer Letter Agreement, dated January 27, 2025, between Robert</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3/27/2025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21"/>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Doebele, M.D. Ph.D. and the Registrant</w:t>
              </w:r>
            </w:hyperlink>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Severance and Change in Control Severance Plan</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3/6/2024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Corporate Bonus Plan</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3/6/2024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Indemnification Agreement for Directors and Officers</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3/21/2024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Borders>
              <w:right w:val="single" w:sz="8" w:color="0000EE"/>
            </w:tcBorders>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1180" w:type="dxa"/>
            <w:vAlign w:val="bottom"/>
            <w:tcBorders>
              <w:right w:val="single" w:sz="8" w:color="0000FF"/>
            </w:tcBorders>
            <w:gridSpan w:val="6"/>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Lease Agreement, dated December 20, 2021, between ARE-10933 NORTH</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5/9/2025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1180" w:type="dxa"/>
            <w:vAlign w:val="bottom"/>
            <w:tcBorders>
              <w:right w:val="single" w:sz="8" w:color="0000FF"/>
            </w:tcBorders>
            <w:gridSpan w:val="6"/>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gridSpan w:val="21"/>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TORREY PINES, LLC, and the Registrant</w:t>
              </w:r>
            </w:hyperlink>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10.15</w:t>
            </w:r>
          </w:p>
        </w:tc>
        <w:tc>
          <w:tcPr>
            <w:tcW w:w="180" w:type="dxa"/>
            <w:vAlign w:val="bottom"/>
          </w:tcPr>
          <w:p>
            <w:pPr>
              <w:spacing w:after="0"/>
              <w:rPr>
                <w:sz w:val="21"/>
                <w:szCs w:val="21"/>
                <w:color w:val="auto"/>
              </w:rPr>
            </w:pPr>
          </w:p>
        </w:tc>
        <w:tc>
          <w:tcPr>
            <w:tcW w:w="6020" w:type="dxa"/>
            <w:vAlign w:val="bottom"/>
            <w:gridSpan w:val="20"/>
          </w:tcPr>
          <w:p>
            <w:pPr>
              <w:spacing w:after="0"/>
              <w:rPr>
                <w:rFonts w:ascii="Times New Roman" w:cs="Times New Roman" w:eastAsia="Times New Roman" w:hAnsi="Times New Roman"/>
                <w:sz w:val="18"/>
                <w:szCs w:val="18"/>
                <w:color w:val="0000FF"/>
                <w:w w:val="98"/>
              </w:rPr>
            </w:pPr>
            <w:hyperlink r:id="rId189">
              <w:r>
                <w:rPr>
                  <w:rFonts w:ascii="Times New Roman" w:cs="Times New Roman" w:eastAsia="Times New Roman" w:hAnsi="Times New Roman"/>
                  <w:sz w:val="18"/>
                  <w:szCs w:val="18"/>
                  <w:color w:val="0000FF"/>
                  <w:w w:val="98"/>
                </w:rPr>
                <w:t>First Amendment to the Lease Agreement, dated November 1, 2024, between ARE-</w:t>
              </w:r>
            </w:hyperlink>
          </w:p>
        </w:tc>
        <w:tc>
          <w:tcPr>
            <w:tcW w:w="80" w:type="dxa"/>
            <w:vAlign w:val="bottom"/>
            <w:vMerge w:val="restart"/>
          </w:tcPr>
          <w:p>
            <w:pPr>
              <w:spacing w:after="0"/>
              <w:rPr>
                <w:sz w:val="21"/>
                <w:szCs w:val="21"/>
                <w:color w:val="auto"/>
              </w:rPr>
            </w:pPr>
          </w:p>
        </w:tc>
        <w:tc>
          <w:tcPr>
            <w:tcW w:w="620" w:type="dxa"/>
            <w:vAlign w:val="bottom"/>
            <w:vMerge w:val="restart"/>
          </w:tcPr>
          <w:p>
            <w:pPr>
              <w:jc w:val="center"/>
              <w:ind w:left="71"/>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vMerge w:val="restart"/>
          </w:tcPr>
          <w:p>
            <w:pPr>
              <w:jc w:val="center"/>
              <w:ind w:left="112"/>
              <w:spacing w:after="0"/>
              <w:rPr>
                <w:sz w:val="20"/>
                <w:szCs w:val="20"/>
                <w:color w:val="auto"/>
              </w:rPr>
            </w:pPr>
            <w:r>
              <w:rPr>
                <w:rFonts w:ascii="Times New Roman" w:cs="Times New Roman" w:eastAsia="Times New Roman" w:hAnsi="Times New Roman"/>
                <w:sz w:val="18"/>
                <w:szCs w:val="18"/>
                <w:color w:val="auto"/>
                <w:w w:val="99"/>
              </w:rPr>
              <w:t>5/9/2025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10.3(b)</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40" w:type="dxa"/>
            <w:vAlign w:val="bottom"/>
            <w:tcBorders>
              <w:right w:val="single" w:sz="8" w:color="0000FF"/>
            </w:tcBorders>
            <w:gridSpan w:val="1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100" w:type="dxa"/>
            <w:vAlign w:val="bottom"/>
            <w:gridSpan w:val="21"/>
            <w:vMerge w:val="restart"/>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10933 NORTH TORREY PINES, LLC, and the Registrant</w:t>
              </w:r>
            </w:hyperlink>
          </w:p>
        </w:tc>
        <w:tc>
          <w:tcPr>
            <w:tcW w:w="62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100" w:type="dxa"/>
            <w:vAlign w:val="bottom"/>
            <w:gridSpan w:val="21"/>
            <w:vMerge w:val="continue"/>
          </w:tcPr>
          <w:p>
            <w:pPr>
              <w:spacing w:after="0"/>
              <w:rPr>
                <w:sz w:val="10"/>
                <w:szCs w:val="10"/>
                <w:color w:val="auto"/>
              </w:rPr>
            </w:pPr>
          </w:p>
        </w:tc>
        <w:tc>
          <w:tcPr>
            <w:tcW w:w="6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40" w:type="dxa"/>
            <w:vAlign w:val="bottom"/>
            <w:tcBorders>
              <w:right w:val="single" w:sz="8" w:color="0000EE"/>
            </w:tcBorders>
            <w:gridSpan w:val="12"/>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Pr>
          <w:p>
            <w:pPr>
              <w:spacing w:after="0"/>
              <w:rPr>
                <w:sz w:val="21"/>
                <w:szCs w:val="21"/>
                <w:color w:val="auto"/>
              </w:rPr>
            </w:pPr>
          </w:p>
        </w:tc>
        <w:tc>
          <w:tcPr>
            <w:tcW w:w="6100" w:type="dxa"/>
            <w:vAlign w:val="bottom"/>
            <w:gridSpan w:val="21"/>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Boundless Bio, Inc. Insider Trading Compliance Policy and Procedures</w:t>
              </w:r>
            </w:hyperlink>
          </w:p>
        </w:tc>
        <w:tc>
          <w:tcPr>
            <w:tcW w:w="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8"/>
              </w:rPr>
              <w:t>3/27/2025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120" w:type="dxa"/>
            <w:vAlign w:val="bottom"/>
            <w:tcBorders>
              <w:right w:val="single" w:sz="8" w:color="0000FF"/>
            </w:tcBorders>
            <w:gridSpan w:val="16"/>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24"/>
                <w:szCs w:val="24"/>
                <w:color w:val="auto"/>
              </w:rPr>
            </w:pPr>
          </w:p>
        </w:tc>
        <w:tc>
          <w:tcPr>
            <w:tcW w:w="6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Consent of KPMG LLP, independent registered public accounting firm</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5"/>
              </w:rPr>
              <w:t>24.1</w:t>
            </w:r>
          </w:p>
        </w:tc>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w:t>
            </w:r>
          </w:p>
        </w:tc>
        <w:tc>
          <w:tcPr>
            <w:tcW w:w="3660" w:type="dxa"/>
            <w:vAlign w:val="bottom"/>
          </w:tcPr>
          <w:p>
            <w:pPr>
              <w:ind w:left="352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3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04"/>
        </w:trPr>
        <w:tc>
          <w:tcPr>
            <w:tcW w:w="13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5"/>
              </w:rPr>
              <w:t>31.1</w:t>
            </w:r>
          </w:p>
        </w:tc>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w:t>
            </w:r>
          </w:p>
        </w:tc>
        <w:tc>
          <w:tcPr>
            <w:tcW w:w="3660" w:type="dxa"/>
            <w:vAlign w:val="bottom"/>
          </w:tcPr>
          <w:p>
            <w:pPr>
              <w:ind w:left="352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3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14(a) under the Securities Exchange Act of 1934, as Adopted Pursuant to Section</w:t>
            </w:r>
          </w:p>
        </w:tc>
        <w:tc>
          <w:tcPr>
            <w:tcW w:w="366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86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3660" w:type="dxa"/>
            <w:vAlign w:val="bottom"/>
          </w:tcPr>
          <w:p>
            <w:pPr>
              <w:spacing w:after="0"/>
              <w:rPr>
                <w:sz w:val="17"/>
                <w:szCs w:val="17"/>
                <w:color w:val="auto"/>
              </w:rPr>
            </w:pPr>
          </w:p>
        </w:tc>
      </w:tr>
      <w:tr>
        <w:trPr>
          <w:trHeight w:val="20"/>
        </w:trPr>
        <w:tc>
          <w:tcPr>
            <w:tcW w:w="13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EE"/>
            </w:tcBorders>
            <w:shd w:val="clear" w:color="auto" w:fill="0000FF"/>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04"/>
        </w:trPr>
        <w:tc>
          <w:tcPr>
            <w:tcW w:w="13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5"/>
              </w:rPr>
              <w:t>31.2</w:t>
            </w:r>
          </w:p>
        </w:tc>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w:t>
            </w:r>
          </w:p>
        </w:tc>
        <w:tc>
          <w:tcPr>
            <w:tcW w:w="3660" w:type="dxa"/>
            <w:vAlign w:val="bottom"/>
          </w:tcPr>
          <w:p>
            <w:pPr>
              <w:ind w:left="352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320" w:type="dxa"/>
            <w:vAlign w:val="bottom"/>
            <w:tcBorders>
              <w:right w:val="single" w:sz="8" w:color="0000EE"/>
            </w:tcBorders>
          </w:tcPr>
          <w:p>
            <w:pPr>
              <w:spacing w:after="0" w:line="20" w:lineRule="exact"/>
              <w:rPr>
                <w:sz w:val="1"/>
                <w:szCs w:val="1"/>
                <w:color w:val="auto"/>
              </w:rPr>
            </w:pPr>
          </w:p>
        </w:tc>
        <w:tc>
          <w:tcPr>
            <w:tcW w:w="580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14(a) under the Securities Exchange Act of 1934, as Adopted Pursuant to Section</w:t>
            </w:r>
          </w:p>
        </w:tc>
        <w:tc>
          <w:tcPr>
            <w:tcW w:w="366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5880" w:type="dxa"/>
            <w:vAlign w:val="bottom"/>
            <w:gridSpan w:val="4"/>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5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3660" w:type="dxa"/>
            <w:vAlign w:val="bottom"/>
          </w:tcPr>
          <w:p>
            <w:pPr>
              <w:spacing w:after="0"/>
              <w:rPr>
                <w:sz w:val="17"/>
                <w:szCs w:val="17"/>
                <w:color w:val="auto"/>
              </w:rPr>
            </w:pPr>
          </w:p>
        </w:tc>
      </w:tr>
      <w:tr>
        <w:trPr>
          <w:trHeight w:val="20"/>
        </w:trPr>
        <w:tc>
          <w:tcPr>
            <w:tcW w:w="13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104"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 the</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gridSpan w:val="4"/>
          </w:tcPr>
          <w:p>
            <w:pPr>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Policy for Recovery of Erroneously Awarded Compensation</w:t>
              </w:r>
            </w:hyperlink>
          </w:p>
        </w:tc>
        <w:tc>
          <w:tcPr>
            <w:tcW w:w="1720" w:type="dxa"/>
            <w:vAlign w:val="bottom"/>
            <w:gridSpan w:val="3"/>
            <w:vMerge w:val="restart"/>
          </w:tcPr>
          <w:p>
            <w:pPr>
              <w:spacing w:after="0"/>
              <w:rPr>
                <w:sz w:val="21"/>
                <w:szCs w:val="21"/>
                <w:color w:val="auto"/>
              </w:rPr>
            </w:pP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S-1</w:t>
            </w:r>
          </w:p>
        </w:tc>
        <w:tc>
          <w:tcPr>
            <w:tcW w:w="12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3/6/2024</w:t>
            </w:r>
          </w:p>
        </w:tc>
        <w:tc>
          <w:tcPr>
            <w:tcW w:w="144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75"/>
        </w:trPr>
        <w:tc>
          <w:tcPr>
            <w:tcW w:w="20" w:type="dxa"/>
            <w:vAlign w:val="bottom"/>
            <w:tcBorders>
              <w:top w:val="single" w:sz="8" w:color="0000EE"/>
            </w:tcBorders>
          </w:tcPr>
          <w:p>
            <w:pPr>
              <w:spacing w:after="0"/>
              <w:rPr>
                <w:sz w:val="6"/>
                <w:szCs w:val="6"/>
                <w:color w:val="auto"/>
              </w:rPr>
            </w:pPr>
          </w:p>
        </w:tc>
        <w:tc>
          <w:tcPr>
            <w:tcW w:w="4320" w:type="dxa"/>
            <w:vAlign w:val="bottom"/>
            <w:tcBorders>
              <w:top w:val="single" w:sz="8" w:color="0000FF"/>
            </w:tcBorders>
            <w:gridSpan w:val="2"/>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6"/>
        </w:trPr>
        <w:tc>
          <w:tcPr>
            <w:tcW w:w="6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2">
            <w:col w:w="620" w:space="680"/>
            <w:col w:w="99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188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1"/>
              </w:rPr>
              <w:t>X</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88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1912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Indicates management contract or compensatory plan.</w:t>
      </w:r>
    </w:p>
    <w:p>
      <w:pPr>
        <w:spacing w:after="0" w:line="26" w:lineRule="exact"/>
        <w:rPr>
          <w:sz w:val="20"/>
          <w:szCs w:val="20"/>
          <w:color w:val="auto"/>
        </w:rPr>
      </w:pPr>
    </w:p>
    <w:p>
      <w:pPr>
        <w:ind w:firstLine="8"/>
        <w:spacing w:after="0" w:line="288" w:lineRule="auto"/>
        <w:tabs>
          <w:tab w:leader="none" w:pos="13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certifications are deemed not filed for purposes of Section 18 of the Exchange Act or otherwise subject to the liability of that section, nor shall they be deemed incorporated by reference into any filing under the Securities Act or the Exchange Act.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Boundless Bio,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2026</w:t>
            </w:r>
          </w:p>
        </w:tc>
        <w:tc>
          <w:tcPr>
            <w:tcW w:w="77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 /s/ Zachary D. Hornby</w:t>
            </w:r>
          </w:p>
        </w:tc>
      </w:tr>
      <w:tr>
        <w:trPr>
          <w:trHeight w:val="191"/>
        </w:trPr>
        <w:tc>
          <w:tcPr>
            <w:tcW w:w="3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Zachary D. Hornby</w:t>
            </w:r>
          </w:p>
        </w:tc>
      </w:tr>
      <w:tr>
        <w:trPr>
          <w:trHeight w:val="216"/>
        </w:trPr>
        <w:tc>
          <w:tcPr>
            <w:tcW w:w="3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2026</w:t>
            </w:r>
          </w:p>
        </w:tc>
        <w:tc>
          <w:tcPr>
            <w:tcW w:w="77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 /s/ David Hinkle</w:t>
            </w:r>
          </w:p>
        </w:tc>
      </w:tr>
      <w:tr>
        <w:trPr>
          <w:trHeight w:val="191"/>
        </w:trPr>
        <w:tc>
          <w:tcPr>
            <w:tcW w:w="3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Hinkle</w:t>
            </w:r>
          </w:p>
        </w:tc>
      </w:tr>
      <w:tr>
        <w:trPr>
          <w:trHeight w:val="216"/>
        </w:trPr>
        <w:tc>
          <w:tcPr>
            <w:tcW w:w="3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Controller and Treasurer</w:t>
            </w:r>
          </w:p>
        </w:tc>
      </w:tr>
      <w:tr>
        <w:trPr>
          <w:trHeight w:val="234"/>
        </w:trPr>
        <w:tc>
          <w:tcPr>
            <w:tcW w:w="35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48"/>
        </w:trPr>
        <w:tc>
          <w:tcPr>
            <w:tcW w:w="3500" w:type="dxa"/>
            <w:vAlign w:val="bottom"/>
          </w:tcPr>
          <w:p>
            <w:pPr>
              <w:spacing w:after="0"/>
              <w:rPr>
                <w:sz w:val="24"/>
                <w:szCs w:val="24"/>
                <w:color w:val="auto"/>
              </w:rPr>
            </w:pPr>
          </w:p>
        </w:tc>
        <w:tc>
          <w:tcPr>
            <w:tcW w:w="26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108</w:t>
            </w:r>
          </w:p>
        </w:tc>
        <w:tc>
          <w:tcPr>
            <w:tcW w:w="514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Zachary D. Hornby and David Hinkle,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240"/>
          </w:cols>
          <w:pgMar w:left="320" w:top="117" w:right="339" w:bottom="1440" w:gutter="0" w:footer="0" w:header="0"/>
        </w:sectPr>
      </w:pPr>
    </w:p>
    <w:p>
      <w:pPr>
        <w:spacing w:after="0" w:line="15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488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 Zachary D. Hornby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Zachary D. Hornby</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David Hinkle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David Hinkle</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Jonathan 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Jonathan E. Lim, M.D.</w:t>
      </w:r>
    </w:p>
    <w:p>
      <w:pPr>
        <w:spacing w:after="0" w:line="22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Kristina Burow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Kristina Burow</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James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James Christensen, Ph.D.</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Jennifer Lew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Jennifer Lew</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Nancy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Nancy Whiting, Pharm.D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0"/>
                <w:szCs w:val="20"/>
                <w:color w:val="auto"/>
              </w:rPr>
            </w:pPr>
          </w:p>
        </w:tc>
        <w:tc>
          <w:tcPr>
            <w:tcW w:w="24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9, 2026</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2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Controller and Treasurer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9, 2026</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45"/>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9, 2026</w:t>
            </w:r>
          </w:p>
        </w:tc>
      </w:tr>
      <w:tr>
        <w:trPr>
          <w:trHeight w:val="66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9, 2026</w:t>
            </w:r>
          </w:p>
        </w:tc>
      </w:tr>
      <w:tr>
        <w:trPr>
          <w:trHeight w:val="66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9, 2026</w:t>
            </w:r>
          </w:p>
        </w:tc>
      </w:tr>
      <w:tr>
        <w:trPr>
          <w:trHeight w:val="66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9, 2026</w:t>
            </w:r>
          </w:p>
        </w:tc>
      </w:tr>
      <w:tr>
        <w:trPr>
          <w:trHeight w:val="66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9, 2026</w:t>
            </w:r>
          </w:p>
        </w:tc>
      </w:tr>
    </w:tbl>
    <w:p>
      <w:pPr>
        <w:spacing w:after="0" w:line="393" w:lineRule="exact"/>
        <w:rPr>
          <w:sz w:val="20"/>
          <w:szCs w:val="20"/>
          <w:color w:val="auto"/>
        </w:rPr>
      </w:pPr>
    </w:p>
    <w:p>
      <w:pPr>
        <w:sectPr>
          <w:pgSz w:w="11900" w:h="16838" w:orient="portrait"/>
          <w:cols w:equalWidth="0" w:num="2">
            <w:col w:w="3120" w:space="720"/>
            <w:col w:w="7400"/>
          </w:cols>
          <w:pgMar w:left="320" w:top="117" w:right="339" w:bottom="1440" w:gutter="0" w:footer="0" w:header="0"/>
          <w:type w:val="continuous"/>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80" w:type="dxa"/>
            <w:vAlign w:val="bottom"/>
            <w:gridSpan w:val="6"/>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480" w:type="dxa"/>
            <w:vAlign w:val="bottom"/>
          </w:tcPr>
          <w:p>
            <w:pPr>
              <w:spacing w:after="0"/>
              <w:rPr>
                <w:sz w:val="20"/>
                <w:szCs w:val="20"/>
                <w:color w:val="auto"/>
              </w:rPr>
            </w:pPr>
          </w:p>
        </w:tc>
      </w:tr>
      <w:tr>
        <w:trPr>
          <w:trHeight w:val="391"/>
        </w:trPr>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422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Balance Sheets as of December 31, 2025 and 2024</w:t>
            </w:r>
          </w:p>
        </w:tc>
        <w:tc>
          <w:tcPr>
            <w:tcW w:w="5540" w:type="dxa"/>
            <w:vAlign w:val="bottom"/>
            <w:gridSpan w:val="5"/>
          </w:tcPr>
          <w:p>
            <w:pPr>
              <w:spacing w:after="0"/>
              <w:rPr>
                <w:sz w:val="17"/>
                <w:szCs w:val="17"/>
                <w:color w:val="auto"/>
              </w:rPr>
            </w:pPr>
          </w:p>
        </w:tc>
        <w:tc>
          <w:tcPr>
            <w:tcW w:w="1480" w:type="dxa"/>
            <w:vAlign w:val="bottom"/>
          </w:tcPr>
          <w:p>
            <w:pPr>
              <w:ind w:left="122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16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Operations and Comprehensive Loss for the Years ended December 31, 2025 and 2024</w:t>
            </w:r>
          </w:p>
        </w:tc>
        <w:tc>
          <w:tcPr>
            <w:tcW w:w="20" w:type="dxa"/>
            <w:vAlign w:val="bottom"/>
            <w:tcBorders>
              <w:bottom w:val="single" w:sz="8" w:color="0000EE"/>
            </w:tcBorders>
          </w:tcPr>
          <w:p>
            <w:pPr>
              <w:spacing w:after="0"/>
              <w:rPr>
                <w:sz w:val="17"/>
                <w:szCs w:val="17"/>
                <w:color w:val="auto"/>
              </w:rPr>
            </w:pPr>
          </w:p>
        </w:tc>
        <w:tc>
          <w:tcPr>
            <w:tcW w:w="2420" w:type="dxa"/>
            <w:vAlign w:val="bottom"/>
            <w:gridSpan w:val="2"/>
          </w:tcPr>
          <w:p>
            <w:pPr>
              <w:spacing w:after="0"/>
              <w:rPr>
                <w:sz w:val="17"/>
                <w:szCs w:val="17"/>
                <w:color w:val="auto"/>
              </w:rPr>
            </w:pPr>
          </w:p>
        </w:tc>
        <w:tc>
          <w:tcPr>
            <w:tcW w:w="1480" w:type="dxa"/>
            <w:vAlign w:val="bottom"/>
          </w:tcPr>
          <w:p>
            <w:pPr>
              <w:ind w:left="122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85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Convertible Preferred Stock and Stockholders’ Equity for the Years ended December 31, 2025 and 2024</w:t>
            </w:r>
          </w:p>
        </w:tc>
        <w:tc>
          <w:tcPr>
            <w:tcW w:w="1200" w:type="dxa"/>
            <w:vAlign w:val="bottom"/>
          </w:tcPr>
          <w:p>
            <w:pPr>
              <w:spacing w:after="0"/>
              <w:rPr>
                <w:sz w:val="17"/>
                <w:szCs w:val="17"/>
                <w:color w:val="auto"/>
              </w:rPr>
            </w:pPr>
          </w:p>
        </w:tc>
        <w:tc>
          <w:tcPr>
            <w:tcW w:w="1480" w:type="dxa"/>
            <w:vAlign w:val="bottom"/>
          </w:tcPr>
          <w:p>
            <w:pPr>
              <w:ind w:left="122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97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 for the Years ended December 31, 2025 and 2024</w:t>
            </w:r>
          </w:p>
        </w:tc>
        <w:tc>
          <w:tcPr>
            <w:tcW w:w="1480" w:type="dxa"/>
            <w:vAlign w:val="bottom"/>
          </w:tcPr>
          <w:p>
            <w:pPr>
              <w:ind w:left="122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550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4260" w:type="dxa"/>
            <w:vAlign w:val="bottom"/>
            <w:gridSpan w:val="4"/>
          </w:tcPr>
          <w:p>
            <w:pPr>
              <w:spacing w:after="0"/>
              <w:rPr>
                <w:sz w:val="17"/>
                <w:szCs w:val="17"/>
                <w:color w:val="auto"/>
              </w:rPr>
            </w:pPr>
          </w:p>
        </w:tc>
        <w:tc>
          <w:tcPr>
            <w:tcW w:w="1480" w:type="dxa"/>
            <w:vAlign w:val="bottom"/>
          </w:tcPr>
          <w:p>
            <w:pPr>
              <w:ind w:left="122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669"/>
        </w:trPr>
        <w:tc>
          <w:tcPr>
            <w:tcW w:w="2160" w:type="dxa"/>
            <w:vAlign w:val="bottom"/>
            <w:tcBorders>
              <w:top w:val="single" w:sz="8" w:color="0000FF"/>
            </w:tcBorders>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40" w:type="dxa"/>
            <w:vAlign w:val="bottom"/>
            <w:gridSpan w:val="5"/>
          </w:tcPr>
          <w:p>
            <w:pPr>
              <w:jc w:val="center"/>
              <w:ind w:right="2740"/>
              <w:spacing w:after="0"/>
              <w:rPr>
                <w:sz w:val="20"/>
                <w:szCs w:val="20"/>
                <w:color w:val="auto"/>
              </w:rPr>
            </w:pPr>
            <w:r>
              <w:rPr>
                <w:rFonts w:ascii="Times New Roman" w:cs="Times New Roman" w:eastAsia="Times New Roman" w:hAnsi="Times New Roman"/>
                <w:sz w:val="18"/>
                <w:szCs w:val="18"/>
                <w:color w:val="auto"/>
                <w:w w:val="95"/>
              </w:rPr>
              <w:t>F-1</w:t>
            </w:r>
          </w:p>
        </w:tc>
        <w:tc>
          <w:tcPr>
            <w:tcW w:w="1480" w:type="dxa"/>
            <w:vAlign w:val="bottom"/>
          </w:tcPr>
          <w:p>
            <w:pPr>
              <w:spacing w:after="0"/>
              <w:rPr>
                <w:sz w:val="24"/>
                <w:szCs w:val="24"/>
                <w:color w:val="auto"/>
              </w:rPr>
            </w:pPr>
          </w:p>
        </w:tc>
      </w:tr>
      <w:tr>
        <w:trPr>
          <w:trHeight w:val="763"/>
        </w:trPr>
        <w:tc>
          <w:tcPr>
            <w:tcW w:w="2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Boundless Bio,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Boundless Bio, Inc. (the Company) as of December 31, 2025 and 2024, the related statements of operations and comprehensive loss, convertible preferred stock and stockholders’ equity, and cash flows for each of the years then ended, and the related notes (collectively, the financial statements). In our opinion, the financial statements present fairly, in all material respects, the financial position of the Company as of December 31, 2025 and 2024, and the results of its operations and its cash flows for each of the years then ended,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par value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7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125,527</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154,390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157,059</w:t>
            </w:r>
          </w:p>
        </w:tc>
        <w:tc>
          <w:tcPr>
            <w:tcW w:w="1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206,409</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6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47,632</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55,767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70,000 shares authorized and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shares issued and outstanding as of December 31, 2025 and December 31, 2024</w:t>
            </w:r>
          </w:p>
        </w:tc>
        <w:tc>
          <w:tcPr>
            <w:tcW w:w="3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700,000 shares authorized, 22,407 shares issued</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outstanding as of December 31, 2025; 700,000 shares authorized, 22,300 shares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issued and outstanding as of December 31, 2024</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351,991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(259,669)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(201,472)</w:t>
            </w: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157,059</w:t>
            </w:r>
          </w:p>
        </w:tc>
        <w:tc>
          <w:tcPr>
            <w:tcW w:w="16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206,409</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-3668395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-2828290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-2811145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0"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5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44,845</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55,267</w:t>
            </w:r>
          </w:p>
        </w:tc>
        <w:tc>
          <w:tcPr>
            <w:tcW w:w="10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73,267</w:t>
            </w:r>
          </w:p>
        </w:tc>
        <w:tc>
          <w:tcPr>
            <w:tcW w:w="10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(63,552)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(73,267)</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09"/>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0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(58,197)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(65,363)</w:t>
            </w:r>
          </w:p>
        </w:tc>
      </w:tr>
      <w:tr>
        <w:trPr>
          <w:trHeight w:val="20"/>
        </w:trPr>
        <w:tc>
          <w:tcPr>
            <w:tcW w:w="5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00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(58,197)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(65,363)</w:t>
            </w: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gain (loss) on short-term investments</w:t>
            </w:r>
          </w:p>
        </w:tc>
        <w:tc>
          <w:tcPr>
            <w:tcW w:w="2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4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(58,254)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(65,282)</w:t>
            </w:r>
          </w:p>
        </w:tc>
      </w:tr>
      <w:tr>
        <w:trPr>
          <w:trHeight w:val="20"/>
        </w:trPr>
        <w:tc>
          <w:tcPr>
            <w:tcW w:w="5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r>
      <w:tr>
        <w:trPr>
          <w:trHeight w:val="197"/>
        </w:trPr>
        <w:tc>
          <w:tcPr>
            <w:tcW w:w="5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Shares used in calculation</w:t>
            </w:r>
          </w:p>
        </w:tc>
        <w:tc>
          <w:tcPr>
            <w:tcW w:w="2040" w:type="dxa"/>
            <w:vAlign w:val="bottom"/>
            <w:tcBorders>
              <w:top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22,360</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16,984</w:t>
            </w:r>
          </w:p>
        </w:tc>
        <w:tc>
          <w:tcPr>
            <w:tcW w:w="100" w:type="dxa"/>
            <w:vAlign w:val="bottom"/>
            <w:tcBorders>
              <w:top w:val="single" w:sz="8" w:color="CFF0FC"/>
            </w:tcBorders>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-2202180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-1353820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-633730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15"/>
        </w:trPr>
        <w:tc>
          <w:tcPr>
            <w:tcW w:w="2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2140" w:type="dxa"/>
            <w:vAlign w:val="bottom"/>
            <w:tcBorders>
              <w:right w:val="single" w:sz="8" w:color="auto"/>
            </w:tcBorders>
            <w:gridSpan w:val="6"/>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20" w:type="dxa"/>
            <w:vAlign w:val="bottom"/>
          </w:tcPr>
          <w:p>
            <w:pPr>
              <w:spacing w:after="0"/>
              <w:rPr>
                <w:sz w:val="11"/>
                <w:szCs w:val="11"/>
                <w:color w:val="auto"/>
              </w:rPr>
            </w:pPr>
          </w:p>
        </w:tc>
        <w:tc>
          <w:tcPr>
            <w:tcW w:w="1800" w:type="dxa"/>
            <w:vAlign w:val="bottom"/>
            <w:gridSpan w:val="3"/>
            <w:vMerge w:val="restart"/>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2140" w:type="dxa"/>
            <w:vAlign w:val="bottom"/>
            <w:tcBorders>
              <w:right w:val="single" w:sz="8" w:color="auto"/>
            </w:tcBorders>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5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220" w:type="dxa"/>
            <w:vAlign w:val="bottom"/>
          </w:tcPr>
          <w:p>
            <w:pPr>
              <w:spacing w:after="0"/>
              <w:rPr>
                <w:sz w:val="12"/>
                <w:szCs w:val="12"/>
                <w:color w:val="auto"/>
              </w:rPr>
            </w:pPr>
          </w:p>
        </w:tc>
        <w:tc>
          <w:tcPr>
            <w:tcW w:w="10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0" w:type="dxa"/>
            <w:vAlign w:val="bottom"/>
            <w:gridSpan w:val="3"/>
          </w:tcPr>
          <w:p>
            <w:pPr>
              <w:jc w:val="right"/>
              <w:ind w:right="179"/>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9"/>
              </w:rPr>
              <w:t>equity/</w:t>
            </w: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ind w:right="229"/>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69"/>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ind w:right="229"/>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30"/>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220" w:type="dxa"/>
            <w:vAlign w:val="bottom"/>
          </w:tcPr>
          <w:p>
            <w:pPr>
              <w:spacing w:after="0"/>
              <w:rPr>
                <w:sz w:val="11"/>
                <w:szCs w:val="11"/>
                <w:color w:val="auto"/>
              </w:rPr>
            </w:pPr>
          </w:p>
        </w:tc>
        <w:tc>
          <w:tcPr>
            <w:tcW w:w="86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income/ (loss)</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89"/>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90"/>
              <w:spacing w:after="0" w:line="129"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287,447</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247,617</w:t>
            </w: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1,247</w:t>
            </w:r>
          </w:p>
        </w:tc>
        <w:tc>
          <w:tcPr>
            <w:tcW w:w="880" w:type="dxa"/>
            <w:vAlign w:val="bottom"/>
            <w:gridSpan w:val="2"/>
            <w:shd w:val="clear" w:color="auto" w:fill="CFF0FC"/>
          </w:tcPr>
          <w:p>
            <w:pPr>
              <w:jc w:val="right"/>
              <w:ind w:right="5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8,987</w:t>
            </w:r>
          </w:p>
        </w:tc>
        <w:tc>
          <w:tcPr>
            <w:tcW w:w="38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(136,109)</w:t>
            </w:r>
          </w:p>
        </w:tc>
        <w:tc>
          <w:tcPr>
            <w:tcW w:w="2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(127,082)</w:t>
            </w:r>
          </w:p>
        </w:tc>
        <w:tc>
          <w:tcPr>
            <w:tcW w:w="0" w:type="dxa"/>
            <w:vAlign w:val="bottom"/>
          </w:tcPr>
          <w:p>
            <w:pPr>
              <w:spacing w:after="0"/>
              <w:rPr>
                <w:sz w:val="1"/>
                <w:szCs w:val="1"/>
                <w:color w:val="auto"/>
              </w:rPr>
            </w:pPr>
          </w:p>
        </w:tc>
      </w:tr>
      <w:tr>
        <w:trPr>
          <w:trHeight w:val="126"/>
        </w:trPr>
        <w:tc>
          <w:tcPr>
            <w:tcW w:w="2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initial public</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offering, net of $12,305 in discounts and</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87,694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87,695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offering costs</w:t>
            </w:r>
          </w:p>
        </w:tc>
        <w:tc>
          <w:tcPr>
            <w:tcW w:w="108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86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Conversion of convertible preferred stock</w:t>
            </w:r>
          </w:p>
        </w:tc>
        <w:tc>
          <w:tcPr>
            <w:tcW w:w="9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into common stock upon initial public</w:t>
            </w:r>
          </w:p>
        </w:tc>
        <w:tc>
          <w:tcPr>
            <w:tcW w:w="10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(287,447)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(247,617)</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14,741</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247,616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247,617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offering</w:t>
            </w:r>
          </w:p>
        </w:tc>
        <w:tc>
          <w:tcPr>
            <w:tcW w:w="10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tcBorders>
              <w:right w:val="single" w:sz="8" w:color="auto"/>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early exercised stock options</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tcBorders>
              <w:right w:val="single" w:sz="8" w:color="auto"/>
            </w:tcBorders>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the</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tcBorders>
              <w:right w:val="single" w:sz="8" w:color="auto"/>
            </w:tcBorders>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7,516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short-term investments</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(65,363)</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(65,363)</w:t>
            </w: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22,300</w:t>
            </w:r>
          </w:p>
        </w:tc>
        <w:tc>
          <w:tcPr>
            <w:tcW w:w="880" w:type="dxa"/>
            <w:vAlign w:val="bottom"/>
            <w:gridSpan w:val="2"/>
          </w:tcPr>
          <w:p>
            <w:pPr>
              <w:jc w:val="right"/>
              <w:ind w:right="5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351,991</w:t>
            </w:r>
          </w:p>
        </w:tc>
        <w:tc>
          <w:tcPr>
            <w:tcW w:w="3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w:t>
            </w:r>
          </w:p>
        </w:tc>
        <w:tc>
          <w:tcPr>
            <w:tcW w:w="200" w:type="dxa"/>
            <w:vAlign w:val="bottom"/>
          </w:tcPr>
          <w:p>
            <w:pPr>
              <w:spacing w:after="0"/>
              <w:rPr>
                <w:sz w:val="12"/>
                <w:szCs w:val="12"/>
                <w:color w:val="auto"/>
              </w:rPr>
            </w:pPr>
          </w:p>
        </w:tc>
        <w:tc>
          <w:tcPr>
            <w:tcW w:w="160" w:type="dxa"/>
            <w:vAlign w:val="bottom"/>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(201,472)</w:t>
            </w:r>
          </w:p>
        </w:tc>
        <w:tc>
          <w:tcPr>
            <w:tcW w:w="2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150,642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6,125</w:t>
            </w:r>
          </w:p>
        </w:tc>
        <w:tc>
          <w:tcPr>
            <w:tcW w:w="2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the</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short-term investments</w:t>
            </w:r>
          </w:p>
        </w:tc>
        <w:tc>
          <w:tcPr>
            <w:tcW w:w="10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tcBorders>
              <w:right w:val="single" w:sz="8" w:color="auto"/>
            </w:tcBorders>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48"/>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(58,197)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(58,197)</w:t>
            </w:r>
          </w:p>
        </w:tc>
        <w:tc>
          <w:tcPr>
            <w:tcW w:w="0" w:type="dxa"/>
            <w:vAlign w:val="bottom"/>
          </w:tcPr>
          <w:p>
            <w:pPr>
              <w:spacing w:after="0"/>
              <w:rPr>
                <w:sz w:val="1"/>
                <w:szCs w:val="1"/>
                <w:color w:val="auto"/>
              </w:rPr>
            </w:pPr>
          </w:p>
        </w:tc>
      </w:tr>
      <w:tr>
        <w:trPr>
          <w:trHeight w:val="182"/>
        </w:trPr>
        <w:tc>
          <w:tcPr>
            <w:tcW w:w="26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right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22,407</w:t>
            </w:r>
          </w:p>
        </w:tc>
        <w:tc>
          <w:tcPr>
            <w:tcW w:w="20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jc w:val="right"/>
              <w:ind w:right="53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358,257</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64</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1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(259,669</w:t>
            </w:r>
          </w:p>
        </w:tc>
        <w:tc>
          <w:tcPr>
            <w:tcW w:w="14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98,654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-710565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-710565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-710565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-710565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-710565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-710565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-710565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-24765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-24765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10"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(58,197)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(65,363)</w:t>
            </w:r>
          </w:p>
        </w:tc>
      </w:tr>
      <w:tr>
        <w:trPr>
          <w:trHeight w:val="21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investments, net</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(5,055)</w:t>
            </w:r>
          </w:p>
        </w:tc>
      </w:tr>
      <w:tr>
        <w:trPr>
          <w:trHeight w:val="216"/>
        </w:trPr>
        <w:tc>
          <w:tcPr>
            <w:tcW w:w="6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6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(2,151)</w:t>
            </w:r>
          </w:p>
        </w:tc>
      </w:tr>
      <w:tr>
        <w:trPr>
          <w:trHeight w:val="20"/>
        </w:trPr>
        <w:tc>
          <w:tcPr>
            <w:tcW w:w="6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(46,661)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(60,841)</w:t>
            </w:r>
          </w:p>
        </w:tc>
      </w:tr>
      <w:tr>
        <w:trPr>
          <w:trHeight w:val="209"/>
        </w:trPr>
        <w:tc>
          <w:tcPr>
            <w:tcW w:w="6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(174,897)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(208,465)</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184,900</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(2,536)</w:t>
            </w:r>
          </w:p>
        </w:tc>
      </w:tr>
      <w:tr>
        <w:trPr>
          <w:trHeight w:val="20"/>
        </w:trPr>
        <w:tc>
          <w:tcPr>
            <w:tcW w:w="68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(26,101)</w:t>
            </w:r>
          </w:p>
        </w:tc>
      </w:tr>
      <w:tr>
        <w:trPr>
          <w:trHeight w:val="21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from initial public offering, net</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discounts</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tcPr>
          <w:p>
            <w:pPr>
              <w:spacing w:after="0"/>
              <w:rPr>
                <w:sz w:val="20"/>
                <w:szCs w:val="20"/>
                <w:color w:val="auto"/>
              </w:rPr>
            </w:pPr>
          </w:p>
        </w:tc>
      </w:tr>
      <w:tr>
        <w:trPr>
          <w:trHeight w:val="21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of common stock offering costs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(3,349)</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r>
      <w:tr>
        <w:trPr>
          <w:trHeight w:val="216"/>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8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89,823</w:t>
            </w:r>
          </w:p>
        </w:tc>
        <w:tc>
          <w:tcPr>
            <w:tcW w:w="100" w:type="dxa"/>
            <w:vAlign w:val="bottom"/>
          </w:tcPr>
          <w:p>
            <w:pPr>
              <w:spacing w:after="0"/>
              <w:rPr>
                <w:sz w:val="18"/>
                <w:szCs w:val="18"/>
                <w:color w:val="auto"/>
              </w:rPr>
            </w:pPr>
          </w:p>
        </w:tc>
      </w:tr>
      <w:tr>
        <w:trPr>
          <w:trHeight w:val="21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(8,719)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24,266</w:t>
            </w:r>
          </w:p>
        </w:tc>
        <w:tc>
          <w:tcPr>
            <w:tcW w:w="100" w:type="dxa"/>
            <w:vAlign w:val="bottom"/>
          </w:tcPr>
          <w:p>
            <w:pPr>
              <w:spacing w:after="0"/>
              <w:rPr>
                <w:sz w:val="18"/>
                <w:szCs w:val="18"/>
                <w:color w:val="auto"/>
              </w:rPr>
            </w:pPr>
          </w:p>
        </w:tc>
      </w:tr>
      <w:tr>
        <w:trPr>
          <w:trHeight w:val="25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2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1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00" w:type="dxa"/>
            <w:vAlign w:val="bottom"/>
            <w:shd w:val="clear" w:color="auto" w:fill="CFF0FC"/>
          </w:tcPr>
          <w:p>
            <w:pPr>
              <w:spacing w:after="0"/>
              <w:rPr>
                <w:sz w:val="21"/>
                <w:szCs w:val="21"/>
                <w:color w:val="auto"/>
              </w:rPr>
            </w:pPr>
          </w:p>
        </w:tc>
      </w:tr>
      <w:tr>
        <w:trPr>
          <w:trHeight w:val="197"/>
        </w:trPr>
        <w:tc>
          <w:tcPr>
            <w:tcW w:w="68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8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26,587</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8"/>
                <w:szCs w:val="18"/>
                <w:color w:val="auto"/>
              </w:rPr>
            </w:pPr>
          </w:p>
        </w:tc>
      </w:tr>
      <w:tr>
        <w:trPr>
          <w:trHeight w:val="25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2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1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27,147</w:t>
            </w:r>
          </w:p>
        </w:tc>
        <w:tc>
          <w:tcPr>
            <w:tcW w:w="100" w:type="dxa"/>
            <w:vAlign w:val="bottom"/>
            <w:shd w:val="clear" w:color="auto" w:fill="CFF0FC"/>
          </w:tcPr>
          <w:p>
            <w:pPr>
              <w:spacing w:after="0"/>
              <w:rPr>
                <w:sz w:val="21"/>
                <w:szCs w:val="21"/>
                <w:color w:val="auto"/>
              </w:rPr>
            </w:pPr>
          </w:p>
        </w:tc>
      </w:tr>
      <w:tr>
        <w:trPr>
          <w:trHeight w:val="197"/>
        </w:trPr>
        <w:tc>
          <w:tcPr>
            <w:tcW w:w="68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8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unpaid common stock issuance costs</w:t>
            </w:r>
          </w:p>
        </w:tc>
        <w:tc>
          <w:tcPr>
            <w:tcW w:w="8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68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Addition to right-of-use assets obtained in exchange for lease obligation</w:t>
            </w:r>
          </w:p>
        </w:tc>
        <w:tc>
          <w:tcPr>
            <w:tcW w:w="86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47,588</w:t>
            </w:r>
          </w:p>
        </w:tc>
        <w:tc>
          <w:tcPr>
            <w:tcW w:w="100" w:type="dxa"/>
            <w:vAlign w:val="bottom"/>
          </w:tcPr>
          <w:p>
            <w:pPr>
              <w:spacing w:after="0"/>
              <w:rPr>
                <w:sz w:val="17"/>
                <w:szCs w:val="17"/>
                <w:color w:val="auto"/>
              </w:rPr>
            </w:pPr>
          </w:p>
        </w:tc>
      </w:tr>
      <w:tr>
        <w:trPr>
          <w:trHeight w:val="20"/>
        </w:trPr>
        <w:tc>
          <w:tcPr>
            <w:tcW w:w="6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Decrease to right-of-use assets due to remeasurement of lease obligation</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8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Vesting of early exercised stock options</w:t>
            </w:r>
          </w:p>
        </w:tc>
        <w:tc>
          <w:tcPr>
            <w:tcW w:w="86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7"/>
                <w:szCs w:val="17"/>
                <w:color w:val="auto"/>
              </w:rPr>
            </w:pPr>
          </w:p>
        </w:tc>
      </w:tr>
      <w:tr>
        <w:trPr>
          <w:trHeight w:val="20"/>
        </w:trPr>
        <w:tc>
          <w:tcPr>
            <w:tcW w:w="6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Unpaid property and equipment purchases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8"/>
                <w:szCs w:val="18"/>
                <w:color w:val="auto"/>
              </w:rPr>
            </w:pPr>
          </w:p>
        </w:tc>
      </w:tr>
      <w:tr>
        <w:trPr>
          <w:trHeight w:val="20"/>
        </w:trPr>
        <w:tc>
          <w:tcPr>
            <w:tcW w:w="68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-3668395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-3110865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-2133600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-1542415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-976630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-959485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-676275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-659130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-333375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Boundless Bio, Inc. (the Company) is a clinical-stage oncology company dedicated to unlocking a new paradigm in cancer therapeutics that addresses the significant unmet need in patients with oncogene amplified tumors by interrogating extrachromosomal DNA (ecDNA), a root cause of oncogene amplification observed in 14 to 17% of cancer patients. The Company has been focused on identifying targets essential for ecDNA functionality in oncogene amplified cancer cells, then designing and developing small molecule drugs called ecDNA-directed therapeutic candidates (ecDTx) to inhibit those targets, with the aim to prevent cancer cells from using chromosomal instability and ecDNA amplification biology to grow, adapt, and become resistant to existing therapies. The Company’s mission is to be the foremost biopharma company interrogating ecDNA biology to deliver transformative therapies that improve and extend the lives of patients with previously intractable oncogene amplified cancers. The Company’s lead ecDTx, BBI-940, is in early clinical development in patients with estrogen receptor positive and human epidermal growth factor receptor 2 negative, or ER+/HER2-, breast cancer who have progressed following treatment with a cyclin-dependent kinase 4 and/or 6 inhibitor, or CDK4/6 inhibitor, plus endocrine therapy, as well as patients with triple-negative breast cancer luminal androgen receptor subtype, or TNBC-LAR. The Company was incorporated in the state of Delaware on April 10, 2018 and is headquartered in San Diego, California.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April 2, 2024, the Company completed its initial public offering (IPO), issuing 6,250,000 shares of its common stock at a public offering price of $16.00 per share, resulting in net proceeds of approximately $87.7 million, after deducting underwriting discounts, commissions, and other offering expenses. Immediately prior to the closing of the IPO, all outstanding shares of convertible preferred stock of the Company automatically converted into 14,740,840 shares of its common stock, and no shares of convertible preferred stock remained outstanding thereafter. In connection with the closing of the IPO, on April 2, 2024, the Company amended and restated its certificate of incorporation to authorize 700,000,000 shares of common stock and 70,000,000 shares of undesignated preferred stock, each with a par value of $0.0001 per share.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12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On April 1, 2025,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Sales Agreement) with Jefferies LLC (the Agent), under which the Company may, from time to time, sell shares of the Company’s common stock in “at the market” (ATM) offerings through or to the Agent, as sales agent or principal. The shares of common stock will be offered and issued pursuant to the Company’s shelf registration statement on Form S-3 (File No. 333-286302), including the Sales Agreement prospectus contained therein, filed with the Securities and Exchange Commission (SEC) on April 1, 2025 and declared effective by the SEC on April 10, 2025. Pursuant to the Sales Agreement prospectus, the Company may sell shares of its common stock having an aggregate offering price of up to $14.5 million. Sales of the shares of common stock, if any, will be made at prevailing market prices at the time of sale, or as otherwise agreed with the Agent. The Agent will receive a commission from the Company of up to 3.0% of the gross proceeds of any shares of common stock sold under the Sale Agreement. The Company is not obligated to sell, and the Agent is not obligated to buy or sell, any shares of common stock under the Sales Agreement. No assurance can be given that the Company will sell any shares of common stock under the Sales Agreement, or, if it does, as to the price or amount of shares of common stock that it sells or the dates when such sales will take place. The Company did not sell any shares under the Sales Agreement during the year ended December 31,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the Company commenced operations in 2018, it has devoted substantially all of its efforts and resources to organizing and staffing the Company, business planning, raising capital, building its proprietary Spyglass platform, discovering its ecDTx, developing its ecDNA diagnostic, establishing its intellectual property portfolio, conducting research, preclinical studies, and clinical trials, establishing arrangements with third parties for the manufacture of its ecDTx and related raw materials, and providing other general and administrative support for these operations. The Company does not have any products for sale and has not generated any revenue to date. The Company has funded its operations primarily from the sale and issuance of shares of its convertible preferred stock (prior to the IPO) and common stock.</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cash, cash equivalents, and short-term investments of $107.6 million. The Company believes that its existing cash, cash equivalents, and short-term investments will be sufficient to fund its operations for at least twelve months from the issuance date of the accompanying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inception, the Company has incurred significant operating losses and negative cash flows from its operations and expects that it will continue to do so into the foreseeable future as it continues its development of, seeks regulatory approval for, and potentially commercializes its ecDTx, utilizes third parties to manufacture its ecDTx and related raw materials, potentially identifies additional development opportunities for its ecDTx, seeks to expand its therapeutic pipeline, and expands and protects its intellectual property. The Company also has substantial payment obligations under a long-term non-cancellable facility lease. If the Company obtains regulatory approval for any of its ecDTx, it expects to incur significant commercialization expenses related to product sales, marketing, manufacturing, and distribution. The Company does not expect to generate any revenue from product sales until it successfully completes development of and obtains regulatory approval for one or more of its ecDTx, which the Company expects will take several years and may never occur. As of December 31, 2025, the Company had an accumulated deficit of $259.7 million, and, during the year ended December 31, 2025, the Company incurred a net loss of $58.2 million and had negative cash flows from operations of $46.7 million. As the Company continues to pursue its business plan, it will need to acquire a substantial amount of additional funding until such time as it is able to generate significant revenues to fund its research and development activities and operations. Accordingly, the Company expects to finance its cash requirements through equity offerings, debt financings, or other capital sources, including potential collaborations, licenses, and other similar arrangements. There can be no assurance that the Company will be successful in acquiring additional funding or that any additional funding would be sufficient to continue operations in future periods.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and have been prepared in accordance with United States generally accepted accounting principles (U.S. GAAP). Any reference in these notes to applicable guidance is meant to refer to U.S. GAAP as found in the Accounting Standards Codification (ASC) and Accounting Standards Updates (ASU) promulgated by the Financial Accounting Standards Board (FASB).</w:t>
      </w:r>
    </w:p>
    <w:p>
      <w:pPr>
        <w:spacing w:after="0" w:line="280"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impact the reported amounts of assets, liabilities, revenue and expenses, and the disclosure of contingent assets and liabilities in the Company’s financial statements and accompanying notes. Although these estimates are based on the Company’s knowledge of current events and actions it may undertake in the future, actual results may materially differ from these estimates and assumptions.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related to stock-based compensation, the fair value of its investments, accrued research and development costs and, prior to the closing of its IPO, its common stock.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The Company’s estimates relating to stock-based compensation expense require the selection of appropriate valuation methodologies and models, and significant judgment in evaluating ranges of assumptions and financial inputs.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Cash and cash equivalents include cash in readily available checking and money market accounts.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balance reflected in these financial statements as restricted cash represents a deposit account pledged as collateral to secure a standby letter of credit required as a security deposit under the Company’s headquarters facility lease. The Company has classified the restricted cash as a noncurrent asset on its balance sheets as of December 31, 2025 and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the concentration of credit risk, consist primarily of cash, cash equivalents, and investments. The Company maintains deposits in federally insured financial institutions which exceeded federally insured limits by $1.4 million as of December 31, 2025.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its exposure to concentration of credit risk.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Short-term investments consist of money market funds, U.S. government obligations, corporate debt securities, government agency securities, asset-backed securities, and commercial paper. The Company obtains pricing information from its investment manager and generally determines the fair value of investment securities using standard observable inputs, including reported trades, broker/dealer quotes, and bid and/or offers. The Company classifies its investment securities as available-for-sale, as the sale of such securities may be required prior to maturity. Management determines the appropriate classification of its investments in debt securities at the time of purchase. Investments with original maturities beyond three months at the date of purchase and which mature at, or less than 12 months from, the balance sheet date are classified as short-term investments.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available-for-sale are included in interest income.</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each balance sheet date, the Company reviews its available-for-sale debt securities that are in an unrealized loss position to determine whether the unrealized loss or any potential credit losses should be recognized in the statements of operations.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net income (loss). For available-for-sale securities that do not meet the above criteria, the Company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income, net through an allowance account. There have been no impairment or credit losses recognized during any of the periods presented.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—Quoted prices for similar assets and liabilities in active markets, quoted prices in markets that are not active, or inputs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observable, either directly or indirectly, for substantially the full term of the asset or liability.</w:t>
      </w:r>
    </w:p>
    <w:p>
      <w:pPr>
        <w:spacing w:after="0" w:line="47"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determining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including pricing models, discounted cash flow methodologies, and similar techniques.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cash equivalents, and short-term investments are carried at fair value, determined according to the fair value hierarchy described above. The carrying values of the Company’s prepaid expenses, accounts payable, and accrued expenses approximate their fair value due to the short-term nature of these assets and liabilities. None of the Company’s non-financial assets or liabilities are recorded at fair value on a non-recurring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 and Common Stock Issuance Costs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costs that are directly attributable to equity financings as deferred offering costs until such financings are consummated. Upon consummation of an equity financing, these costs are recorded as a reduction to additional paid-in capital within stockholders’ equity. In connection with the closing of the Company’s IPO in April 2024, all amounts previously recorded as deferred offering costs were reclassified to additional paid-in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including leasehold improvements, are stated at cost less accumulated depreciation and amortization. Depreciation and amortization are recorded using the straight-line method over the estimated useful lives of the related assets, which range from three to seven years. Leasehold improvements are amortized on a straight-line basis over the shorter of the estimated useful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lives of the assets or the remaining lease term. Repairs and maintenance charges that do not increase the useful life of the assets are charged to operating expenses as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 impairment loss is recorded if and when events and circumstances indicate that any of the Company’s long-lived assets might be impaired and the undiscounted cash flows estimated to be generated by those assets are less than the carrying amount of those assets. If such assets are considered to be impaired, the impairment to be recognized is measured by the amount by which the book values of the assets exceed their fair value. The Company has not recognized any impairment losses in any of the periods presented in these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and whether such a lease should be classified as a financing lease or operating lease based on the unique facts and circumstances present, the existence of an identified asset(s), if any, and the Company’s control over the use of the identified asset(s), if applicable. In 2025 and 2024, the Company leased real estate facilities under non-cancellable operating leases with various expiration dates through fiscal year 2034. As of December 31, 2025, the Company had one operating lease, which expires in 2034. As of December 31, 2025 and 2024, the Company had no financing leases.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Operating leases with a term greater than one year are recognized as right-of-use (ROU) assets and lease liabilities in the accompanying balance sheets. Operating lease ROU assets represent the Company’s right to use an underlying asset for the lease term, and lease liabilities represent the Company’s obligation to make lease payments arising from the lease. The Company considers the lease term to be the non-cancellable period that it has the right to use the underlying asset, together with any periods where it is reasonably certain it will exercise an option to extend (or not terminate) the lease. The Company does not assume renewals or early terminations unless it is reasonably certain to exercise these options.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Operating lease liabilities are recognized at the lease commencement date based on the present value of lease payments over the lease term discounted based on (i) the interest rate implicit in the lease if that rate is readily determinable, or if not, (ii) the Company’s incremental borrowing rate (which is the estimated interest rate the Company would be required to pay for a collateralized borrowing equal to the total lease payments over a similar term as the lease term and in a similar economic environment). Because the Company’s operating leases do not provide an implicit rate, the Company estimates its incremental borrowing rate based on the information available at the lease commencement date for borrowings with a similar term. The Company’s operating lease ROU assets are measured based on the corresponding operating lease liability adjusted for (i) payments made to the lessor at or before the commencement date, (ii) initial direct costs incurred and (iii) tenant incentives under the lease.</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Operating lease costs are recognized on a straight-line basis over the lease term. The Company elected not to allocate consideration between lease and non-lease components. Variable lease payments are recognized in the period in which the obligations for those payments are incurred. In addition, the Company elected not to recognize lease assets or lease liabilities for leases with a term of 12 months or less for all asset classes.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operates and manages its business as one reporting and one operating segment, which is the business of designing and developing ecDTx, for which no revenue has been recorded. All of the Company’s long-lived assets are located in the United States. The Company’s CODM is its Chief Executive Officer. For purposes of assessing the Company’s financial performance and making resource allocation decisions, the CODM reviews total expenses, as well as expenses by nature.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convertible preferred stock was classified as temporary equity in the accompanying balance sheet as of December 31, 2023 and excluded from stockholders’ equity/ (deficit) as the potential redemption of such stock was outside the Company’s control and would have required the redemption of the then-outstanding convertible preferred stock. The convertible preferred stock was not redeemable except for in the event of a liquidation, dissolution, or winding up of the Company. Costs incurred in connection with the issuance of convertible preferred stock were recorded as a reduction of gross proceeds from issuance.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 did not accrete the carrying values of the convertible preferred stock to the redemption values since the occurrence of these events was not considered probable as of December 31, 2023. Immediately prior to the closing of the IPO on April 2, 2024, the Company’s outstanding convertible preferred stock automatically converted into 14,740,840 shares of common stock. Following the closing of the IPO, no shares of convertible preferred stock were authorized or outstanding.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are costs incurred by the Company in connection with its discovery and research efforts and the preclinical and clinical development of ecDTx. The Company’s R&amp;D expenses include direct program costs, consisting of expenses incurred under arrangements with third parties, such as contract research organizations, contract manufacturers, consultants and its scientific advisors; and indirect costs, consisting of personnel-related expenses, including salaries, severance, bonuses, benefits, travel, and stock-based compensation expenses, for those individuals involved in R&amp;D efforts, the costs of lab and pharmacology supplies and acquiring, developing, and manufacturing preclinical and clinical study materials, and facilities and depreciation, which include direct and allocated expenses for rent of facilities and depreciation of equipment. R&amp;D costs are expensed as incurred.</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records accruals for estimated R&amp;D costs, comprising payments for work performed by third party contractors, labs, and others. Some of these contractors bill monthly based on actual services performed, while others bill periodically based upon achieving certain contractual milestones. For the latter, the Company accrues the expenses as goods or services are used or rendered. Non-refundable advance payments for goods or services that will be used or rendered for future R&amp;D activities are deferred and capitalized as prepaid expenses until the related goods are delivered or services are performed.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personnel-related expenses, including salaries, severance, bonuses, benefits, travel, and stock-based compensation expenses, for employees in executive, accounting and finance, business development, human resources, legal, and other administrative functions. Other significant G&amp;A expenses include allocated facility-related costs, legal fees relating to corporate and intellectual property matters, professional fees for accounting and tax services, consulting fees, and insurance costs. G&amp;A costs are expensed as incurred.</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recorded as G&amp;A expense and are expensed as incurred since the recoverability of such expenditures is uncertain.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employee and nonemployee stock-based awards based on the estimated fair value of the awards on the date of grant and records compensation expense on a straight-line basis over the requisite service period of the award. All stock-based compensation costs are recorded in the statements of operations and comprehensive loss based upon the underlying employees' or nonemployees' roles within the Company. Forfeitures are accounted for as they occur.</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 grants and shares purchasable under the Company's 2024 Employee Stock Purchase Plan (ESPP) is estimated on the date of grant using the Black-Scholes options-pricing model, which requires inputs based on certain subjective assumptions, including the:</w:t>
      </w:r>
    </w:p>
    <w:p>
      <w:pPr>
        <w:spacing w:after="0" w:line="54" w:lineRule="exact"/>
        <w:rPr>
          <w:sz w:val="20"/>
          <w:szCs w:val="20"/>
          <w:color w:val="auto"/>
        </w:rPr>
      </w:pPr>
    </w:p>
    <w:p>
      <w:pPr>
        <w:jc w:val="both"/>
        <w:ind w:left="1020" w:hanging="503"/>
        <w:spacing w:after="0" w:line="253"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Fair value of common stock. Subsequent to the closing of the IPO, the fair value of the Company’s common stock is the closing price per share on the Nasdaq Global Select Market on the date of grant of the award. For periods prior to the closing of the IPO on April 2, 2024, the Company utilized methodologies, approaches, and assumptions consistent with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 Held Company Equity Securities Issued as Compensation</w:t>
      </w:r>
      <w:r>
        <w:rPr>
          <w:rFonts w:ascii="Times New Roman" w:cs="Times New Roman" w:eastAsia="Times New Roman" w:hAnsi="Times New Roman"/>
          <w:sz w:val="18"/>
          <w:szCs w:val="18"/>
          <w:color w:val="auto"/>
        </w:rPr>
        <w:t xml:space="preserve"> (The Practice Aid) to estimate the fair value of its common stock. The fair value of the common stock was determined based upon a variety of factors, including the Company’s stage of development and material risks related to the business; the progress of the Company’s R&amp;D programs; business conditions and projections; financial position and historical and forecasted performance and operating results; the lack of an active public market for the Company’s common stock and preferred stock; the prices of the Company’s preferred stock sold to or exchanged between outside investors in arm’s length transactions and the rights, preferences, and privileges of the preferred stock as compared to those of the Company’s common stock, including liquidation preferences of the Company’s preferred stock; the likelihood of achieving a liquidity event, such as an initial public offering or sale of the Company in light of prevailing market conditions; the hiring of key personnel and the experience of management; trends and developments in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5"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Company’s industry; and external market conditions affecting the biopharmaceutical industry and trends within the biopharmaceutical industry.</w:t>
      </w:r>
    </w:p>
    <w:p>
      <w:pPr>
        <w:spacing w:after="0" w:line="54" w:lineRule="exact"/>
        <w:rPr>
          <w:sz w:val="20"/>
          <w:szCs w:val="20"/>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The risk-free interest rate is based on the U.S. Treasury’s rates for U.S. Treasury zero-coupon bonds with maturities similar to the expected term of the award being valued.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Given that there was no active trading market for the Company’s common stock prior to the completion of the IPO and there is not yet sufficient trading history for the Company’s common stock, the Company derived the expected volatility from the average historical volatilities of the common stock of a group of comparable publicly-traded companies in the biotechnology industry over a period approximately equal to the expected term of the award being valued. The Company will continue to apply this process until enough historical information regarding the volatility of its own stock price becomes available.</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The expected term represents the period that the stock-based awards are expected to be outstanding. The expected term of stock options issued is determined using the simplified method (based on the mid-point between the vesting date and the end of the contractual term) as the Company has concluded that its stock option exercise history does not provide a reasonable basis upon which to estimate expected term. For rights to purchase shares of common stock under the ESPP, the expected term represents the period from the first day of the offering period to the purchase date.</w:t>
      </w:r>
    </w:p>
    <w:p>
      <w:pPr>
        <w:spacing w:after="0" w:line="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The Company has never paid dividends on its common stock and does not anticipate paying any dividends in the foreseeable future. Therefore, the Company uses an expected dividend yield of zero.</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each restricted common stock award is estimated on the date of grant based on the fair value of the Company’s common stock on that same date.</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assumptions used in determining the estimated fair value of stock-based awards represent management’s best estimates and involve inherent uncertainties and the application of significant judgment.</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all stock-based award modifications, including situations in which an original award is exchanged for a new award. Stock award modifications are accounted for as modifications under ASC 718. In such cases, the Company measures incremental compensation cost as the excess of the fair value of the modified award over the fair value of the original award immediately prior to the modification, based on the relevant factors at the modification date.</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vested awards, the Company recognizes any incremental compensation cost in the period in which the modification occurs. For unvested awards, if the modified award is probable of vesting both before and after the modification, the Company recognizes, on a prospective basis over the remaining requisite service period, the sum of (i) the incremental compensation cost and (ii) any remaining unrecognized compensation cost associated with the original award as of the modification date. If the fair value of the modified award is lower than the fair value of the original award immediately before the modification, the Company continues to recognize compensation cost at least equal to the cost of the original award.</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2025, the Company entered into consulting arrangements with several former employees that provided for the continued vesting of outstanding stock options. The Company accounted for these arrangements as award modifications under ASC 718. Results of operations for the year ended December 31, 2025 include an immaterial amount of additional stock-based compensation expense associated with these modifications.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Company’s financial statements and related disclosures. Deferred tax assets and liabilities are determined on the basis of the differences between the Company’s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The Company recognizes net deferred tax assets to the extent that the Company believes these assets are more likely than not to be realized. In making such a determination, management considers all available positive and negative evidence, including projected future taxable income, future reversals of existing taxable temporary differences, tax-planning strategies, and results of recent operations. If management determines that the Company would be able to realize its deferred tax assets in the future in excess of their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recorded amount, management would make an adjustment to the deferred tax asset valuation allowance, which would reduce the provision for income taxes. Interest and penalties are included as a component of income tax expense.</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Any resulting unrecognized tax benefits are included within the related tax liability.</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July 2025, legislation commonly referred to as the One Big Beautiful Bill Act (OBBBA) was enacted, which includes changes to U.S. tax law, including provisions affecting the deductibility of domestic research expenditures, limitations on interest expense deductions, and bonus depreciation. The Company evaluated the impact of the enacted legislation under ASC 740. Any remeasurement of deferred tax assets resulting from the legislation was fully offset by the Company’s existing valuation allowance. Accordingly, the enactment of the OBBBA did not have a material impact on the Company’s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reports all components of comprehensive income (loss), including net loss, in the financial statements in the period in which they are recognized. Comprehensive income (loss) is defined as the change in equity during a period from transactions and other events and circumstances from non-owner sources, including unrealized gains and losses on short-term investments. Other comprehensive income (loss) includes unrealized gains and losses on short-term investments, which was the only difference between net loss and comprehensive loss for the applicable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Basic net loss per common share attributable to common stockholders is calculated by dividing the net loss by the weighted-average number of shares of common stock outstanding during the period, without consideration of potentially dilutive securities. Diluted net loss per share attributable to common stockholders is calculated by dividing the net loss by the weighted-average number of shares of common stock and potentially dilutive securities outstanding during the period. The Company’s potentially dilutive securities, which include its options to purchase common stock, common stock subject to repurchase related to unvested restricted stock and options early exercised, and, for periods prior to April 2, 2024, convertible preferred stock, have been excluded from the calculation of diluted net loss per share as the effect would reduce the net loss per share. Therefore, the weighted-average number of shares of common stock outstanding used to calculate both basic and diluted net loss per share is the same.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still an emerging growth company (EGC) as defined in the Jumpstart Our Business Startups Act of 2012, as amended (the JOBS Act), and may take advantage of certain exemptions from various reporting requirements that are applicable to other public companies that are not EGCs. The Company may take advantage of these exemptions until it is no longer an EGC under Section 107 of the JOBS Act and has elected to use the extended transition period for complying with new or revised accounting standards, which means that when an accounting standard is issued or revised and it has different effective dates for public and private companies, the Company can comply with the effective dates applicable to private companies. As a result, the Company’s financial statements may not be comparable to companies that comply with new or revised accounting standards as of public company effective 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update enhances income tax disclosure requirements, including expanded information related to the effective tax rate reconciliation and income taxes paid, and does not affect the recognition or measurement of income taxes. The Company adopted this guidance effective January 1, 2025 and applied the new disclosure requirements prospectively for the year ended December 31, 2025. The adoption did not materially affect the Company’s financial statements, and the additional required disclosures are included in Note 11.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Pending Adoption</w:t>
      </w:r>
    </w:p>
    <w:p>
      <w:pPr>
        <w:spacing w:after="0" w:line="11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 (ASU 2024-03)</w:t>
      </w:r>
      <w:r>
        <w:rPr>
          <w:rFonts w:ascii="Times New Roman" w:cs="Times New Roman" w:eastAsia="Times New Roman" w:hAnsi="Times New Roman"/>
          <w:sz w:val="18"/>
          <w:szCs w:val="18"/>
          <w:color w:val="auto"/>
        </w:rPr>
        <w:t>. The new guidance requires more detailed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types of expenses (including purchases of inventory, employee compensation,</w:t>
      </w:r>
    </w:p>
    <w:p>
      <w:pPr>
        <w:sectPr>
          <w:pgSz w:w="11900" w:h="16838" w:orient="portrait"/>
          <w:cols w:equalWidth="0" w:num="1">
            <w:col w:w="11240"/>
          </w:cols>
          <w:pgMar w:left="320" w:top="117" w:right="3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amortization, and depletion) in commonly presented expense captions (such as R&amp;D and G&amp;A) presented on the face of the statement of operations on an annual and interim basis. This guidance will be effective for annual periods beginning after December 15, 2026, and interim periods beginning after December 15, 2027. The new standard permits early adoption and can be applied prospectively or retrospectively. The Company is evaluating the effect that this guidance will have on its financial statements and related disclosures.</w:t>
      </w:r>
    </w:p>
    <w:p>
      <w:pPr>
        <w:spacing w:after="0" w:line="135"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and their respective input levels based on the fair value hierarchy described in Note 2 above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40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obligations (2)</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6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105,813</w:t>
            </w: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on the balance sheets.</w:t>
      </w:r>
    </w:p>
    <w:p>
      <w:pPr>
        <w:spacing w:after="0" w:line="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short-term investments on the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9512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120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24,889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24,889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obligations (2)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118,289</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118,289</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150,416</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24,889</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125,527</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on the balance sheets.</w:t>
      </w:r>
    </w:p>
    <w:p>
      <w:pPr>
        <w:spacing w:after="0" w:line="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short-term investments on the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95123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money market funds are classified as Level 1 because they are valued using quoted market prices in active markets for identical assets. The Company’s investments consist of available-for-sale securities and are classified as Level 2 because their value is based on valuations using significant inputs derived from or corroborated by observable market data.</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of assets between fair value levels for any period presented.</w:t>
      </w:r>
    </w:p>
    <w:p>
      <w:pPr>
        <w:spacing w:after="0" w:line="329"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investments accounted for as available-for-sale securities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120" w:type="dxa"/>
            <w:vAlign w:val="bottom"/>
          </w:tcPr>
          <w:p>
            <w:pPr>
              <w:spacing w:after="0"/>
              <w:rPr>
                <w:sz w:val="10"/>
                <w:szCs w:val="10"/>
                <w:color w:val="auto"/>
              </w:rPr>
            </w:pPr>
          </w:p>
        </w:tc>
      </w:tr>
      <w:tr>
        <w:trPr>
          <w:trHeight w:val="173"/>
        </w:trPr>
        <w:tc>
          <w:tcPr>
            <w:tcW w:w="4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U.S. government obligations</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89,649</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64</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120" w:type="dxa"/>
            <w:vAlign w:val="bottom"/>
            <w:tcBorders>
              <w:bottom w:val="single" w:sz="8" w:color="CFF0FC"/>
            </w:tcBorders>
          </w:tcPr>
          <w:p>
            <w:pPr>
              <w:spacing w:after="0"/>
              <w:rPr>
                <w:sz w:val="18"/>
                <w:szCs w:val="18"/>
                <w:color w:val="auto"/>
              </w:rPr>
            </w:pPr>
          </w:p>
        </w:tc>
      </w:tr>
      <w:tr>
        <w:trPr>
          <w:trHeight w:val="250"/>
        </w:trPr>
        <w:tc>
          <w:tcPr>
            <w:tcW w:w="48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105,749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64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105,813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4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120" w:type="dxa"/>
            <w:vAlign w:val="bottom"/>
          </w:tcPr>
          <w:p>
            <w:pPr>
              <w:spacing w:after="0"/>
              <w:rPr>
                <w:sz w:val="18"/>
                <w:szCs w:val="18"/>
                <w:color w:val="auto"/>
              </w:rPr>
            </w:pPr>
          </w:p>
        </w:tc>
      </w:tr>
      <w:tr>
        <w:trPr>
          <w:trHeight w:val="25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105,813</w:t>
            </w:r>
          </w:p>
        </w:tc>
        <w:tc>
          <w:tcPr>
            <w:tcW w:w="120" w:type="dxa"/>
            <w:vAlign w:val="bottom"/>
            <w:shd w:val="clear" w:color="auto" w:fill="CFF0FC"/>
          </w:tcPr>
          <w:p>
            <w:pPr>
              <w:spacing w:after="0"/>
              <w:rPr>
                <w:sz w:val="21"/>
                <w:szCs w:val="21"/>
                <w:color w:val="auto"/>
              </w:rPr>
            </w:pPr>
          </w:p>
        </w:tc>
      </w:tr>
      <w:tr>
        <w:trPr>
          <w:trHeight w:val="628"/>
        </w:trPr>
        <w:tc>
          <w:tcPr>
            <w:tcW w:w="48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jc w:val="center"/>
              <w:ind w:right="97"/>
              <w:spacing w:after="0"/>
              <w:rPr>
                <w:sz w:val="20"/>
                <w:szCs w:val="20"/>
                <w:color w:val="auto"/>
              </w:rPr>
            </w:pPr>
            <w:r>
              <w:rPr>
                <w:rFonts w:ascii="Times New Roman" w:cs="Times New Roman" w:eastAsia="Times New Roman" w:hAnsi="Times New Roman"/>
                <w:sz w:val="18"/>
                <w:szCs w:val="18"/>
                <w:color w:val="auto"/>
                <w:w w:val="99"/>
              </w:rPr>
              <w:t>F-14</w:t>
            </w: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-1516380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-1499235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-1662430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-1516380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-1499235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-1662430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-1516380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-1499235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-1662430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-1516380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-1499235</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-1662430</wp:posOffset>
            </wp:positionV>
            <wp:extent cx="774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220" w:type="dxa"/>
            <w:vAlign w:val="bottom"/>
          </w:tcPr>
          <w:p>
            <w:pPr>
              <w:spacing w:after="0"/>
              <w:rPr>
                <w:sz w:val="10"/>
                <w:szCs w:val="10"/>
                <w:color w:val="auto"/>
              </w:rPr>
            </w:pPr>
          </w:p>
        </w:tc>
        <w:tc>
          <w:tcPr>
            <w:tcW w:w="12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124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100" w:type="dxa"/>
            <w:vAlign w:val="bottom"/>
          </w:tcPr>
          <w:p>
            <w:pPr>
              <w:spacing w:after="0"/>
              <w:rPr>
                <w:sz w:val="10"/>
                <w:szCs w:val="10"/>
                <w:color w:val="auto"/>
              </w:rPr>
            </w:pPr>
          </w:p>
        </w:tc>
      </w:tr>
      <w:tr>
        <w:trPr>
          <w:trHeight w:val="173"/>
        </w:trPr>
        <w:tc>
          <w:tcPr>
            <w:tcW w:w="4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24,889</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obligations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118,170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118,289</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00" w:type="dxa"/>
            <w:vAlign w:val="bottom"/>
            <w:shd w:val="clear" w:color="auto" w:fill="CFF0FC"/>
          </w:tcPr>
          <w:p>
            <w:pPr>
              <w:spacing w:after="0"/>
              <w:rPr>
                <w:sz w:val="18"/>
                <w:szCs w:val="18"/>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150,295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150,416</w:t>
            </w:r>
          </w:p>
        </w:tc>
        <w:tc>
          <w:tcPr>
            <w:tcW w:w="10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100" w:type="dxa"/>
            <w:vAlign w:val="bottom"/>
          </w:tcPr>
          <w:p>
            <w:pPr>
              <w:spacing w:after="0"/>
              <w:rPr>
                <w:sz w:val="18"/>
                <w:szCs w:val="18"/>
                <w:color w:val="auto"/>
              </w:rPr>
            </w:pPr>
          </w:p>
        </w:tc>
      </w:tr>
      <w:tr>
        <w:trPr>
          <w:trHeight w:val="216"/>
        </w:trPr>
        <w:tc>
          <w:tcPr>
            <w:tcW w:w="48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150,416</w:t>
            </w:r>
          </w:p>
        </w:tc>
        <w:tc>
          <w:tcPr>
            <w:tcW w:w="10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-753745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-753745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-753745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December 31, 2025 and 2024, the remaining contractual maturities of all the Company’s available-for-sale investments were less than twelve months. As of December 31, 2025 and 2024, the Company has not established an allowance for credit losses for any of its available-for-sale securities.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no available-for-sale securities in a gross unrealized loss position. As of December 31, 2024, there was one available-for-sale security, with an estimated fair value of $8.0 million, in a gross unrealized loss position. Based on its review of these investments as of December 31, 2025 and 2024, the Company believed that the unrealized loss as of December 31, 2024 was not other-than-temporary in nature.</w:t>
      </w:r>
    </w:p>
    <w:p>
      <w:pPr>
        <w:spacing w:after="0" w:line="280"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8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8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shd w:val="clear" w:color="auto" w:fill="CFF0FC"/>
          </w:tcPr>
          <w:p>
            <w:pPr>
              <w:spacing w:after="0"/>
              <w:rPr>
                <w:sz w:val="19"/>
                <w:szCs w:val="19"/>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$1.3 million and $1.1 million for the years ended December 31, 2025 and 2024, respectively.</w:t>
      </w:r>
    </w:p>
    <w:p>
      <w:pPr>
        <w:spacing w:after="0" w:line="266"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payable and accrued liabilities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Lease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a party to a non-cancellable facility lease for approximately 80,168 square feet of lab and office space in San Diego, California (the 2024 Lease). The 2024 Lease has an initial lease term of 120 months, which commenced in November 2024;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also provides the Company with the right to extend the lease term for an additional 60 months at expiry, which has not been included in the lease term used for measurement. The 2024 Lease includes obligations to make base rent payments and additional variable lease payments for the Company’s allocated share of variable costs associated with the operation and management of the property, which include utilities, property taxes, common area maintenance, and amenities costs. The lease provided for a rent abatement period through July 2025.</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required to maintain a security deposit under the 2024 Lease in the form of a standby letter-of-credit. This letter of credit is collateralized by a restricted cash deposit at the Company’s bank of approximately $0.6 million, which is included in long-term other assets in the balance sheet. The 2024 Lease does not contain any material residual value guarantees or material restrictive financial covenants. See the table below for information about the Company’s future undiscounted operating lease payment obligations under the 2024 Lease as of December 31, 2025, exclusive of future variable lease costs.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recorded an operating lease liability for this obligation based on the present value of the lease payments using an estimated incremental borrowing rate of approximately 8.3%, as the 2024 Lease does not have a stated rate and the implicit rate was not readily determinable, and a right-of-use (ROU) asset based on the corresponding operating lease liability. Management exercised judgment in estimating the incremental borrowing rate and in determining the lease term. The renewal option was evaluated at lease commencement and excluded from the lease term, as the Company is not reasonably certain to exercise the option. The net ROU asset and associated lease liability are reflected in the Company’s balance sheet as of December 31, 2025 and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the 2024 Lease, which expires in October 2034, was the Company’s only lease. The Company previously was a party to a non-cancellable operating lease for the rental of other lab and office space in San Diego, California, which served as its prior corporate headquarters and for which the lease term ended in November 2024. Lease expense related to the 2024 Lease and the lease agreement for the Company’s prior corporate headquarters totaled approximately $9.6 million and $4.0 million for the years ended December 31, 2025 and 2024, respectively, and included operating lease costs of $7.3 million and $3.6 million, and variable lease costs of $2.3 million and $0.4 million, respectively.</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paid $2.6 million in cash for amounts included in operating lease liabilities, which was included in the operating activities section of the statements of cash flows, for each of the years ended December 31, 2025 and 2024. The remaining lease term and discount rate for the 2024 Lease were 8.8 years and 8.3%, respectively, as of December 31, 2025, and 9.8 years and 8.3%, respectively, as of December 31, 2024 (the calculations of remaining lease term excludes the renewal option). Future undiscounted operating lease payments under the 2024 Lease as of December 31, 2025, exclusive of future variable lease payments, are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50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20" w:type="dxa"/>
            <w:vAlign w:val="bottom"/>
            <w:shd w:val="clear" w:color="auto" w:fill="CFF0FC"/>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1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6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20" w:type="dxa"/>
            <w:vAlign w:val="bottom"/>
            <w:shd w:val="clear" w:color="auto" w:fill="CFF0FC"/>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2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6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20" w:type="dxa"/>
            <w:vAlign w:val="bottom"/>
            <w:shd w:val="clear" w:color="auto" w:fill="CFF0FC"/>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12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50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69,819</w:t>
            </w:r>
          </w:p>
        </w:tc>
        <w:tc>
          <w:tcPr>
            <w:tcW w:w="120" w:type="dxa"/>
            <w:vAlign w:val="bottom"/>
            <w:shd w:val="clear" w:color="auto" w:fill="CFF0FC"/>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(20,784)</w:t>
            </w: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50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49,035</w:t>
            </w:r>
          </w:p>
        </w:tc>
        <w:tc>
          <w:tcPr>
            <w:tcW w:w="120" w:type="dxa"/>
            <w:vAlign w:val="bottom"/>
            <w:shd w:val="clear" w:color="auto" w:fill="CFF0FC"/>
          </w:tcPr>
          <w:p>
            <w:pPr>
              <w:spacing w:after="0"/>
              <w:rPr>
                <w:sz w:val="21"/>
                <w:szCs w:val="21"/>
                <w:color w:val="auto"/>
              </w:rPr>
            </w:pPr>
          </w:p>
        </w:tc>
      </w:tr>
      <w:tr>
        <w:trPr>
          <w:trHeight w:val="73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20" w:type="dxa"/>
            <w:vAlign w:val="bottom"/>
          </w:tcPr>
          <w:p>
            <w:pPr>
              <w:spacing w:after="0"/>
              <w:rPr>
                <w:sz w:val="24"/>
                <w:szCs w:val="24"/>
                <w:color w:val="auto"/>
              </w:rPr>
            </w:pPr>
          </w:p>
        </w:tc>
        <w:tc>
          <w:tcPr>
            <w:tcW w:w="5940" w:type="dxa"/>
            <w:vAlign w:val="bottom"/>
            <w:tcBorders>
              <w:top w:val="single" w:sz="8" w:color="CFF0FC"/>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2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-504825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-488315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other than payment for any products or services provided by the counterparty through the notice date or effective time of termination and any non-cancellable and non-refundable obligations incurred by the counterparty prior to the notice date or effective time of the termination, and do not contain any minimum purchase commitments.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because of their status or service as officers or directors. The maximum potential future payments the Company could be required to make under these indemnification arrangements is, in many cases, unlimited. To date, the Company has not incurred any material costs because of these indemnifications. The Company has not accrued any liabilities related to such indemnification arrangements in its financial statements as of December 31, 2025 or 2024 because it determined the likelihood of incurring a payment obligation pursuant to such arrangements was not probable.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was not a defendant in any lawsuit for the years ended December 31, 2025 and 2024.</w:t>
      </w:r>
    </w:p>
    <w:p>
      <w:pPr>
        <w:spacing w:after="0" w:line="280"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Rights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holder of each outstanding share of common stock is entitled to one vote on all matters submitted to a vote of the holders of common stock. Subject to the rights of the holders of any class of the Company’s capital stock having any preference or priority over common stock, the holders of common stock are entitled to receive dividends that are declared by the Company’s board of directors out of legally available funds. In the event of a liquidation, dissolution or winding-up, the holders of common stock are entitled to share ratably in the net assets remaining after payment of liabilities and the liquidation value of any class of the Company’s capital stock having any preference or priority over the common stock then outstanding, if any. The common stock has no preemptive rights, conversion rights, redemption rights, preference rights, or exchange rights, or sinking fund provisions, and there are no dividends in arrears or default. All shares of common stock have equal distribution, liquidation and voting rights.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8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 of stock options issued and outstanding</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equity incentive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Pr>
          <w:p>
            <w:pPr>
              <w:spacing w:after="0"/>
              <w:rPr>
                <w:sz w:val="18"/>
                <w:szCs w:val="18"/>
                <w:color w:val="auto"/>
              </w:rPr>
            </w:pPr>
          </w:p>
        </w:tc>
      </w:tr>
      <w:tr>
        <w:trPr>
          <w:trHeight w:val="216"/>
        </w:trPr>
        <w:tc>
          <w:tcPr>
            <w:tcW w:w="8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ESPP</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18"/>
                <w:szCs w:val="18"/>
                <w:color w:val="auto"/>
              </w:rPr>
            </w:pPr>
          </w:p>
        </w:tc>
      </w:tr>
      <w:tr>
        <w:trPr>
          <w:trHeight w:val="210"/>
        </w:trPr>
        <w:tc>
          <w:tcPr>
            <w:tcW w:w="5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w w:val="99"/>
              </w:rPr>
              <w:t>Total</w:t>
            </w:r>
          </w:p>
        </w:tc>
        <w:tc>
          <w:tcPr>
            <w:tcW w:w="6120" w:type="dxa"/>
            <w:vAlign w:val="bottom"/>
            <w:tcBorders>
              <w:top w:val="single" w:sz="8" w:color="CFF0FC"/>
            </w:tcBorders>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240" w:type="dxa"/>
            <w:vAlign w:val="bottom"/>
            <w:tcBorders>
              <w:top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00" w:type="dxa"/>
            <w:vAlign w:val="bottom"/>
            <w:tcBorders>
              <w:top w:val="single" w:sz="8" w:color="CFF0FC"/>
            </w:tcBorders>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560" w:type="dxa"/>
            <w:vAlign w:val="bottom"/>
            <w:gridSpan w:val="2"/>
          </w:tcPr>
          <w:p>
            <w:pPr>
              <w:jc w:val="right"/>
              <w:ind w:right="5388"/>
              <w:spacing w:after="0"/>
              <w:rPr>
                <w:sz w:val="20"/>
                <w:szCs w:val="20"/>
                <w:color w:val="auto"/>
              </w:rPr>
            </w:pPr>
            <w:r>
              <w:rPr>
                <w:rFonts w:ascii="Times New Roman" w:cs="Times New Roman" w:eastAsia="Times New Roman" w:hAnsi="Times New Roman"/>
                <w:sz w:val="18"/>
                <w:szCs w:val="18"/>
                <w:b w:val="1"/>
                <w:bCs w:val="1"/>
                <w:color w:val="auto"/>
                <w:w w:val="98"/>
              </w:rPr>
              <w:t>Stock-Based Compensation</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-745490</wp:posOffset>
            </wp:positionV>
            <wp:extent cx="768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March 2024, the Company’s board of directors adopted, and the Company’s stockholders approved, the 2024 Incentive Award Plan (the Plan), which became effective in connection with the IPO and has a term of ten years. The Plan provides for the grant of incentive stock options, nonqualified stock options, restricted stock, dividend equivalents, restricted stock units, stock appreciation rights, and other stock or cash-based awards to the Company's employees, consultants, and directors. Options granted under the Plan are exercisable at various dates as determined upon grant and will expire no more than 10 years from their date of grant. Stock options generally vest over terms of either 36 or 48 months. The exercise price of awards granted under the Plan shall not be less than 100% of the fair market value of the Company’s common stock on the date of grant. In addition, the Plan includes an “evergreen” provision whereby the number of shares of common stock available for issuance under the Plan will be increased annually on the first day of each calendar year during the term of the Plan, beginning in 2025, by an amount equal to the lesser of (i) 5% of the shares of common stock outstanding on the final day of the immediately preceding calendar year or (ii) such number of shares as determined by the Company’s board of directors or an authorized committee of the board of directors. As of December 31, 2025, a total of 3,947,716 shares of common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 were authorized for issuance under the Plan. On December 31, 2025, 3,347,667 of these shares were available for grant under the Plan. On January 1, 2026, pursuant to the evergreen provision of the Plan, the aggregate number of shares that may be issued under the Plan was automatically increased by 1,120,362 shares to 5,068,078.</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Prior to the adoption of the Plan, the Company had awarded common stock options under the 2018 Equity Incentive Plan (as amended, the Predecessor Plan). Under the provisions of the Plan, the shares subject to awards issued under the Predecessor Plan that were outstanding as of March 27, 2024, the effective date of the Plan, and that are subsequently cancelled or forfeited, will become available for issuance under, and will increase the number of shares that may be issued under, the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Repricing of Outstanding Options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August 2024, the compensation committee of the Company’s board of directors, as administrator of the Plan and the Predecessor Plan, approved an option repricing (2024 Repricing), which was effective on August 19, 2024 (the Repricing Effective Date). The repricing applied to options to purchase up to an aggregate of 3,484,346 shares of the Company’s common stock with an exercise price per share in excess of the closing price per share of the Company’s common stock on the Repricing Effective Date, held by eligible employees of the Company that were granted under the Plan or the Predecessor Plan and were outstanding as of the Repricing Effective Date (the Repriced Options). As of the Repricing Effective Date, the exercise price of each of the Repriced Options was reduced to $3.56 per share, which was the closing price of the Company’s common stock on the Repricing Effective Date; provided, however, that if prior to the Premium End Date (as defined below), a Repriced Option is exercised or an employee’s employment or service with the Company terminates for any reason other than due to a Qualifying Termination (as defined below), the exercise price per share that applied to the Repriced Option immediately prior to the Repricing Effective Date will apply in lieu of the reduced exercise price. The “Premium End Date” means the earliest of:</w:t>
      </w:r>
    </w:p>
    <w:p>
      <w:pPr>
        <w:spacing w:after="0" w:line="6" w:lineRule="exact"/>
        <w:rPr>
          <w:sz w:val="20"/>
          <w:szCs w:val="20"/>
          <w:color w:val="auto"/>
        </w:rPr>
      </w:pPr>
    </w:p>
    <w:p>
      <w:pPr>
        <w:jc w:val="both"/>
        <w:ind w:firstLine="8"/>
        <w:spacing w:after="0" w:line="252" w:lineRule="auto"/>
        <w:tabs>
          <w:tab w:leader="none" w:pos="2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19, 2026, (2) the date immediately prior to the closing of a Change in Control (as defined in the Plan), or (3) the date of the employee’s Qualifying Termination. A “Qualifying Termination” means (a) the involuntary termination of the employee’s employment by the Company due to a reduction in force (and other than for Cause (as defined in the Plan)), subject to the employee’s execution of an effective general release of claims in favor of the Company, (b) the employee’s death, or (c) termination of the employee’s employment by the Company following the employee’s Disability (as defined in the Plan). Except for the reduction in the exercise prices of the Repriced Options as described above, the Repriced Options retain their existing terms, including their respective original vesting schedules.</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repricing resulted in a total incremental non-cash stock-based compensation expense of $0.9 million, which was calculated using the Black-Scholes option-pricing model, of which $0.2 million is associated with vested Repriced Options and will be recognized on a straight-line basis through the Premium End Date. The remaining $0.7 million of the incremental non-cash stock-based compensation expense is associated with unvested Repriced Options and will be recognized as follows: (i) if the Premium End Date occurs later than the end of the remaining vesting period of the Repriced Option, the incremental cost will be amortized on a straight-line basis through the Premium End Date, or (ii) if the Premium End Date occurs earlier than the end of the remaining vesting period of the Repriced Option, the incremental cost will be amortized on a straight-line basis over the remaining vesting period. The Company recognized incremental stock-based compensation expense totaling $0.2 million and $0.1 million associated with the 2024 Repricing for the years ended December 31, 2025 and 2024,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 option activity under the Plan and the Predecessor Plan and certain other related information is as follows (in thousands except weighted-average exercise price and remaining term):</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9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 and expired</w:t>
            </w:r>
          </w:p>
        </w:tc>
        <w:tc>
          <w:tcPr>
            <w:tcW w:w="9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8"/>
              </w:rPr>
              <w:t>(1,097)</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9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4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98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4,234</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5.22</w:t>
            </w:r>
          </w:p>
        </w:tc>
        <w:tc>
          <w:tcPr>
            <w:tcW w:w="14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400" w:type="dxa"/>
            <w:vAlign w:val="bottom"/>
            <w:tcBorders>
              <w:bottom w:val="single" w:sz="8" w:color="CFF0FC"/>
            </w:tcBorders>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4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2025</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2,315</w:t>
            </w:r>
          </w:p>
        </w:tc>
        <w:tc>
          <w:tcPr>
            <w:tcW w:w="140" w:type="dxa"/>
            <w:vAlign w:val="bottom"/>
          </w:tcPr>
          <w:p>
            <w:pPr>
              <w:spacing w:after="0"/>
              <w:rPr>
                <w:sz w:val="17"/>
                <w:szCs w:val="17"/>
                <w:color w:val="auto"/>
              </w:rPr>
            </w:pPr>
          </w:p>
        </w:tc>
        <w:tc>
          <w:tcPr>
            <w:tcW w:w="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5.38</w:t>
            </w:r>
          </w:p>
        </w:tc>
        <w:tc>
          <w:tcPr>
            <w:tcW w:w="1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4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-496570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-187960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Aggregate intrinsic value in the above table is the difference between the estimated fair value of the Company’s common stock as of either December 31, 2025 or 2024, and the exercise price of stock options that had exercise prices below that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Repriced Options, the calculation of the weighted-average prices and intrinsic value information in the table above is based on the exercise price per share that applied immediately prior to the Repricing Effective Date pending satisfaction of the requisite service requirement.</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options exercised during the year ended December 31, 2025; the options exercised during the year ended December 31, 2024 had an insignificant intrinsic value at exercise.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March 2024, the Company’s board of directors adopted, and the Company’s stockholders approved, the Company’s 2024 Employee Stock Purchase Plan, which became effective in connection with the IPO. The ESPP permits participants to contribute up to a specified percentage of their eligible compensation during a series of offering periods of 24 months, each comprised of four six-month purchase periods, to purchase shares of the Company’s common stock. The purchase price of the shares will be 85% of the fair market value of the Company’s common stock on the first day of trading of the applicable offering period or on the applicable purchase date, whichever is lower. In addition, the ESPP includes an “evergreen” provision whereby the number of shares of common stock available for issuance under the ESPP will be increased annually on the first day of each calendar year during the term of the ESPP by an amount equal to the lesser of (i) 1% of the shares of common stock outstanding on the final day of the immediately preceding calendar year or (ii) such number of shares as determined by the Company’s board of directors or an authorized committee of the board of directors. On January 1, 2026, pursuant to the evergreen provision of the ESPP, the aggregate number of shares authorized for issuance under the ESPP automatically increased by 224,072 shares to 678,991.</w:t>
      </w:r>
    </w:p>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ESPP of $0.4 million and $0.5 million for the years ended December 31, 2025 and 2024, respectively.</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issued and sold 107,208 and 44,532 shares under the ESPP during the years ended December 31, 2025 and 2024,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including the expense related to the ESPP, as recorded in the accompanying statements of operations and comprehensive loss was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8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tcPr>
          <w:p>
            <w:pPr>
              <w:spacing w:after="0"/>
              <w:rPr>
                <w:sz w:val="18"/>
                <w:szCs w:val="18"/>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shd w:val="clear" w:color="auto" w:fill="CFF0FC"/>
          </w:tcPr>
          <w:p>
            <w:pPr>
              <w:spacing w:after="0"/>
              <w:rPr>
                <w:sz w:val="19"/>
                <w:szCs w:val="19"/>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compensation cost related to outstanding stock options (all of which have time-based vesting) was $9.2 million, which is expected to be recognized over a weighted-average period of 2.2 years.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compensation cost related to the ESPP was $0.6 million, which is expected to be recognized as expense over approximately 1.3 years.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Excluding any effect of the Repriced Options, except for Repriced Options held by employees who experienced a Qualifying Termination, the weighted-average assumptions used in the Black-Scholes option pricing model to determine the fair value of the stock options granted during the periods indicated in the table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718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09"/>
        </w:trPr>
        <w:tc>
          <w:tcPr>
            <w:tcW w:w="8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8"/>
                <w:szCs w:val="18"/>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volatility</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105.2%</w:t>
            </w:r>
          </w:p>
        </w:tc>
        <w:tc>
          <w:tcPr>
            <w:tcW w:w="5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90.8%</w:t>
            </w:r>
          </w:p>
        </w:tc>
      </w:tr>
      <w:tr>
        <w:trPr>
          <w:trHeight w:val="216"/>
        </w:trPr>
        <w:tc>
          <w:tcPr>
            <w:tcW w:w="8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Assumed risk-free interest rate</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5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630"/>
        </w:trPr>
        <w:tc>
          <w:tcPr>
            <w:tcW w:w="830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F-19</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7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Excluding any effect due to the Repriced Options, except for Repriced Options held by employees who experienced a Qualifying Termination, the weighted-average grant date per share fair value of options granted during the years ended December 31, 2025 and 2024 were $1.88 and $7.19, respectively.</w:t>
      </w:r>
    </w:p>
    <w:p>
      <w:pPr>
        <w:spacing w:after="0" w:line="280"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For the years ended December 31, 2025 and 2024, the Company’s pre-tax loss was entirely domestic. The Company adopted ASU 2023-09,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 (Topic 740): Improvements to Income Tax Disclosures</w:t>
      </w:r>
      <w:r>
        <w:rPr>
          <w:rFonts w:ascii="Times New Roman" w:cs="Times New Roman" w:eastAsia="Times New Roman" w:hAnsi="Times New Roman"/>
          <w:sz w:val="18"/>
          <w:szCs w:val="18"/>
          <w:color w:val="auto"/>
        </w:rPr>
        <w:t>, effective January 1, 2025. See Note 1 for additional information regarding the adoption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standard.</w:t>
      </w:r>
    </w:p>
    <w:p>
      <w:pPr>
        <w:spacing w:after="0" w:line="1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income taxes computed at the federal statutory rate to the Company’s effective income tax rate for the year ended December 31, 2025, prepared in accordance with ASC 740 as amended by ASU 2023-09, is as follows (in thousands, except percentages):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142"/>
        </w:trPr>
        <w:tc>
          <w:tcPr>
            <w:tcW w:w="77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computed at the federal statutory tax rate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(12,221)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Nontaxable or nondeductible items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non-deductible permanent items</w:t>
            </w:r>
          </w:p>
        </w:tc>
        <w:tc>
          <w:tcPr>
            <w:tcW w:w="3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officer compensation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income taxes computed at the federal statutory rate to the Company’s effective income tax rate for the year ended December 31, 2024 (prior to adoption of ASU 2023-09) was as follows (in thousands, except percentages):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142"/>
        </w:trPr>
        <w:tc>
          <w:tcPr>
            <w:tcW w:w="77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computed at the federal statutory tax rate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(13,726)</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3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(4,347)</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Uncertain tax position</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majority of our domestic operations are located in the state of California. The Company paid no federal, state, or foreign income taxes, net of refunds received, during the years ended December 31, 2025 and 2024.</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not recorded any current or deferred federal, state, or foreign income tax expense or benefit due to its full valuation allowance against deferred tax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components of deferred tax assets and liabilities as of December 31, 2025 and 2024 were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45,574</w:t>
            </w:r>
          </w:p>
        </w:tc>
        <w:tc>
          <w:tcPr>
            <w:tcW w:w="10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27,618</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tax credits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Capitalized R&amp;D</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72,102</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(75,150)</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(58,844)</w:t>
            </w:r>
          </w:p>
        </w:tc>
      </w:tr>
      <w:tr>
        <w:trPr>
          <w:trHeight w:val="209"/>
        </w:trPr>
        <w:tc>
          <w:tcPr>
            <w:tcW w:w="756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13,258</w:t>
            </w:r>
          </w:p>
        </w:tc>
        <w:tc>
          <w:tcPr>
            <w:tcW w:w="100" w:type="dxa"/>
            <w:vAlign w:val="bottom"/>
            <w:tcBorders>
              <w:top w:val="single" w:sz="8" w:color="CFF0FC"/>
            </w:tcBorders>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ROU asset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(12,259)</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(13,169)</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(12,350)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(13,258)</w:t>
            </w: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-1156970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-873760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in the valuation allowance for the years ended December 31, 2025 and 2024 was as follows (in thousands):</w:t>
      </w:r>
    </w:p>
    <w:p>
      <w:pPr>
        <w:spacing w:after="0" w:line="111"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58,844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38,323</w:t>
            </w:r>
          </w:p>
        </w:tc>
        <w:tc>
          <w:tcPr>
            <w:tcW w:w="100" w:type="dxa"/>
            <w:vAlign w:val="bottom"/>
            <w:shd w:val="clear" w:color="auto" w:fill="CFF0FC"/>
          </w:tcPr>
          <w:p>
            <w:pPr>
              <w:spacing w:after="0"/>
              <w:rPr>
                <w:sz w:val="18"/>
                <w:szCs w:val="18"/>
                <w:color w:val="auto"/>
              </w:rPr>
            </w:pPr>
          </w:p>
        </w:tc>
      </w:tr>
      <w:tr>
        <w:trPr>
          <w:trHeight w:val="216"/>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Charged to federal income tax expense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14,047</w:t>
            </w: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Charged to state income tax expense</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Charged (credited) to other comprehensive loss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2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75,150</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and Credit Carryforwards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established a full valuation allowance against its net deferred tax assets due to uncertainty regarding realization. In assessing the need for a valuation allowance, management considered the Company’s history of cumulative pre-tax losses, the lack of sufficient taxable income in prior carryback periods, the limited existence of taxable temporary differences, and the uncertainty surrounding future taxable income.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2025 and 2024, total deferred tax assets, net of deferred tax liabilities, increased by approximately $16.3 million and $20.5 million, respectively. Due to the full valuation allowance position, the Company’s valuation allowance increased by a corresponding amount in each period.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federal net operating loss (“NOL”) carryforwards, state NOL carryforwards, and research and development tax credit carryforwards consisted of the following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8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NOL carryforwards</w:t>
            </w:r>
          </w:p>
        </w:tc>
        <w:tc>
          <w:tcPr>
            <w:tcW w:w="3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161,402</w:t>
            </w:r>
          </w:p>
        </w:tc>
        <w:tc>
          <w:tcPr>
            <w:tcW w:w="8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91,864</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State NOL carryforwards</w:t>
            </w:r>
          </w:p>
        </w:tc>
        <w:tc>
          <w:tcPr>
            <w:tcW w:w="3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231,270</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183,313</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research and development tax credit carryforwards</w:t>
            </w:r>
          </w:p>
        </w:tc>
        <w:tc>
          <w:tcPr>
            <w:tcW w:w="3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8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100" w:type="dxa"/>
            <w:vAlign w:val="bottom"/>
            <w:shd w:val="clear" w:color="auto" w:fill="CFF0FC"/>
          </w:tcPr>
          <w:p>
            <w:pPr>
              <w:spacing w:after="0"/>
              <w:rPr>
                <w:sz w:val="18"/>
                <w:szCs w:val="18"/>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State research tax credit carryforwards</w:t>
            </w:r>
          </w:p>
        </w:tc>
        <w:tc>
          <w:tcPr>
            <w:tcW w:w="3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Pr>
          <w:p>
            <w:pPr>
              <w:spacing w:after="0"/>
              <w:rPr>
                <w:sz w:val="20"/>
                <w:szCs w:val="20"/>
                <w:color w:val="auto"/>
              </w:rPr>
            </w:pPr>
          </w:p>
        </w:tc>
      </w:tr>
      <w:tr>
        <w:trPr>
          <w:trHeight w:val="630"/>
        </w:trPr>
        <w:tc>
          <w:tcPr>
            <w:tcW w:w="4840" w:type="dxa"/>
            <w:vAlign w:val="bottom"/>
          </w:tcPr>
          <w:p>
            <w:pPr>
              <w:spacing w:after="0"/>
              <w:rPr>
                <w:sz w:val="24"/>
                <w:szCs w:val="24"/>
                <w:color w:val="auto"/>
              </w:rPr>
            </w:pPr>
          </w:p>
        </w:tc>
        <w:tc>
          <w:tcPr>
            <w:tcW w:w="3260" w:type="dxa"/>
            <w:vAlign w:val="bottom"/>
            <w:gridSpan w:val="2"/>
          </w:tcPr>
          <w:p>
            <w:pPr>
              <w:jc w:val="right"/>
              <w:ind w:right="2300"/>
              <w:spacing w:after="0"/>
              <w:rPr>
                <w:sz w:val="20"/>
                <w:szCs w:val="20"/>
                <w:color w:val="auto"/>
              </w:rPr>
            </w:pPr>
            <w:r>
              <w:rPr>
                <w:rFonts w:ascii="Times New Roman" w:cs="Times New Roman" w:eastAsia="Times New Roman" w:hAnsi="Times New Roman"/>
                <w:sz w:val="18"/>
                <w:szCs w:val="18"/>
                <w:color w:val="auto"/>
              </w:rPr>
              <w:t>F-21</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8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Federal net operating loss carryforwards are subject to potential limitations under Section 382 of the Internal Revenue Code of 1986, as amended (“IRC”). Certain state NOL carryforwards begin to expire in 2038. Federal research tax credits begin to expire in 2040, while unused state credits carry forward indefinitely.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382 Limitations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IRC Sections 382 and 383, the Company’s ability to use its NOL and research tax credit carryforwards to offset future taxable income may be limited if the Company experiences a cumulative change in ownership of more than 50% within a three-year testing period. The Company has not completed an ownership change analysis pursuant to IRC Section 382. If ownership changes within the meaning of IRC Section 382 are identified as having occurred, the amount of NOL and research tax carryforwards available to offset future taxable income and income tax liabilities in future years may be significantly reduced, restricted, or eliminated. The Company has also not performed a formal research and development credit study with respect to these credits. As such, the amount of such credits may be reduced in the future should the Company complete such a study. Moreover, deferred tax assets associated with such NOLs and research tax credits could be significantly reduced upon realization of an ownership change within the meaning of IRC Section 382.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Tax Legislation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4, 2025, the reconciliation bill commonly referred to as the One Big Beautiful Bill Act (“OBBBA”) was signed into law in the United States. The OBBBA includes a broad range of tax reform provisions affecting U.S. corporate income taxation. Certain provisions became effective beginning in 2025, including an elective deduction for domestic research and development expenditures, reinstatement of 100% first-year bonus depreciation, and repeal of the fiscal year-end requirement for certain non-U.S. corporations. Other provisions of the OBBBA will become effective in 2026 and subsequent years, including a more favorable tax rate applicable to Foreign-Derived Deduction Eligible Income and income from non-U.S. subsidiaries (Net CFC Tested Income).</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Due to the Company’s full valuation allowance on deferred tax assets, the enactment of the OBBBA did not have a material impact on the Company’s financial statements for the year ended December 31, 2025, other than the reclassification of certain deferred tax assets and liabilities.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are no accruals for interest or tax penalties in the accompanying balance sheets, and the Company has not recognized any such interest or tax penalties in the accompanying statements of operations and comprehensive loss. Although it is not currently under a tax examination, all of the Company’s tax years remain open to audit in all of the tax jurisdictions in which it operates due to the Company’s net operating losses carryforwards.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Benefits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related to the Company’s gross unrecognized tax benefits for the years ended December 31, 2025 and 2024 was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860" w:type="dxa"/>
            <w:vAlign w:val="bottom"/>
            <w:tcBorders>
              <w:bottom w:val="single" w:sz="8" w:color="auto"/>
            </w:tcBorders>
            <w:gridSpan w:val="5"/>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2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auto"/>
            </w:tcBorders>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2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300" w:type="dxa"/>
            <w:vAlign w:val="bottom"/>
            <w:gridSpan w:val="3"/>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Increase related to current year positions</w:t>
            </w:r>
          </w:p>
        </w:tc>
        <w:tc>
          <w:tcPr>
            <w:tcW w:w="24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FF0FC"/>
            </w:tcBorders>
          </w:tcPr>
          <w:p>
            <w:pPr>
              <w:spacing w:after="0"/>
              <w:rPr>
                <w:sz w:val="18"/>
                <w:szCs w:val="18"/>
                <w:color w:val="auto"/>
              </w:rPr>
            </w:pPr>
          </w:p>
        </w:tc>
      </w:tr>
      <w:tr>
        <w:trPr>
          <w:trHeight w:val="250"/>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4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as a component of income tax expense. As of December 31, 2025 and 2024, the Company had no accrued interest or penalties.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not currently under examination by any taxing authority. Due to the existence of net operating loss carryforwards, all tax years remain open to examination in the jurisdictions in which the Company operates.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Boundless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Common Share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calculation of basic and diluted net loss per common share attributable to common stockholders (in thousands, except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(58,197)</w:t>
            </w:r>
          </w:p>
        </w:tc>
        <w:tc>
          <w:tcPr>
            <w:tcW w:w="10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(65,363)</w:t>
            </w:r>
          </w:p>
        </w:tc>
        <w:tc>
          <w:tcPr>
            <w:tcW w:w="0" w:type="dxa"/>
            <w:vAlign w:val="bottom"/>
          </w:tcPr>
          <w:p>
            <w:pPr>
              <w:spacing w:after="0"/>
              <w:rPr>
                <w:sz w:val="1"/>
                <w:szCs w:val="1"/>
                <w:color w:val="auto"/>
              </w:rPr>
            </w:pPr>
          </w:p>
        </w:tc>
      </w:tr>
      <w:tr>
        <w:trPr>
          <w:trHeight w:val="198"/>
        </w:trPr>
        <w:tc>
          <w:tcPr>
            <w:tcW w:w="7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 used in</w:t>
            </w:r>
          </w:p>
        </w:tc>
        <w:tc>
          <w:tcPr>
            <w:tcW w:w="98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computing net loss per share, basic and diluted</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(2.60)</w:t>
            </w:r>
          </w:p>
        </w:tc>
        <w:tc>
          <w:tcPr>
            <w:tcW w:w="10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approximately 4,234,000 and 3,818,000 shares of common stock underlying outstanding stock options from the calculation of diluted net loss per share for the years ended December 31, 2025 and 2024, respectively, because their inclusion would have been anti-dilutive.</w:t>
      </w:r>
    </w:p>
    <w:p>
      <w:pPr>
        <w:spacing w:after="0" w:line="266"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CODM reviews the budget versus actual expense by nature of expense. The following table sets forth our segment loss disclosure for the years ended December 31, 2025 and 2024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18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 Compensation and benefits (excludes stock-based compensation)</w:t>
            </w:r>
          </w:p>
        </w:tc>
        <w:tc>
          <w:tcPr>
            <w:tcW w:w="21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13,758</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 Clinical trial costs</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 Outsourced services &amp; Consulting</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 Lab and pharmacology supplies</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 Other costs (1)</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G&amp;A – Compensation and benefits (excludes stock-based compensation)</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G&amp;A – Professional service fees</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G&amp;A – Insurance</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G&amp;A – Other costs (2)</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Facilities related</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1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73,267</w:t>
            </w:r>
          </w:p>
        </w:tc>
        <w:tc>
          <w:tcPr>
            <w:tcW w:w="100" w:type="dxa"/>
            <w:vAlign w:val="bottom"/>
          </w:tcPr>
          <w:p>
            <w:pPr>
              <w:spacing w:after="0"/>
              <w:rPr>
                <w:sz w:val="18"/>
                <w:szCs w:val="18"/>
                <w:color w:val="auto"/>
              </w:rPr>
            </w:pPr>
          </w:p>
        </w:tc>
      </w:tr>
      <w:tr>
        <w:trPr>
          <w:trHeight w:val="209"/>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(63,552)</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(73,267)</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tcPr>
          <w:p>
            <w:pPr>
              <w:spacing w:after="0"/>
              <w:rPr>
                <w:sz w:val="18"/>
                <w:szCs w:val="18"/>
                <w:color w:val="auto"/>
              </w:rPr>
            </w:pPr>
          </w:p>
        </w:tc>
      </w:tr>
      <w:tr>
        <w:trPr>
          <w:trHeight w:val="250"/>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21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(58,197)</w:t>
            </w:r>
          </w:p>
        </w:tc>
        <w:tc>
          <w:tcPr>
            <w:tcW w:w="112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(65,363)</w:t>
            </w:r>
          </w:p>
        </w:tc>
      </w:tr>
      <w:tr>
        <w:trPr>
          <w:trHeight w:val="115"/>
        </w:trPr>
        <w:tc>
          <w:tcPr>
            <w:tcW w:w="1880" w:type="dxa"/>
            <w:vAlign w:val="bottom"/>
            <w:tcBorders>
              <w:top w:val="single" w:sz="8" w:color="CFF0FC"/>
              <w:bottom w:val="single" w:sz="8" w:color="auto"/>
            </w:tcBorders>
          </w:tcPr>
          <w:p>
            <w:pPr>
              <w:spacing w:after="0"/>
              <w:rPr>
                <w:sz w:val="10"/>
                <w:szCs w:val="10"/>
                <w:color w:val="auto"/>
              </w:rPr>
            </w:pPr>
          </w:p>
        </w:tc>
        <w:tc>
          <w:tcPr>
            <w:tcW w:w="4640" w:type="dxa"/>
            <w:vAlign w:val="bottom"/>
            <w:tcBorders>
              <w:top w:val="single" w:sz="8" w:color="CFF0FC"/>
            </w:tcBorders>
          </w:tcPr>
          <w:p>
            <w:pPr>
              <w:spacing w:after="0"/>
              <w:rPr>
                <w:sz w:val="10"/>
                <w:szCs w:val="10"/>
                <w:color w:val="auto"/>
              </w:rPr>
            </w:pPr>
          </w:p>
        </w:tc>
        <w:tc>
          <w:tcPr>
            <w:tcW w:w="1220" w:type="dxa"/>
            <w:vAlign w:val="bottom"/>
            <w:tcBorders>
              <w:top w:val="single" w:sz="8" w:color="CFF0FC"/>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-693420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-119380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-102235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expenses such as software licenses, database subscriptions, lab service contracts, travel, and other costs.</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expenses such as travel, investor relations services, software licenses, employee training and development, and other costs.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333-278354) on Form S-8 and (No. 333-286302) on Form S-3 of our report dated March 9, 2026, with respect to the financial statements of Boundless Bio, Inc.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 under the Securities Exchange Act of 1934,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Zachary D. Hornby, certify that:</w:t>
      </w:r>
    </w:p>
    <w:p>
      <w:pPr>
        <w:spacing w:after="0" w:line="117" w:lineRule="exact"/>
        <w:rPr>
          <w:sz w:val="20"/>
          <w:szCs w:val="20"/>
          <w:color w:val="auto"/>
        </w:rPr>
      </w:pPr>
    </w:p>
    <w:p>
      <w:pPr>
        <w:ind w:left="380" w:hanging="372"/>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Boundless Bio,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380" w:hanging="369"/>
        <w:spacing w:after="0" w:line="266"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20" w:hanging="369"/>
        <w:spacing w:after="0" w:line="282"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2026</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Zachary D. Hornby</w:t>
            </w:r>
          </w:p>
        </w:tc>
      </w:tr>
      <w:tr>
        <w:trPr>
          <w:trHeight w:val="218"/>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Zachary D. Hornby</w:t>
            </w:r>
          </w:p>
        </w:tc>
      </w:tr>
      <w:tr>
        <w:trPr>
          <w:trHeight w:val="212"/>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8"/>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Rules 13a-14(a) and 15d-14(a) under the Securities Exchange Act of 1934,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Hinkle, certify that:</w:t>
      </w:r>
    </w:p>
    <w:p>
      <w:pPr>
        <w:spacing w:after="0" w:line="117" w:lineRule="exact"/>
        <w:rPr>
          <w:sz w:val="20"/>
          <w:szCs w:val="20"/>
          <w:color w:val="auto"/>
        </w:rPr>
      </w:pPr>
    </w:p>
    <w:p>
      <w:pPr>
        <w:ind w:left="380" w:hanging="372"/>
        <w:spacing w:after="0"/>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Boundless Bio, Inc.;</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380" w:hanging="369"/>
        <w:spacing w:after="0" w:line="266" w:lineRule="auto"/>
        <w:tabs>
          <w:tab w:leader="none" w:pos="15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20" w:hanging="369"/>
        <w:spacing w:after="0" w:line="282" w:lineRule="auto"/>
        <w:tabs>
          <w:tab w:leader="none" w:pos="15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2026</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Hinkle</w:t>
            </w:r>
          </w:p>
        </w:tc>
      </w:tr>
      <w:tr>
        <w:trPr>
          <w:trHeight w:val="218"/>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David Hinkle</w:t>
            </w:r>
          </w:p>
        </w:tc>
      </w:tr>
      <w:tr>
        <w:trPr>
          <w:trHeight w:val="212"/>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Controller and Treasurer</w:t>
            </w:r>
          </w:p>
        </w:tc>
      </w:tr>
      <w:tr>
        <w:trPr>
          <w:trHeight w:val="238"/>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Boundless Bio, Inc. (the Company) for the year ended December 31, 2025 as filed with the Securities and Exchange Commission on the date hereof (the Report), Zachary D. Hornby, President and Chief Executive Officer of the Company, and David Hinkle, Senior Vice President, Finance, Controller, and Treasurer of the Company, each hereby certifies, pursuant to 18 U.S.C. Section 1350, as adopted pursuant to Section 906 of the Sarbanes-Oxley Act of 2002, to his knowledge, that:</w:t>
      </w:r>
    </w:p>
    <w:p>
      <w:pPr>
        <w:spacing w:after="0" w:line="72"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2026</w:t>
            </w:r>
          </w:p>
        </w:tc>
        <w:tc>
          <w:tcPr>
            <w:tcW w:w="27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Zachary D. Hornby</w:t>
            </w:r>
          </w:p>
        </w:tc>
      </w:tr>
      <w:tr>
        <w:trPr>
          <w:trHeight w:val="218"/>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Zachary D. Hornby</w:t>
            </w:r>
          </w:p>
        </w:tc>
      </w:tr>
      <w:tr>
        <w:trPr>
          <w:trHeight w:val="234"/>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5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r>
      <w:tr>
        <w:trPr>
          <w:trHeight w:val="47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2026</w:t>
            </w:r>
          </w:p>
        </w:tc>
        <w:tc>
          <w:tcPr>
            <w:tcW w:w="27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Hinkle</w:t>
            </w:r>
          </w:p>
        </w:tc>
      </w:tr>
      <w:tr>
        <w:trPr>
          <w:trHeight w:val="218"/>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David Hinkle</w:t>
            </w:r>
          </w:p>
        </w:tc>
      </w:tr>
      <w:tr>
        <w:trPr>
          <w:trHeight w:val="234"/>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Controller and Treasurer</w:t>
            </w:r>
          </w:p>
        </w:tc>
      </w:tr>
      <w:tr>
        <w:trPr>
          <w:trHeight w:val="270"/>
        </w:trPr>
        <w:tc>
          <w:tcPr>
            <w:tcW w:w="35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Section 1350 and are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7" w:name="page138"/>
    <w:bookmarkEnd w:id="1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lvl w:ilvl="1">
      <w:lvlJc w:val="left"/>
      <w:lvlText w:val="•"/>
      <w:numFmt w:val="bullet"/>
      <w:start w:val="1"/>
    </w:lvl>
  </w:abstractNum>
  <w:abstractNum w:abstractNumId="9">
    <w:nsid w:val="2D517796"/>
    <w:multiLevelType w:val="hybridMultilevel"/>
    <w:lvl w:ilvl="0">
      <w:lvlJc w:val="left"/>
      <w:lvlText w:val="\endash "/>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2"/>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decimal"/>
      <w:start w:val="3"/>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decimal"/>
      <w:start w:val="4"/>
    </w:lvl>
  </w:abstractNum>
  <w:abstractNum w:abstractNumId="58">
    <w:nsid w:val="5FF87E05"/>
    <w:multiLevelType w:val="hybridMultilevel"/>
    <w:lvl w:ilvl="0">
      <w:lvlJc w:val="left"/>
      <w:lvlText w:val="%1."/>
      <w:numFmt w:val="decimal"/>
      <w:start w:val="5"/>
    </w:lvl>
  </w:abstractNum>
  <w:abstractNum w:abstractNumId="59">
    <w:nsid w:val="2F305DEF"/>
    <w:multiLevelType w:val="hybridMultilevel"/>
    <w:lvl w:ilvl="0">
      <w:lvlJc w:val="left"/>
      <w:lvlText w:val="%1."/>
      <w:numFmt w:val="decimal"/>
      <w:start w:val="6"/>
    </w:lvl>
  </w:abstractNum>
  <w:abstractNum w:abstractNumId="60">
    <w:nsid w:val="25A70BF7"/>
    <w:multiLevelType w:val="hybridMultilevel"/>
    <w:lvl w:ilvl="0">
      <w:lvlJc w:val="left"/>
      <w:lvlText w:val="%1."/>
      <w:numFmt w:val="decimal"/>
      <w:start w:val="7"/>
    </w:lvl>
  </w:abstractNum>
  <w:abstractNum w:abstractNumId="61">
    <w:nsid w:val="1DBABF00"/>
    <w:multiLevelType w:val="hybridMultilevel"/>
    <w:lvl w:ilvl="0">
      <w:lvlJc w:val="left"/>
      <w:lvlText w:val="%1."/>
      <w:numFmt w:val="decimal"/>
      <w:start w:val="9"/>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11"/>
    </w:lvl>
  </w:abstractNum>
  <w:abstractNum w:abstractNumId="64">
    <w:nsid w:val="1381823A"/>
    <w:multiLevelType w:val="hybridMultilevel"/>
    <w:lvl w:ilvl="0">
      <w:lvlJc w:val="left"/>
      <w:lvlText w:val="%1."/>
      <w:numFmt w:val="decimal"/>
      <w:start w:val="12"/>
    </w:lvl>
  </w:abstractNum>
  <w:abstractNum w:abstractNumId="65">
    <w:nsid w:val="5DB70AE5"/>
    <w:multiLevelType w:val="hybridMultilevel"/>
    <w:lvl w:ilvl="0">
      <w:lvlJc w:val="left"/>
      <w:lvlText w:val="%1."/>
      <w:numFmt w:val="decimal"/>
      <w:start w:val="13"/>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91"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327" Type="http://schemas.openxmlformats.org/officeDocument/2006/relationships/image" Target="media/image299.png"/><Relationship Id="rId328" Type="http://schemas.openxmlformats.org/officeDocument/2006/relationships/image" Target="media/image300.png"/><Relationship Id="rId329" Type="http://schemas.openxmlformats.org/officeDocument/2006/relationships/image" Target="media/image301.png"/><Relationship Id="rId330" Type="http://schemas.openxmlformats.org/officeDocument/2006/relationships/image" Target="media/image302.png"/><Relationship Id="rId331"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35" Type="http://schemas.openxmlformats.org/officeDocument/2006/relationships/image" Target="media/image307.png"/><Relationship Id="rId336" Type="http://schemas.openxmlformats.org/officeDocument/2006/relationships/image" Target="media/image308.png"/><Relationship Id="rId337" Type="http://schemas.openxmlformats.org/officeDocument/2006/relationships/image" Target="media/image309.png"/><Relationship Id="rId338" Type="http://schemas.openxmlformats.org/officeDocument/2006/relationships/image" Target="media/image310.png"/><Relationship Id="rId339" Type="http://schemas.openxmlformats.org/officeDocument/2006/relationships/image" Target="media/image311.png"/><Relationship Id="rId340" Type="http://schemas.openxmlformats.org/officeDocument/2006/relationships/image" Target="media/image312.png"/><Relationship Id="rId341" Type="http://schemas.openxmlformats.org/officeDocument/2006/relationships/image" Target="media/image313.png"/><Relationship Id="rId342" Type="http://schemas.openxmlformats.org/officeDocument/2006/relationships/image" Target="media/image314.png"/><Relationship Id="rId343" Type="http://schemas.openxmlformats.org/officeDocument/2006/relationships/image" Target="media/image315.png"/><Relationship Id="rId344" Type="http://schemas.openxmlformats.org/officeDocument/2006/relationships/image" Target="media/image316.png"/><Relationship Id="rId345" Type="http://schemas.openxmlformats.org/officeDocument/2006/relationships/image" Target="media/image317.png"/><Relationship Id="rId346" Type="http://schemas.openxmlformats.org/officeDocument/2006/relationships/image" Target="media/image318.png"/><Relationship Id="rId347" Type="http://schemas.openxmlformats.org/officeDocument/2006/relationships/image" Target="media/image319.png"/><Relationship Id="rId348" Type="http://schemas.openxmlformats.org/officeDocument/2006/relationships/image" Target="media/image320.png"/><Relationship Id="rId349" Type="http://schemas.openxmlformats.org/officeDocument/2006/relationships/image" Target="media/image321.png"/><Relationship Id="rId350" Type="http://schemas.openxmlformats.org/officeDocument/2006/relationships/image" Target="media/image322.png"/><Relationship Id="rId351" Type="http://schemas.openxmlformats.org/officeDocument/2006/relationships/image" Target="media/image323.png"/><Relationship Id="rId352" Type="http://schemas.openxmlformats.org/officeDocument/2006/relationships/image" Target="media/image324.png"/><Relationship Id="rId353" Type="http://schemas.openxmlformats.org/officeDocument/2006/relationships/image" Target="media/image325.png"/><Relationship Id="rId354" Type="http://schemas.openxmlformats.org/officeDocument/2006/relationships/image" Target="media/image326.png"/><Relationship Id="rId355" Type="http://schemas.openxmlformats.org/officeDocument/2006/relationships/image" Target="media/image327.png"/><Relationship Id="rId356" Type="http://schemas.openxmlformats.org/officeDocument/2006/relationships/image" Target="media/image328.png"/><Relationship Id="rId357" Type="http://schemas.openxmlformats.org/officeDocument/2006/relationships/image" Target="media/image329.png"/><Relationship Id="rId358" Type="http://schemas.openxmlformats.org/officeDocument/2006/relationships/image" Target="media/image330.png"/><Relationship Id="rId359" Type="http://schemas.openxmlformats.org/officeDocument/2006/relationships/image" Target="media/image331.png"/><Relationship Id="rId360" Type="http://schemas.openxmlformats.org/officeDocument/2006/relationships/image" Target="media/image332.png"/><Relationship Id="rId361" Type="http://schemas.openxmlformats.org/officeDocument/2006/relationships/image" Target="media/image333.png"/><Relationship Id="rId362" Type="http://schemas.openxmlformats.org/officeDocument/2006/relationships/image" Target="media/image334.png"/><Relationship Id="rId363" Type="http://schemas.openxmlformats.org/officeDocument/2006/relationships/image" Target="media/image335.png"/><Relationship Id="rId364" Type="http://schemas.openxmlformats.org/officeDocument/2006/relationships/image" Target="media/image336.png"/><Relationship Id="rId365" Type="http://schemas.openxmlformats.org/officeDocument/2006/relationships/image" Target="media/image337.png"/><Relationship Id="rId366" Type="http://schemas.openxmlformats.org/officeDocument/2006/relationships/image" Target="media/image338.png"/><Relationship Id="rId367" Type="http://schemas.openxmlformats.org/officeDocument/2006/relationships/image" Target="media/image339.png"/><Relationship Id="rId368" Type="http://schemas.openxmlformats.org/officeDocument/2006/relationships/image" Target="media/image340.png"/><Relationship Id="rId369" Type="http://schemas.openxmlformats.org/officeDocument/2006/relationships/image" Target="media/image341.png"/><Relationship Id="rId370" Type="http://schemas.openxmlformats.org/officeDocument/2006/relationships/image" Target="media/image342.png"/><Relationship Id="rId371" Type="http://schemas.openxmlformats.org/officeDocument/2006/relationships/image" Target="media/image343.png"/><Relationship Id="rId372" Type="http://schemas.openxmlformats.org/officeDocument/2006/relationships/image" Target="media/image344.png"/><Relationship Id="rId373" Type="http://schemas.openxmlformats.org/officeDocument/2006/relationships/image" Target="media/image345.png"/><Relationship Id="rId374" Type="http://schemas.openxmlformats.org/officeDocument/2006/relationships/image" Target="media/image346.png"/><Relationship Id="rId375" Type="http://schemas.openxmlformats.org/officeDocument/2006/relationships/image" Target="media/image347.png"/><Relationship Id="rId376" Type="http://schemas.openxmlformats.org/officeDocument/2006/relationships/image" Target="media/image348.png"/><Relationship Id="rId377" Type="http://schemas.openxmlformats.org/officeDocument/2006/relationships/image" Target="media/image349.png"/><Relationship Id="rId378" Type="http://schemas.openxmlformats.org/officeDocument/2006/relationships/image" Target="media/image350.png"/><Relationship Id="rId379" Type="http://schemas.openxmlformats.org/officeDocument/2006/relationships/image" Target="media/image351.png"/><Relationship Id="rId380" Type="http://schemas.openxmlformats.org/officeDocument/2006/relationships/image" Target="media/image352.png"/><Relationship Id="rId381" Type="http://schemas.openxmlformats.org/officeDocument/2006/relationships/image" Target="media/image353.png"/><Relationship Id="rId382" Type="http://schemas.openxmlformats.org/officeDocument/2006/relationships/image" Target="media/image354.png"/><Relationship Id="rId383" Type="http://schemas.openxmlformats.org/officeDocument/2006/relationships/image" Target="media/image355.png"/><Relationship Id="rId384" Type="http://schemas.openxmlformats.org/officeDocument/2006/relationships/image" Target="media/image356.png"/><Relationship Id="rId385" Type="http://schemas.openxmlformats.org/officeDocument/2006/relationships/image" Target="media/image357.png"/><Relationship Id="rId386" Type="http://schemas.openxmlformats.org/officeDocument/2006/relationships/image" Target="media/image358.png"/><Relationship Id="rId387" Type="http://schemas.openxmlformats.org/officeDocument/2006/relationships/image" Target="media/image359.png"/><Relationship Id="rId388" Type="http://schemas.openxmlformats.org/officeDocument/2006/relationships/image" Target="media/image360.png"/><Relationship Id="rId389" Type="http://schemas.openxmlformats.org/officeDocument/2006/relationships/image" Target="media/image361.png"/><Relationship Id="rId390" Type="http://schemas.openxmlformats.org/officeDocument/2006/relationships/image" Target="media/image362.png"/><Relationship Id="rId171" Type="http://schemas.openxmlformats.org/officeDocument/2006/relationships/hyperlink" Target="https://www.sec.gov/Archives/edgar/data/1782303/000119312524084736/d796750dex31.htm" TargetMode="External"/><Relationship Id="rId172" Type="http://schemas.openxmlformats.org/officeDocument/2006/relationships/hyperlink" Target="https://www.sec.gov/Archives/edgar/data/1782303/000119312524084736/d796750dex32.htm" TargetMode="External"/><Relationship Id="rId173" Type="http://schemas.openxmlformats.org/officeDocument/2006/relationships/hyperlink" Target="https://www.sec.gov/Archives/edgar/data/1782303/000119312524073230/d493037dex41.htm" TargetMode="External"/><Relationship Id="rId174" Type="http://schemas.openxmlformats.org/officeDocument/2006/relationships/hyperlink" Target="https://www.sec.gov/Archives/edgar/data/1782303/000119312524060708/d493037dex42.htm" TargetMode="External"/><Relationship Id="rId175" Type="http://schemas.openxmlformats.org/officeDocument/2006/relationships/hyperlink" Target="https://www.sec.gov/Archives/edgar/data/1782303/000095017025045725/bold-ex4_3.htm" TargetMode="External"/><Relationship Id="rId176" Type="http://schemas.openxmlformats.org/officeDocument/2006/relationships/hyperlink" Target="https://www.sec.gov/Archives/edgar/data/1782303/000119312524060708/d493037dex101.htm" TargetMode="External"/><Relationship Id="rId177" Type="http://schemas.openxmlformats.org/officeDocument/2006/relationships/hyperlink" Target="https://www.sec.gov/Archives/edgar/data/1782303/000119312524073230/d493037dex102.htm" TargetMode="External"/><Relationship Id="rId178" Type="http://schemas.openxmlformats.org/officeDocument/2006/relationships/hyperlink" Target="https://www.sec.gov/Archives/edgar/data/1782303/000119312524073230/d493037dex103.htm" TargetMode="External"/><Relationship Id="rId179" Type="http://schemas.openxmlformats.org/officeDocument/2006/relationships/hyperlink" Target="https://www.sec.gov/Archives/edgar/data/1782303/000095017025067496/bold-ex10_1.htm" TargetMode="External"/><Relationship Id="rId180" Type="http://schemas.openxmlformats.org/officeDocument/2006/relationships/hyperlink" Target="https://www.sec.gov/Archives/edgar/data/1782303/000119312524060708/d493037dex106.htm" TargetMode="External"/><Relationship Id="rId181" Type="http://schemas.openxmlformats.org/officeDocument/2006/relationships/hyperlink" Target="https://www.sec.gov/Archives/edgar/data/1782303/000119312524060708/d493037dex1012.htm" TargetMode="External"/><Relationship Id="rId182" Type="http://schemas.openxmlformats.org/officeDocument/2006/relationships/hyperlink" Target="https://www.sec.gov/Archives/edgar/data/1782303/000119312524060708/d493037dex1016.htm" TargetMode="External"/><Relationship Id="rId183" Type="http://schemas.openxmlformats.org/officeDocument/2006/relationships/hyperlink" Target="https://www.sec.gov/Archives/edgar/data/1782303/000095017025045725/bold-ex10_8.htm" TargetMode="External"/><Relationship Id="rId184" Type="http://schemas.openxmlformats.org/officeDocument/2006/relationships/hyperlink" Target="https://www.sec.gov/Archives/edgar/data/1782303/000095017025045725/bold-ex10_9.htm" TargetMode="External"/><Relationship Id="rId185" Type="http://schemas.openxmlformats.org/officeDocument/2006/relationships/hyperlink" Target="https://www.sec.gov/Archives/edgar/data/1782303/000119312524060708/d493037dex1017.htm" TargetMode="External"/><Relationship Id="rId186" Type="http://schemas.openxmlformats.org/officeDocument/2006/relationships/hyperlink" Target="https://www.sec.gov/Archives/edgar/data/1782303/000119312524060708/d493037dex1018.htm" TargetMode="External"/><Relationship Id="rId187" Type="http://schemas.openxmlformats.org/officeDocument/2006/relationships/hyperlink" Target="https://www.sec.gov/Archives/edgar/data/1782303/000119312524073230/d493037dex1019.htm" TargetMode="External"/><Relationship Id="rId188" Type="http://schemas.openxmlformats.org/officeDocument/2006/relationships/hyperlink" Target="https://www.sec.gov/Archives/edgar/data/1782303/000095017025067496/bold-ex10_3a.htm" TargetMode="External"/><Relationship Id="rId189" Type="http://schemas.openxmlformats.org/officeDocument/2006/relationships/hyperlink" Target="https://www.sec.gov/Archives/edgar/data/1782303/000095017025067496/bold-ex10_3b.htm" TargetMode="External"/><Relationship Id="rId190" Type="http://schemas.openxmlformats.org/officeDocument/2006/relationships/hyperlink" Target="https://www.sec.gov/Archives/edgar/data/1782303/000095017025045725/bold-ex19_1.htm" TargetMode="External"/><Relationship Id="rId192" Type="http://schemas.openxmlformats.org/officeDocument/2006/relationships/hyperlink" Target="https://www.sec.gov/Archives/edgar/data/1782303/000119312524060708/d493037d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2026-03-09T06:16:57Z</dcterms:created>
  <dcterms:modified xsi:type="dcterms:W3CDTF">2026-03-09T06:16:57Z</dcterms:modified>
</cp:coreProperties>
</file>