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Boundless 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700" w:type="dxa"/>
        <w:tblCellMar>
          <w:top w:w="0" w:type="dxa"/>
          <w:left w:w="0" w:type="dxa"/>
          <w:bottom w:w="0" w:type="dxa"/>
          <w:right w:w="0" w:type="dxa"/>
        </w:tblCellMar>
      </w:tblPr>
      <w:tr>
        <w:trPr>
          <w:trHeight w:val="222"/>
        </w:trPr>
        <w:tc>
          <w:tcPr>
            <w:tcW w:w="370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001-41989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83-0751369</w:t>
            </w:r>
          </w:p>
        </w:tc>
      </w:tr>
      <w:tr>
        <w:trPr>
          <w:trHeight w:val="149"/>
        </w:trPr>
        <w:tc>
          <w:tcPr>
            <w:tcW w:w="370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02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70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0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70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11099 North Torrey Pines Road, Suite 150</w:t>
            </w:r>
          </w:p>
        </w:tc>
        <w:tc>
          <w:tcPr>
            <w:tcW w:w="30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700" w:type="dxa"/>
            <w:vAlign w:val="bottom"/>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La Jolla, California</w:t>
            </w:r>
          </w:p>
        </w:tc>
        <w:tc>
          <w:tcPr>
            <w:tcW w:w="30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92037</w:t>
            </w:r>
          </w:p>
        </w:tc>
      </w:tr>
      <w:tr>
        <w:trPr>
          <w:trHeight w:val="178"/>
        </w:trPr>
        <w:tc>
          <w:tcPr>
            <w:tcW w:w="370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0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766-9912</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10955 Alexandria Way,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BOLD</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At the annual meeting of stockholders of Boundless Bio, Inc. (the Company) held on June 15, 2026 (the Meeting), two proposals were voted upon by the Company’s stockholders. The proposals are described in detail in the Company’s definitive proxy statement for the Meeting filed with the U.S. Securities and Exchange Commission on April 28, 2026. Below is a brief description of, and the final results of the votes for, each proposal.</w:t>
      </w:r>
    </w:p>
    <w:p>
      <w:pPr>
        <w:spacing w:after="0" w:line="17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Each of the director nominees was elected as a Class II director to hold office until the Company’s 2029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and until their respective successor is duly elected and qualified, by the votes set forth below.</w:t>
      </w:r>
    </w:p>
    <w:p>
      <w:pPr>
        <w:spacing w:after="0" w:line="132" w:lineRule="exact"/>
        <w:rPr>
          <w:sz w:val="20"/>
          <w:szCs w:val="20"/>
          <w:color w:val="auto"/>
        </w:rPr>
      </w:pPr>
    </w:p>
    <w:tbl>
      <w:tblPr>
        <w:tblLayout w:type="fixed"/>
        <w:tblInd w:w="760" w:type="dxa"/>
        <w:tblCellMar>
          <w:top w:w="0" w:type="dxa"/>
          <w:left w:w="0" w:type="dxa"/>
          <w:bottom w:w="0" w:type="dxa"/>
          <w:right w:w="0" w:type="dxa"/>
        </w:tblCellMar>
      </w:tblPr>
      <w:tr>
        <w:trPr>
          <w:trHeight w:val="309"/>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Nominee</w:t>
            </w:r>
          </w:p>
        </w:tc>
        <w:tc>
          <w:tcPr>
            <w:tcW w:w="200" w:type="dxa"/>
            <w:vAlign w:val="bottom"/>
          </w:tcPr>
          <w:p>
            <w:pPr>
              <w:spacing w:after="0"/>
              <w:rPr>
                <w:sz w:val="24"/>
                <w:szCs w:val="24"/>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Votes For</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Votes Withheld</w:t>
            </w:r>
          </w:p>
        </w:tc>
        <w:tc>
          <w:tcPr>
            <w:tcW w:w="260" w:type="dxa"/>
            <w:vAlign w:val="bottom"/>
          </w:tcPr>
          <w:p>
            <w:pPr>
              <w:spacing w:after="0"/>
              <w:rPr>
                <w:sz w:val="24"/>
                <w:szCs w:val="24"/>
                <w:color w:val="auto"/>
              </w:rPr>
            </w:pPr>
          </w:p>
        </w:tc>
        <w:tc>
          <w:tcPr>
            <w:tcW w:w="142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i w:val="1"/>
                <w:iCs w:val="1"/>
                <w:color w:val="auto"/>
              </w:rPr>
              <w:t>Broker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Votes</w:t>
            </w:r>
          </w:p>
        </w:tc>
        <w:tc>
          <w:tcPr>
            <w:tcW w:w="100" w:type="dxa"/>
            <w:vAlign w:val="bottom"/>
          </w:tcPr>
          <w:p>
            <w:pPr>
              <w:spacing w:after="0"/>
              <w:rPr>
                <w:sz w:val="24"/>
                <w:szCs w:val="24"/>
                <w:color w:val="auto"/>
              </w:rPr>
            </w:pPr>
          </w:p>
        </w:tc>
      </w:tr>
      <w:tr>
        <w:trPr>
          <w:trHeight w:val="216"/>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Christensen, Ph.D.</w:t>
            </w:r>
          </w:p>
        </w:tc>
        <w:tc>
          <w:tcPr>
            <w:tcW w:w="1640" w:type="dxa"/>
            <w:vAlign w:val="bottom"/>
            <w:tcBorders>
              <w:top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9,287,096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512,585</w:t>
            </w:r>
          </w:p>
        </w:tc>
        <w:tc>
          <w:tcPr>
            <w:tcW w:w="1680" w:type="dxa"/>
            <w:vAlign w:val="bottom"/>
            <w:tcBorders>
              <w:top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5,757,105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Jennifer Lew</w:t>
            </w:r>
          </w:p>
        </w:tc>
        <w:tc>
          <w:tcPr>
            <w:tcW w:w="1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9,271,084</w:t>
            </w:r>
          </w:p>
        </w:tc>
        <w:tc>
          <w:tcPr>
            <w:tcW w:w="17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528,597</w:t>
            </w:r>
          </w:p>
        </w:tc>
        <w:tc>
          <w:tcPr>
            <w:tcW w:w="16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5,757,105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-302260</wp:posOffset>
            </wp:positionV>
            <wp:extent cx="1117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760" cy="17145"/>
                    </a:xfrm>
                    <a:prstGeom prst="rect">
                      <a:avLst/>
                    </a:prstGeom>
                    <a:noFill/>
                  </pic:spPr>
                </pic:pic>
              </a:graphicData>
            </a:graphic>
          </wp:anchor>
        </w:drawing>
      </w:r>
    </w:p>
    <w:p>
      <w:pPr>
        <w:spacing w:after="0" w:line="371" w:lineRule="exact"/>
        <w:rPr>
          <w:sz w:val="20"/>
          <w:szCs w:val="20"/>
          <w:color w:val="auto"/>
        </w:rPr>
      </w:pPr>
    </w:p>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The Company’s stockholders ratified the appointment of KPMG LLP as the Company’s independent registered public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for the fiscal year ending December 31, 2026 by the votes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0" w:type="dxa"/>
            <w:vAlign w:val="bottom"/>
          </w:tcPr>
          <w:p>
            <w:pPr>
              <w:spacing w:after="0"/>
              <w:rPr>
                <w:sz w:val="23"/>
                <w:szCs w:val="23"/>
                <w:color w:val="auto"/>
              </w:rPr>
            </w:pPr>
          </w:p>
        </w:tc>
        <w:tc>
          <w:tcPr>
            <w:tcW w:w="21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i w:val="1"/>
                <w:iCs w:val="1"/>
                <w:color w:val="auto"/>
              </w:rPr>
              <w:t>Votes For</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Votes Against</w:t>
            </w:r>
          </w:p>
        </w:tc>
        <w:tc>
          <w:tcPr>
            <w:tcW w:w="280" w:type="dxa"/>
            <w:vAlign w:val="bottom"/>
          </w:tcPr>
          <w:p>
            <w:pPr>
              <w:spacing w:after="0"/>
              <w:rPr>
                <w:sz w:val="23"/>
                <w:szCs w:val="23"/>
                <w:color w:val="auto"/>
              </w:rPr>
            </w:pPr>
          </w:p>
        </w:tc>
        <w:tc>
          <w:tcPr>
            <w:tcW w:w="2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i w:val="1"/>
                <w:iCs w:val="1"/>
                <w:color w:val="auto"/>
              </w:rPr>
              <w:t>Abstentions</w:t>
            </w:r>
          </w:p>
        </w:tc>
        <w:tc>
          <w:tcPr>
            <w:tcW w:w="280" w:type="dxa"/>
            <w:vAlign w:val="bottom"/>
          </w:tcPr>
          <w:p>
            <w:pPr>
              <w:spacing w:after="0"/>
              <w:rPr>
                <w:sz w:val="23"/>
                <w:szCs w:val="23"/>
                <w:color w:val="auto"/>
              </w:rPr>
            </w:pPr>
          </w:p>
        </w:tc>
        <w:tc>
          <w:tcPr>
            <w:tcW w:w="22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i w:val="1"/>
                <w:iCs w:val="1"/>
                <w:color w:val="auto"/>
              </w:rPr>
              <w:t>Broker Non-Votes</w:t>
            </w:r>
          </w:p>
        </w:tc>
        <w:tc>
          <w:tcPr>
            <w:tcW w:w="1040" w:type="dxa"/>
            <w:vAlign w:val="bottom"/>
            <w:gridSpan w:val="2"/>
          </w:tcPr>
          <w:p>
            <w:pPr>
              <w:spacing w:after="0"/>
              <w:rPr>
                <w:sz w:val="23"/>
                <w:szCs w:val="23"/>
                <w:color w:val="auto"/>
              </w:rPr>
            </w:pPr>
          </w:p>
        </w:tc>
      </w:tr>
      <w:tr>
        <w:trPr>
          <w:trHeight w:val="216"/>
        </w:trPr>
        <w:tc>
          <w:tcPr>
            <w:tcW w:w="760" w:type="dxa"/>
            <w:vAlign w:val="bottom"/>
          </w:tcPr>
          <w:p>
            <w:pPr>
              <w:spacing w:after="0"/>
              <w:rPr>
                <w:sz w:val="18"/>
                <w:szCs w:val="18"/>
                <w:color w:val="auto"/>
              </w:rPr>
            </w:pPr>
          </w:p>
        </w:tc>
        <w:tc>
          <w:tcPr>
            <w:tcW w:w="2100" w:type="dxa"/>
            <w:vAlign w:val="bottom"/>
            <w:tcBorders>
              <w:top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15,376,973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127,747</w:t>
            </w:r>
          </w:p>
        </w:tc>
        <w:tc>
          <w:tcPr>
            <w:tcW w:w="2380" w:type="dxa"/>
            <w:vAlign w:val="bottom"/>
            <w:tcBorders>
              <w:top w:val="single" w:sz="8" w:color="CCEEFF"/>
            </w:tcBorders>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52,066</w:t>
            </w:r>
          </w:p>
        </w:tc>
        <w:tc>
          <w:tcPr>
            <w:tcW w:w="28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r>
      <w:tr>
        <w:trPr>
          <w:trHeight w:val="979"/>
        </w:trPr>
        <w:tc>
          <w:tcPr>
            <w:tcW w:w="7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-788035</wp:posOffset>
            </wp:positionV>
            <wp:extent cx="1200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015"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17, 2026</w:t>
      </w:r>
      <w:r>
        <w:rPr>
          <w:sz w:val="20"/>
          <w:szCs w:val="20"/>
          <w:color w:val="auto"/>
        </w:rPr>
        <w:tab/>
      </w:r>
      <w:r>
        <w:rPr>
          <w:rFonts w:ascii="Times New Roman" w:cs="Times New Roman" w:eastAsia="Times New Roman" w:hAnsi="Times New Roman"/>
          <w:sz w:val="18"/>
          <w:szCs w:val="18"/>
          <w:color w:val="auto"/>
        </w:rPr>
        <w:t>By:</w:t>
        <w:tab/>
        <w:t>/s/ Jessica Oien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Jessica Oien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2026-06-17T09:50:11Z</dcterms:created>
  <dcterms:modified xsi:type="dcterms:W3CDTF">2026-06-17T09:50:11Z</dcterms:modified>
</cp:coreProperties>
</file>