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Boundless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2,533,845.00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2,533,845.00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2,533,845.00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Tang Capital Management, LLC ("TCM") shares voting and dispositive power 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with Tang Capital Partners, LP ("TCP"), Tang Capital Partners International, LP ("TCPI"), Tang Capital Partners III, Inc. ("TCP III"), Tang Capital Partners IV, Inc. ("TCP IV") and Kevin Tang. The percentages used herein are based on 22,474,777 shares of Common Stock outstanding as of June 15, 2026, as set forth in the Current Report filed on Form 8-K that was filed with the Securities and Exchange Commission on June 23,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2,533,845.00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2,533,845.00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2,533,845.00</w:t>
      </w:r>
    </w:p>
    <w:p>
      <w:pPr>
        <w:sectPr>
          <w:pgSz w:w="11900" w:h="16838" w:orient="portrait"/>
          <w:cols w:equalWidth="0" w:num="1">
            <w:col w:w="11120"/>
          </w:cols>
          <w:pgMar w:left="320" w:top="102" w:right="45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TCPI,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TCP III, TCP IV and 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80"/>
          </w:cols>
          <w:pgMar w:left="320" w:top="111"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580,669.00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580,669.00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980"/>
          </w:cols>
          <w:pgMar w:left="320" w:top="111"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80"/>
          </w:cols>
          <w:pgMar w:left="320" w:top="111" w:right="59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860"/>
          </w:cols>
          <w:pgMar w:left="320" w:top="189" w:right="7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791,839.00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791,839.00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791,839.00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9" w:orient="portrait"/>
          <w:cols w:equalWidth="0" w:num="2">
            <w:col w:w="1100" w:space="60"/>
            <w:col w:w="9700"/>
          </w:cols>
          <w:pgMar w:left="320" w:top="189" w:right="7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860"/>
          </w:cols>
          <w:pgMar w:left="320" w:top="189" w:right="719" w:bottom="0" w:gutter="0" w:footer="0" w:header="0"/>
          <w:type w:val="continuous"/>
        </w:sectPr>
      </w:pPr>
    </w:p>
    <w:bookmarkStart w:id="4" w:name="page5"/>
    <w:bookmarkEnd w:id="4"/>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580,668.00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580,668.00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00"/>
          </w:cols>
          <w:pgMar w:left="320" w:top="112" w:right="5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III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1060"/>
          </w:cols>
          <w:pgMar w:left="320" w:top="112" w:right="51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580,669.00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580,669.00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9900"/>
          </w:cols>
          <w:pgMar w:left="320" w:top="112" w:right="51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IV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Boundless 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11099 North Torrey Pines Road, Suite 150, La Jolla, CA, 92037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060"/>
          </w:cols>
          <w:pgMar w:left="320" w:top="612" w:right="519" w:bottom="0" w:gutter="0" w:footer="0" w:header="0"/>
        </w:sectPr>
      </w:pP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1"/>
          <w:szCs w:val="21"/>
          <w:color w:val="auto"/>
        </w:rPr>
        <w:t>This Statement on Schedule 13G (this "Statement") is filed by TCM, the general partner of TCP and TCPI; Kevin Tang, the manager of TCM and Chief Executive Officer of TCP III and TCP IV; TCP; TCPI; TCP III; and TCP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address of TCM, Kevin Tang, TCP and TCPI is 4747 Executive Drive, Suite 210, San Diego, CA 92121. The address of TCP III and TCP IV is 400 S. 4th Street, 3rd Floor, Las Vegas, NV 89101.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21"/>
          <w:szCs w:val="21"/>
          <w:color w:val="auto"/>
        </w:rPr>
        <w:t>TCM is a Delaware limited liability company. Mr. Tang is a United States citizen. TCP and TCPI are Delaware limited partnerships. TCP III and TCP IV are Nevada corporations that are indirectly wholly owned by TCP.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100"/>
          </w:cols>
          <w:pgMar w:left="320" w:top="612" w:right="519" w:bottom="0" w:gutter="0" w:footer="0" w:header="0"/>
          <w:type w:val="continuous"/>
        </w:sectPr>
      </w:pPr>
    </w:p>
    <w:p>
      <w:pPr>
        <w:ind w:left="960" w:right="5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2,533,845</w:t>
      </w:r>
    </w:p>
    <w:p>
      <w:pPr>
        <w:sectPr>
          <w:pgSz w:w="11900" w:h="16838" w:orient="portrait"/>
          <w:cols w:equalWidth="0" w:num="1">
            <w:col w:w="11060"/>
          </w:cols>
          <w:pgMar w:left="320" w:top="612" w:right="519" w:bottom="0" w:gutter="0" w:footer="0" w:header="0"/>
          <w:type w:val="continuous"/>
        </w:sectPr>
      </w:pPr>
    </w:p>
    <w:bookmarkStart w:id="6" w:name="page7"/>
    <w:bookmarkEnd w:id="6"/>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11.3 %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2,533,845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2,533,845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ectPr>
          <w:pgSz w:w="11900" w:h="16838" w:orient="portrait"/>
          <w:cols w:equalWidth="0" w:num="1">
            <w:col w:w="11140"/>
          </w:cols>
          <w:pgMar w:left="360" w:top="111" w:right="399" w:bottom="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Name/Title: Manager, Tang Capital Management, LLC,</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ectPr>
          <w:pgSz w:w="11900" w:h="16838" w:orient="portrait"/>
          <w:cols w:equalWidth="0" w:num="1">
            <w:col w:w="9400"/>
          </w:cols>
          <w:pgMar w:left="1440" w:top="111" w:right="10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firstLine="549"/>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par value $0.0001 per share, of Boundless Bio,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92"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7"/>
          <w:szCs w:val="17"/>
          <w:b w:val="1"/>
          <w:bCs w:val="1"/>
          <w:color w:val="auto"/>
        </w:rPr>
        <w:t>TANG CAPITAL PARTNERS, LP</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Tang Capital Management, LLC</w:t>
      </w:r>
    </w:p>
    <w:p>
      <w:pPr>
        <w:spacing w:after="0" w:line="27"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3" w:lineRule="exact"/>
        <w:rPr>
          <w:sz w:val="20"/>
          <w:szCs w:val="20"/>
          <w:color w:val="auto"/>
        </w:rPr>
      </w:pPr>
    </w:p>
    <w:p>
      <w:pPr>
        <w:jc w:val="center"/>
        <w:ind w:left="50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TANG CAPITAL PARTNERS INTERNATIONAL, LP</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Tang Capital Management, LLC</w:t>
      </w:r>
    </w:p>
    <w:p>
      <w:pPr>
        <w:spacing w:after="0" w:line="27"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3" w:lineRule="exact"/>
        <w:rPr>
          <w:sz w:val="20"/>
          <w:szCs w:val="20"/>
          <w:color w:val="auto"/>
        </w:rPr>
      </w:pPr>
    </w:p>
    <w:p>
      <w:pPr>
        <w:jc w:val="center"/>
        <w:ind w:left="50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3" w:lineRule="exact"/>
        <w:rPr>
          <w:sz w:val="20"/>
          <w:szCs w:val="20"/>
          <w:color w:val="auto"/>
        </w:rPr>
      </w:pPr>
    </w:p>
    <w:p>
      <w:pPr>
        <w:ind w:left="506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3" w:lineRule="exact"/>
        <w:rPr>
          <w:sz w:val="20"/>
          <w:szCs w:val="20"/>
          <w:color w:val="auto"/>
        </w:rPr>
      </w:pPr>
    </w:p>
    <w:p>
      <w:pPr>
        <w:ind w:left="506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p>
      <w:pPr>
        <w:spacing w:after="0" w:line="229"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3583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2026-06-29T18:59:15Z</dcterms:created>
  <dcterms:modified xsi:type="dcterms:W3CDTF">2026-06-29T18:59:15Z</dcterms:modified>
</cp:coreProperties>
</file>