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282026_080804.xml.htm"/>
      <w:bookmarkStart w:id="1" w:name="ksform408282026_08080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TANG KEVIN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4747 EXECUTIVE DRIVE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Boundless Bio, Inc.</w:t>
              </w:r>
            </w:hyperlink>
            <w:r>
              <w:rPr/>
              <w:t xml:space="preserve"> [ </w:t>
            </w:r>
            <w:r>
              <w:rPr>
                <w:rFonts w:ascii="Times;serif" w:hAnsi="Times;serif"/>
                <w:color w:val="0000FF"/>
                <w:sz w:val="24"/>
                <w:shd w:fill="FFFFFF" w:val="clear"/>
              </w:rPr>
              <w:t>BOLD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15"/>
        <w:gridCol w:w="904"/>
        <w:gridCol w:w="774"/>
        <w:gridCol w:w="600"/>
        <w:gridCol w:w="343"/>
        <w:gridCol w:w="917"/>
        <w:gridCol w:w="439"/>
        <w:gridCol w:w="702"/>
        <w:gridCol w:w="1260"/>
        <w:gridCol w:w="979"/>
        <w:gridCol w:w="107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08/26/2026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18,300</w:t>
            </w:r>
          </w:p>
        </w:tc>
        <w:tc>
          <w:tcPr>
            <w:tcW w:w="4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2.97</w:t>
            </w:r>
            <w:r>
              <w:rPr>
                <w:rFonts w:ascii="Times;serif" w:hAnsi="Times;serif"/>
                <w:color w:val="008000"/>
                <w:position w:val="7"/>
                <w:sz w:val="16"/>
                <w:sz w:val="20"/>
                <w:shd w:fill="FFFFFF" w:val="clear"/>
              </w:rPr>
              <w:t>(2)</w:t>
            </w:r>
          </w:p>
        </w:tc>
        <w:tc>
          <w:tcPr>
            <w:tcW w:w="12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2,840,635</w:t>
            </w:r>
          </w:p>
        </w:tc>
        <w:tc>
          <w:tcPr>
            <w:tcW w:w="9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TANG KEVIN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4747 EXECUTIVE DRIVE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TANG CAPITAL MANAGEMENT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4747 EXECUTIVE DRIVE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Persons have delivered to the Issuer the full amount of the disgorgeable profit arising the sale reported herein, in the amount of $10,046.70.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herein is a weighted-average price. These shares were sold in multiple transactions at prices ranging from $2.90 to $3.03. The Reporting Persons undertake to provide the Issuer, any security holder of the Issuer or the SEC staff, upon request, all information regarding the number of shares sold at each price within the range set forth in Footnote 2.</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Tang Capital Partners, LP ("TCP") beneficially owns 655,170 shares, Tang Capital Partners International, LP ("TCPI") beneficially owns 887,715 shares, Tang Capital Partners III, Inc. ("TCP III") beneficially owns 655,161 shares, and Tang Capital Partners IV, Inc. ("TCP IV") beneficially owns 642,589 shares. Kevin Tang is the sole manager of Tang Capital Management, LLC, which is the general partner of TCP and TCPI. Kevin Tang is the sole director and Chief Executive Officer of TCP III and TCP IV, which are indirectly wholly owned by TCP. Mr. Tang has a pecuniary interest in the shares beneficially held by TCP, TCPI, TCP III and TCP IV.</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Kevin Tang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Kevin Tang, Manager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78579" TargetMode="External"/><Relationship Id="rId5" Type="http://schemas.openxmlformats.org/officeDocument/2006/relationships/hyperlink" Target="http://www.sec.gov/cgi-bin/browse-edgar?action=getcompany&amp;CIK=000178230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178579" TargetMode="External"/><Relationship Id="rId9" Type="http://schemas.openxmlformats.org/officeDocument/2006/relationships/hyperlink" Target="http://www.sec.gov/cgi-bin/browse-edgar?action=getcompany&amp;CIK=0001232621"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810</Words>
  <Characters>4343</Characters>
  <CharactersWithSpaces>5053</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