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8148ds4.htm"/>
        <w:bookmarkStart w:id="1" w:name="ksd108148ds4"/>
        <w:bookmarkEnd w:id="0"/>
        <w:bookmarkEnd w:id="1"/>
        <w:r>
          <w:rPr>
            <w:rStyle w:val="InternetLink"/>
            <w:b/>
            <w:sz w:val="20"/>
          </w:rPr>
          <w:t>Table of Contents</w:t>
        </w:r>
      </w:hyperlink>
    </w:p>
    <w:p>
      <w:pPr>
        <w:pStyle w:val="TextBody"/>
        <w:bidi w:val="0"/>
        <w:spacing w:before="0" w:after="0"/>
        <w:jc w:val="center"/>
        <w:rPr>
          <w:rFonts w:ascii="Times New Roman" w:hAnsi="Times New Roman"/>
          <w:b/>
          <w:spacing w:val="0"/>
          <w:sz w:val="18"/>
        </w:rPr>
      </w:pPr>
      <w:r>
        <w:rPr>
          <w:rFonts w:ascii="Times New Roman" w:hAnsi="Times New Roman"/>
          <w:b/>
          <w:spacing w:val="0"/>
          <w:sz w:val="18"/>
        </w:rPr>
        <w:t xml:space="preserve">As filed with the Securities and Exchange Commission on October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8</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 xml:space="preserve">, 2026. </w:t>
      </w:r>
    </w:p>
    <w:p>
      <w:pPr>
        <w:pStyle w:val="TextBody"/>
        <w:bidi w:val="0"/>
        <w:spacing w:before="120" w:after="0"/>
        <w:jc w:val="right"/>
        <w:rPr>
          <w:rFonts w:ascii="Times New Roman" w:hAnsi="Times New Roman"/>
          <w:b/>
          <w:sz w:val="18"/>
        </w:rPr>
      </w:pPr>
      <w:r>
        <w:rPr>
          <w:rFonts w:ascii="Times New Roman" w:hAnsi="Times New Roman"/>
          <w:b/>
          <w:sz w:val="18"/>
        </w:rPr>
        <w:t xml:space="preserve">Registration </w:t>
      </w:r>
    </w:p>
    <w:p>
      <w:pPr>
        <w:pStyle w:val="TextBody"/>
        <w:bidi w:val="0"/>
        <w:spacing w:before="120" w:after="0"/>
        <w:jc w:val="right"/>
        <w:rPr>
          <w:rFonts w:ascii="Times New Roman" w:hAnsi="Times New Roman"/>
          <w:b/>
          <w:spacing w:val="0"/>
          <w:sz w:val="18"/>
        </w:rPr>
      </w:pPr>
      <w:r>
        <w:rPr>
          <w:rFonts w:ascii="Times New Roman" w:hAnsi="Times New Roman"/>
          <w:b/>
          <w:spacing w:val="0"/>
          <w:sz w:val="18"/>
        </w:rPr>
        <w:t>No. 333-</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EXCHANGE </w:t>
      </w:r>
    </w:p>
    <w:p>
      <w:pPr>
        <w:pStyle w:val="TextBody"/>
        <w:bidi w:val="0"/>
        <w:spacing w:before="0" w:after="0"/>
        <w:jc w:val="center"/>
        <w:rPr>
          <w:rFonts w:ascii="Times New Roman" w:hAnsi="Times New Roman"/>
          <w:b/>
          <w:sz w:val="36"/>
        </w:rPr>
      </w:pPr>
      <w:r>
        <w:rPr>
          <w:rFonts w:ascii="Times New Roman" w:hAnsi="Times New Roman"/>
          <w:b/>
          <w:sz w:val="36"/>
        </w:rPr>
        <w:t xml:space="preserve">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pacing w:val="0"/>
          <w:sz w:val="36"/>
        </w:rPr>
      </w:pPr>
      <w:r>
        <w:rPr>
          <w:rFonts w:ascii="Times New Roman" w:hAnsi="Times New Roman"/>
          <w:b/>
          <w:spacing w:val="0"/>
          <w:sz w:val="36"/>
        </w:rPr>
        <w:t>FORM S-4</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REGISTRATION STATEMENT </w:t>
      </w:r>
    </w:p>
    <w:p>
      <w:pPr>
        <w:pStyle w:val="TextBody"/>
        <w:bidi w:val="0"/>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bidi w:val="0"/>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BOUNDLESS BIO,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8745" w:type="dxa"/>
        <w:jc w:val="left"/>
        <w:tblInd w:w="0" w:type="dxa"/>
        <w:tblLayout w:type="fixed"/>
        <w:tblCellMar>
          <w:top w:w="0" w:type="dxa"/>
          <w:left w:w="0" w:type="dxa"/>
          <w:bottom w:w="0" w:type="dxa"/>
          <w:right w:w="0" w:type="dxa"/>
        </w:tblCellMar>
      </w:tblPr>
      <w:tblGrid>
        <w:gridCol w:w="3215"/>
        <w:gridCol w:w="60"/>
        <w:gridCol w:w="3035"/>
        <w:gridCol w:w="60"/>
        <w:gridCol w:w="2375"/>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2834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center"/>
              <w:rPr>
                <w:b/>
                <w:spacing w:val="0"/>
              </w:rPr>
            </w:pPr>
            <w:r>
              <w:rPr>
                <w:b/>
                <w:spacing w:val="0"/>
              </w:rPr>
              <w:t>83-0751369</w:t>
            </w:r>
          </w:p>
        </w:tc>
      </w:tr>
      <w:tr>
        <w:trPr/>
        <w:tc>
          <w:tcPr>
            <w:tcW w:w="3215" w:type="dxa"/>
            <w:tcBorders/>
            <w:vAlign w:val="center"/>
          </w:tcPr>
          <w:p>
            <w:pPr>
              <w:pStyle w:val="TableContents"/>
              <w:bidi w:val="0"/>
              <w:spacing w:before="0" w:after="0"/>
              <w:jc w:val="center"/>
              <w:rPr>
                <w:b/>
                <w:spacing w:val="0"/>
              </w:rPr>
            </w:pPr>
            <w:r>
              <w:rPr>
                <w:b/>
                <w:spacing w:val="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(Primary Standard Industrial</w:t>
              <w:br/>
              <w:t>Classification Code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center"/>
              <w:rPr>
                <w:b/>
                <w:spacing w:val="0"/>
              </w:rPr>
            </w:pPr>
            <w:r>
              <w:rPr>
                <w:b/>
                <w:spacing w:val="0"/>
              </w:rPr>
              <w:t>(I.R.S. Employer</w:t>
              <w:b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11099 North Torrey Pines Road, </w:t>
      </w:r>
    </w:p>
    <w:p>
      <w:pPr>
        <w:pStyle w:val="TextBody"/>
        <w:bidi w:val="0"/>
        <w:spacing w:before="120" w:after="0"/>
        <w:jc w:val="center"/>
        <w:rPr>
          <w:rFonts w:ascii="Times New Roman" w:hAnsi="Times New Roman"/>
          <w:b/>
          <w:sz w:val="18"/>
        </w:rPr>
      </w:pPr>
      <w:r>
        <w:rPr>
          <w:rFonts w:ascii="Times New Roman" w:hAnsi="Times New Roman"/>
          <w:b/>
          <w:sz w:val="18"/>
        </w:rPr>
        <w:t>Suite 150</w:t>
      </w:r>
    </w:p>
    <w:p>
      <w:pPr>
        <w:pStyle w:val="TextBody"/>
        <w:bidi w:val="0"/>
        <w:spacing w:before="0" w:after="0"/>
        <w:jc w:val="center"/>
        <w:rPr>
          <w:rFonts w:ascii="Times New Roman" w:hAnsi="Times New Roman"/>
          <w:b/>
          <w:sz w:val="18"/>
        </w:rPr>
      </w:pPr>
      <w:r>
        <w:rPr>
          <w:rFonts w:ascii="Times New Roman" w:hAnsi="Times New Roman"/>
          <w:b/>
          <w:sz w:val="18"/>
        </w:rPr>
        <w:t>La Jolla, California</w:t>
      </w:r>
    </w:p>
    <w:p>
      <w:pPr>
        <w:pStyle w:val="TextBody"/>
        <w:bidi w:val="0"/>
        <w:spacing w:before="0" w:after="0"/>
        <w:jc w:val="center"/>
        <w:rPr>
          <w:rFonts w:ascii="Times New Roman" w:hAnsi="Times New Roman"/>
          <w:b/>
          <w:sz w:val="18"/>
        </w:rPr>
      </w:pPr>
      <w:r>
        <w:rPr>
          <w:rFonts w:ascii="Times New Roman" w:hAnsi="Times New Roman"/>
          <w:b/>
          <w:sz w:val="18"/>
        </w:rPr>
        <w:t xml:space="preserve">(858)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766-9912</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Jessica Oien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Chief Legal Officer and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Boundless Bio, Inc. </w:t>
      </w:r>
    </w:p>
    <w:p>
      <w:pPr>
        <w:pStyle w:val="TextBody"/>
        <w:bidi w:val="0"/>
        <w:spacing w:before="0" w:after="0"/>
        <w:jc w:val="center"/>
        <w:rPr>
          <w:rFonts w:ascii="Times New Roman" w:hAnsi="Times New Roman"/>
          <w:b/>
          <w:sz w:val="18"/>
        </w:rPr>
      </w:pPr>
      <w:r>
        <w:rPr>
          <w:rFonts w:ascii="Times New Roman" w:hAnsi="Times New Roman"/>
          <w:b/>
          <w:sz w:val="18"/>
        </w:rPr>
        <w:t xml:space="preserve">11099 North Torrey Pines Road, </w:t>
      </w:r>
    </w:p>
    <w:p>
      <w:pPr>
        <w:pStyle w:val="TextBody"/>
        <w:bidi w:val="0"/>
        <w:spacing w:before="0" w:after="0"/>
        <w:jc w:val="center"/>
        <w:rPr>
          <w:rFonts w:ascii="Times New Roman" w:hAnsi="Times New Roman"/>
          <w:b/>
          <w:sz w:val="18"/>
        </w:rPr>
      </w:pPr>
      <w:r>
        <w:rPr>
          <w:rFonts w:ascii="Times New Roman" w:hAnsi="Times New Roman"/>
          <w:b/>
          <w:sz w:val="18"/>
        </w:rPr>
        <w:t>Suite 150</w:t>
      </w:r>
    </w:p>
    <w:p>
      <w:pPr>
        <w:pStyle w:val="TextBody"/>
        <w:bidi w:val="0"/>
        <w:spacing w:before="0" w:after="0"/>
        <w:jc w:val="center"/>
        <w:rPr>
          <w:rFonts w:ascii="Times New Roman" w:hAnsi="Times New Roman"/>
          <w:b/>
          <w:sz w:val="18"/>
        </w:rPr>
      </w:pPr>
      <w:r>
        <w:rPr>
          <w:rFonts w:ascii="Times New Roman" w:hAnsi="Times New Roman"/>
          <w:b/>
          <w:sz w:val="18"/>
        </w:rPr>
        <w:t>La Jolla, California</w:t>
      </w:r>
    </w:p>
    <w:p>
      <w:pPr>
        <w:pStyle w:val="TextBody"/>
        <w:bidi w:val="0"/>
        <w:spacing w:before="0" w:after="0"/>
        <w:jc w:val="center"/>
        <w:rPr>
          <w:rFonts w:ascii="Times New Roman" w:hAnsi="Times New Roman"/>
          <w:b/>
          <w:sz w:val="18"/>
        </w:rPr>
      </w:pPr>
      <w:r>
        <w:rPr>
          <w:rFonts w:ascii="Times New Roman" w:hAnsi="Times New Roman"/>
          <w:b/>
          <w:sz w:val="18"/>
        </w:rPr>
        <w:t xml:space="preserve">(858)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766-9912</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ind w:left="0" w:right="0" w:hanging="0"/>
        <w:jc w:val="center"/>
        <w:rPr>
          <w:rFonts w:ascii="Times New Roman" w:hAnsi="Times New Roman"/>
          <w:b/>
          <w:i/>
          <w:caps w:val="false"/>
          <w:smallCaps w:val="false"/>
          <w:spacing w:val="0"/>
          <w:sz w:val="18"/>
        </w:rPr>
      </w:pPr>
      <w:r>
        <w:rPr>
          <w:rFonts w:ascii="Times New Roman" w:hAnsi="Times New Roman"/>
          <w:b/>
          <w:i/>
          <w:caps w:val="false"/>
          <w:smallCaps w:val="false"/>
          <w:spacing w:val="0"/>
          <w:sz w:val="18"/>
        </w:rPr>
        <w:t xml:space="preserve">Copies to: </w:t>
      </w:r>
    </w:p>
    <w:p>
      <w:pPr>
        <w:pStyle w:val="TextBody"/>
        <w:bidi w:val="0"/>
        <w:spacing w:before="0" w:after="0"/>
        <w:ind w:left="0" w:right="0" w:hanging="0"/>
        <w:jc w:val="left"/>
        <w:rPr>
          <w:spacing w:val="0"/>
        </w:rPr>
      </w:pPr>
      <w:r>
        <w:rPr>
          <w:spacing w:val="0"/>
        </w:rPr>
        <w:t> </w:t>
      </w:r>
    </w:p>
    <w:tbl>
      <w:tblPr>
        <w:tblW w:w="5260" w:type="dxa"/>
        <w:jc w:val="left"/>
        <w:tblInd w:w="0" w:type="dxa"/>
        <w:tblLayout w:type="fixed"/>
        <w:tblCellMar>
          <w:top w:w="0" w:type="dxa"/>
          <w:left w:w="0" w:type="dxa"/>
          <w:bottom w:w="0" w:type="dxa"/>
          <w:right w:w="0" w:type="dxa"/>
        </w:tblCellMar>
      </w:tblPr>
      <w:tblGrid>
        <w:gridCol w:w="2300"/>
        <w:gridCol w:w="60"/>
        <w:gridCol w:w="2900"/>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Daniel Rees</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Matthew T. Bush</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Shannon Cheng</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Latham &amp; Watkins LLP</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650 Town Center Drive</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20th Floor</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Costa Mesa, California 92626</w:t>
            </w:r>
          </w:p>
          <w:p>
            <w:pPr>
              <w:pStyle w:val="TableContents"/>
              <w:bidi w:val="0"/>
              <w:spacing w:before="0" w:after="20"/>
              <w:jc w:val="center"/>
              <w:rPr>
                <w:rFonts w:ascii="Times New Roman" w:hAnsi="Times New Roman"/>
                <w:b/>
                <w:spacing w:val="0"/>
                <w:sz w:val="18"/>
              </w:rPr>
            </w:pPr>
            <w:r>
              <w:rPr>
                <w:rFonts w:ascii="Times New Roman" w:hAnsi="Times New Roman"/>
                <w:b/>
                <w:spacing w:val="0"/>
                <w:sz w:val="18"/>
              </w:rPr>
              <w:t>(714) 540 1235</w:t>
            </w:r>
          </w:p>
        </w:tc>
        <w:tc>
          <w:tcPr>
            <w:tcW w:w="60" w:type="dxa"/>
            <w:tcBorders/>
            <w:vAlign w:val="center"/>
          </w:tcPr>
          <w:p>
            <w:pPr>
              <w:pStyle w:val="TableContents"/>
              <w:bidi w:val="0"/>
              <w:spacing w:before="0" w:after="0"/>
              <w:jc w:val="left"/>
              <w:rPr>
                <w:spacing w:val="0"/>
              </w:rPr>
            </w:pPr>
            <w:r>
              <w:rPr>
                <w:spacing w:val="0"/>
              </w:rPr>
              <w:t> </w:t>
            </w:r>
          </w:p>
        </w:tc>
        <w:tc>
          <w:tcPr>
            <w:tcW w:w="2900" w:type="dxa"/>
            <w:tcBorders/>
            <w:vAlign w:val="center"/>
          </w:tcPr>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Ryan Murr, Esq.</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Branden Berns, Esq.</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Gibson, Dunn &amp; Crutcher LLP</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One Embarcadero Center, Suite 2600</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San Francisco, CA 94111</w:t>
            </w:r>
          </w:p>
          <w:p>
            <w:pPr>
              <w:pStyle w:val="TableContents"/>
              <w:bidi w:val="0"/>
              <w:spacing w:before="0" w:after="20"/>
              <w:jc w:val="center"/>
              <w:rPr>
                <w:rFonts w:ascii="Times New Roman" w:hAnsi="Times New Roman"/>
                <w:b/>
                <w:spacing w:val="0"/>
                <w:sz w:val="18"/>
              </w:rPr>
            </w:pPr>
            <w:r>
              <w:rPr>
                <w:rFonts w:ascii="Times New Roman" w:hAnsi="Times New Roman"/>
                <w:b/>
                <w:spacing w:val="0"/>
                <w:sz w:val="18"/>
              </w:rPr>
              <w:t xml:space="preserve">(415) </w:t>
            </w:r>
          </w:p>
          <w:p>
            <w:pPr>
              <w:pStyle w:val="TableContents"/>
              <w:bidi w:val="0"/>
              <w:spacing w:before="0" w:after="20"/>
              <w:jc w:val="center"/>
              <w:rPr>
                <w:rFonts w:ascii="Times New Roman" w:hAnsi="Times New Roman"/>
                <w:b/>
                <w:spacing w:val="0"/>
                <w:sz w:val="18"/>
              </w:rPr>
            </w:pPr>
            <w:r>
              <w:rPr>
                <w:rFonts w:ascii="Times New Roman" w:hAnsi="Times New Roman"/>
                <w:b/>
                <w:spacing w:val="0"/>
                <w:sz w:val="18"/>
              </w:rPr>
              <w:t>393-8373</w:t>
            </w:r>
          </w:p>
        </w:tc>
      </w:tr>
    </w:tbl>
    <w:p>
      <w:pPr>
        <w:pStyle w:val="TextBody"/>
        <w:bidi w:val="0"/>
        <w:spacing w:before="120" w:after="0"/>
        <w:ind w:left="0" w:right="0" w:hanging="0"/>
        <w:jc w:val="left"/>
        <w:rPr>
          <w:rFonts w:ascii="Times New Roman" w:hAnsi="Times New Roman"/>
          <w:b/>
          <w:spacing w:val="0"/>
          <w:sz w:val="18"/>
        </w:rPr>
      </w:pPr>
      <w:r>
        <w:rPr>
          <w:rFonts w:ascii="Times New Roman" w:hAnsi="Times New Roman"/>
          <w:b/>
          <w:spacing w:val="0"/>
          <w:sz w:val="18"/>
        </w:rPr>
        <w:t>Approximate date of commencement of proposed sale of the securities to the public</w:t>
      </w:r>
    </w:p>
    <w:p>
      <w:pPr>
        <w:pStyle w:val="TextBody"/>
        <w:bidi w:val="0"/>
        <w:spacing w:before="120" w:after="0"/>
        <w:jc w:val="left"/>
        <w:rPr>
          <w:rFonts w:ascii="Times New Roman" w:hAnsi="Times New Roman"/>
          <w:spacing w:val="0"/>
          <w:sz w:val="18"/>
        </w:rPr>
      </w:pPr>
      <w:r>
        <w:rPr>
          <w:rFonts w:ascii="Times New Roman" w:hAnsi="Times New Roman"/>
          <w:spacing w:val="0"/>
          <w:sz w:val="18"/>
        </w:rPr>
        <w:t xml:space="preserve">: 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z w:val="18"/>
        </w:rPr>
      </w:pPr>
      <w:r>
        <w:rPr>
          <w:rFonts w:ascii="Times New Roman" w:hAnsi="Times New Roman"/>
          <w:sz w:val="18"/>
        </w:rPr>
        <w:t>If the securities being registered on this Form are being offered in connection with the formation of a holding company and there is comp</w:t>
      </w:r>
    </w:p>
    <w:p>
      <w:pPr>
        <w:pStyle w:val="TextBody"/>
        <w:bidi w:val="0"/>
        <w:spacing w:before="120" w:after="0"/>
        <w:jc w:val="left"/>
        <w:rPr>
          <w:rFonts w:ascii="Times New Roman" w:hAnsi="Times New Roman"/>
          <w:spacing w:val="0"/>
          <w:sz w:val="18"/>
        </w:rPr>
      </w:pPr>
      <w:r>
        <w:rPr>
          <w:rFonts w:ascii="Times New Roman" w:hAnsi="Times New Roman"/>
          <w:spacing w:val="0"/>
          <w:sz w:val="18"/>
        </w:rPr>
        <w:t>lianc</w:t>
      </w:r>
    </w:p>
    <w:p>
      <w:pPr>
        <w:pStyle w:val="TextBody"/>
        <w:bidi w:val="0"/>
        <w:spacing w:before="120" w:after="0"/>
        <w:jc w:val="left"/>
        <w:rPr>
          <w:rFonts w:ascii="Times New Roman" w:hAnsi="Times New Roman"/>
          <w:sz w:val="18"/>
        </w:rPr>
      </w:pPr>
      <w:r>
        <w:rPr>
          <w:rFonts w:ascii="Times New Roman" w:hAnsi="Times New Roman"/>
          <w:sz w:val="18"/>
        </w:rPr>
        <w:t xml:space="preserve">e with General Instruction G,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w:t>
      </w:r>
    </w:p>
    <w:p>
      <w:pPr>
        <w:pStyle w:val="TextBody"/>
        <w:bidi w:val="0"/>
        <w:spacing w:before="120" w:after="0"/>
        <w:jc w:val="left"/>
        <w:rPr>
          <w:rFonts w:ascii="Times New Roman" w:hAnsi="Times New Roman"/>
          <w:spacing w:val="0"/>
          <w:sz w:val="18"/>
        </w:rPr>
      </w:pPr>
      <w:r>
        <w:rPr>
          <w:rFonts w:ascii="Times New Roman" w:hAnsi="Times New Roman"/>
          <w:spacing w:val="0"/>
          <w:sz w:val="18"/>
        </w:rPr>
        <w:t>post-effective</w:t>
      </w:r>
    </w:p>
    <w:p>
      <w:pPr>
        <w:pStyle w:val="TextBody"/>
        <w:bidi w:val="0"/>
        <w:spacing w:before="120" w:after="0"/>
        <w:jc w:val="left"/>
        <w:rPr>
          <w:rFonts w:ascii="Times New Roman" w:hAnsi="Times New Roman"/>
          <w:sz w:val="18"/>
        </w:rPr>
      </w:pPr>
      <w:r>
        <w:rPr>
          <w:rFonts w:ascii="Times New Roman" w:hAnsi="Times New Roman"/>
          <w:sz w:val="18"/>
        </w:rPr>
        <w:t xml:space="preserve">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w:t>
      </w:r>
    </w:p>
    <w:p>
      <w:pPr>
        <w:pStyle w:val="TextBody"/>
        <w:bidi w:val="0"/>
        <w:spacing w:before="120" w:after="0"/>
        <w:jc w:val="left"/>
        <w:rPr>
          <w:rFonts w:ascii="Times New Roman" w:hAnsi="Times New Roman"/>
          <w:spacing w:val="0"/>
          <w:sz w:val="18"/>
        </w:rPr>
      </w:pPr>
      <w:r>
        <w:rPr>
          <w:rFonts w:ascii="Times New Roman" w:hAnsi="Times New Roman"/>
          <w:spacing w:val="0"/>
          <w:sz w:val="18"/>
        </w:rPr>
        <w:t>non-accelerated</w:t>
      </w:r>
    </w:p>
    <w:p>
      <w:pPr>
        <w:pStyle w:val="TextBody"/>
        <w:bidi w:val="0"/>
        <w:spacing w:before="120" w:after="0"/>
        <w:jc w:val="left"/>
        <w:rPr>
          <w:rFonts w:ascii="Times New Roman" w:hAnsi="Times New Roman"/>
          <w:sz w:val="18"/>
        </w:rPr>
      </w:pPr>
      <w:r>
        <w:rPr>
          <w:rFonts w:ascii="Times New Roman" w:hAnsi="Times New Roman"/>
          <w:sz w:val="18"/>
        </w:rPr>
        <w:t>filer, a sm</w:t>
      </w:r>
    </w:p>
    <w:p>
      <w:pPr>
        <w:pStyle w:val="TextBody"/>
        <w:bidi w:val="0"/>
        <w:spacing w:before="120" w:after="0"/>
        <w:jc w:val="left"/>
        <w:rPr>
          <w:rFonts w:ascii="Times New Roman" w:hAnsi="Times New Roman"/>
          <w:spacing w:val="0"/>
          <w:sz w:val="18"/>
        </w:rPr>
      </w:pPr>
      <w:r>
        <w:rPr>
          <w:rFonts w:ascii="Times New Roman" w:hAnsi="Times New Roman"/>
          <w:spacing w:val="0"/>
          <w:sz w:val="18"/>
        </w:rPr>
        <w:t>alle</w:t>
      </w:r>
    </w:p>
    <w:p>
      <w:pPr>
        <w:pStyle w:val="TextBody"/>
        <w:bidi w:val="0"/>
        <w:spacing w:before="120" w:after="0"/>
        <w:jc w:val="left"/>
        <w:rPr>
          <w:rFonts w:ascii="Times New Roman" w:hAnsi="Times New Roman"/>
          <w:sz w:val="18"/>
        </w:rPr>
      </w:pPr>
      <w:r>
        <w:rPr>
          <w:rFonts w:ascii="Times New Roman" w:hAnsi="Times New Roman"/>
          <w:sz w:val="18"/>
        </w:rPr>
        <w:t xml:space="preserve">r reporting company, or emerging growth company. See the definitions of “large accelerated filer,” “accelerated filer,” “smaller reporting company,” and “emerging growth company” in Rule </w:t>
      </w:r>
    </w:p>
    <w:p>
      <w:pPr>
        <w:pStyle w:val="TextBody"/>
        <w:bidi w:val="0"/>
        <w:spacing w:before="120" w:after="0"/>
        <w:jc w:val="left"/>
        <w:rPr>
          <w:rFonts w:ascii="Times New Roman" w:hAnsi="Times New Roman"/>
          <w:spacing w:val="0"/>
          <w:sz w:val="18"/>
        </w:rPr>
      </w:pPr>
      <w:r>
        <w:rPr>
          <w:rFonts w:ascii="Times New Roman" w:hAnsi="Times New Roman"/>
          <w:spacing w:val="0"/>
          <w:sz w:val="18"/>
        </w:rPr>
        <w:t>12b-2</w:t>
      </w:r>
    </w:p>
    <w:p>
      <w:pPr>
        <w:pStyle w:val="TextBody"/>
        <w:bidi w:val="0"/>
        <w:spacing w:before="120" w:after="0"/>
        <w:jc w:val="left"/>
        <w:rPr>
          <w:rFonts w:ascii="Times New Roman" w:hAnsi="Times New Roman"/>
          <w:sz w:val="18"/>
        </w:rPr>
      </w:pPr>
      <w:r>
        <w:rPr>
          <w:rFonts w:ascii="Times New Roman" w:hAnsi="Times New Roman"/>
          <w:sz w:val="18"/>
        </w:rPr>
        <w:t>of t</w:t>
      </w:r>
    </w:p>
    <w:p>
      <w:pPr>
        <w:pStyle w:val="TextBody"/>
        <w:bidi w:val="0"/>
        <w:spacing w:before="120" w:after="0"/>
        <w:jc w:val="left"/>
        <w:rPr>
          <w:rFonts w:ascii="Times New Roman" w:hAnsi="Times New Roman"/>
          <w:spacing w:val="0"/>
          <w:sz w:val="18"/>
        </w:rPr>
      </w:pPr>
      <w:r>
        <w:rPr>
          <w:rFonts w:ascii="Times New Roman" w:hAnsi="Times New Roman"/>
          <w:spacing w:val="0"/>
          <w:sz w:val="18"/>
        </w:rPr>
        <w:t>he</w:t>
      </w:r>
    </w:p>
    <w:p>
      <w:pPr>
        <w:pStyle w:val="TextBody"/>
        <w:bidi w:val="0"/>
        <w:spacing w:before="120" w:after="0"/>
        <w:jc w:val="left"/>
        <w:rPr>
          <w:rFonts w:ascii="Times New Roman" w:hAnsi="Times New Roman"/>
          <w:sz w:val="18"/>
        </w:rPr>
      </w:pPr>
      <w:r>
        <w:rPr>
          <w:rFonts w:ascii="Times New Roman" w:hAnsi="Times New Roman"/>
          <w:sz w:val="18"/>
        </w:rPr>
        <w:t xml:space="preserve">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w:t>
      </w:r>
    </w:p>
    <w:p>
      <w:pPr>
        <w:pStyle w:val="TextBody"/>
        <w:bidi w:val="0"/>
        <w:spacing w:before="120" w:after="0"/>
        <w:jc w:val="left"/>
        <w:rPr>
          <w:rFonts w:ascii="Times New Roman" w:hAnsi="Times New Roman"/>
          <w:spacing w:val="0"/>
          <w:sz w:val="18"/>
        </w:rPr>
      </w:pPr>
      <w:r>
        <w:rPr>
          <w:rFonts w:ascii="Times New Roman" w:hAnsi="Times New Roman"/>
          <w:spacing w:val="0"/>
          <w:sz w:val="18"/>
        </w:rPr>
        <w:t>13e-4(i)</w:t>
      </w:r>
    </w:p>
    <w:p>
      <w:pPr>
        <w:pStyle w:val="TextBody"/>
        <w:bidi w:val="0"/>
        <w:spacing w:before="120" w:after="0"/>
        <w:jc w:val="left"/>
        <w:rPr>
          <w:rFonts w:ascii="Times New Roman" w:hAnsi="Times New Roman"/>
          <w:spacing w:val="0"/>
          <w:sz w:val="18"/>
        </w:rPr>
      </w:pPr>
      <w:r>
        <w:rPr>
          <w:rFonts w:ascii="Times New Roman" w:hAnsi="Times New Roman"/>
          <w:spacing w:val="0"/>
          <w:sz w:val="18"/>
        </w:rPr>
        <w:t>(Cross-Border</w:t>
      </w:r>
    </w:p>
    <w:p>
      <w:pPr>
        <w:pStyle w:val="TextBody"/>
        <w:bidi w:val="0"/>
        <w:spacing w:before="120" w:after="0"/>
        <w:jc w:val="left"/>
        <w:rPr>
          <w:rFonts w:ascii="Times New Roman" w:hAnsi="Times New Roman"/>
          <w:sz w:val="18"/>
        </w:rPr>
      </w:pPr>
      <w:r>
        <w:rPr>
          <w:rFonts w:ascii="Times New Roman" w:hAnsi="Times New Roman"/>
          <w:sz w:val="18"/>
        </w:rPr>
        <w:t xml:space="preserve">Issuer Tender Offer) ☐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w:t>
      </w:r>
    </w:p>
    <w:p>
      <w:pPr>
        <w:pStyle w:val="TextBody"/>
        <w:bidi w:val="0"/>
        <w:spacing w:before="120" w:after="0"/>
        <w:jc w:val="left"/>
        <w:rPr>
          <w:rFonts w:ascii="Times New Roman" w:hAnsi="Times New Roman"/>
          <w:spacing w:val="0"/>
          <w:sz w:val="18"/>
        </w:rPr>
      </w:pPr>
      <w:r>
        <w:rPr>
          <w:rFonts w:ascii="Times New Roman" w:hAnsi="Times New Roman"/>
          <w:spacing w:val="0"/>
          <w:sz w:val="18"/>
        </w:rPr>
        <w:t>14d-1(d)</w:t>
      </w:r>
    </w:p>
    <w:p>
      <w:pPr>
        <w:pStyle w:val="TextBody"/>
        <w:bidi w:val="0"/>
        <w:spacing w:before="120" w:after="0"/>
        <w:jc w:val="left"/>
        <w:rPr>
          <w:rFonts w:ascii="Times New Roman" w:hAnsi="Times New Roman"/>
          <w:spacing w:val="0"/>
          <w:sz w:val="18"/>
        </w:rPr>
      </w:pPr>
      <w:r>
        <w:rPr>
          <w:rFonts w:ascii="Times New Roman" w:hAnsi="Times New Roman"/>
          <w:spacing w:val="0"/>
          <w:sz w:val="18"/>
        </w:rPr>
        <w:t>(Cross-Border</w:t>
      </w:r>
    </w:p>
    <w:p>
      <w:pPr>
        <w:pStyle w:val="TextBody"/>
        <w:bidi w:val="0"/>
        <w:spacing w:before="120" w:after="0"/>
        <w:jc w:val="left"/>
        <w:rPr>
          <w:rFonts w:ascii="Times New Roman" w:hAnsi="Times New Roman"/>
          <w:spacing w:val="0"/>
          <w:sz w:val="18"/>
        </w:rPr>
      </w:pPr>
      <w:r>
        <w:rPr>
          <w:rFonts w:ascii="Times New Roman" w:hAnsi="Times New Roman"/>
          <w:spacing w:val="0"/>
          <w:sz w:val="18"/>
        </w:rPr>
        <w:t>Third-Party</w:t>
      </w:r>
    </w:p>
    <w:p>
      <w:pPr>
        <w:pStyle w:val="TextBody"/>
        <w:bidi w:val="0"/>
        <w:spacing w:before="120" w:after="0"/>
        <w:jc w:val="left"/>
        <w:rPr>
          <w:rFonts w:ascii="Times New Roman" w:hAnsi="Times New Roman"/>
          <w:sz w:val="18"/>
        </w:rPr>
      </w:pPr>
      <w:r>
        <w:rPr>
          <w:rFonts w:ascii="Times New Roman" w:hAnsi="Times New Roman"/>
          <w:sz w:val="18"/>
        </w:rPr>
        <w:t xml:space="preserve">Tender Offer) ☐ </w:t>
      </w:r>
    </w:p>
    <w:p>
      <w:pPr>
        <w:pStyle w:val="TextBody"/>
        <w:bidi w:val="0"/>
        <w:spacing w:before="120" w:after="0"/>
        <w:jc w:val="left"/>
        <w:rPr>
          <w:rFonts w:ascii="Times New Roman" w:hAnsi="Times New Roman"/>
          <w:b/>
          <w:sz w:val="18"/>
        </w:rPr>
      </w:pPr>
      <w:r>
        <w:rPr>
          <w:rFonts w:ascii="Times New Roman" w:hAnsi="Times New Roman"/>
          <w:b/>
          <w:sz w:val="18"/>
        </w:rPr>
        <w:t>The Registrant hereby amends this registration statement on such date or dates as may be necessary to delay its effective date until the Registrant sh</w:t>
      </w:r>
    </w:p>
    <w:p>
      <w:pPr>
        <w:pStyle w:val="TextBody"/>
        <w:bidi w:val="0"/>
        <w:spacing w:before="120" w:after="0"/>
        <w:jc w:val="left"/>
        <w:rPr>
          <w:rFonts w:ascii="Times New Roman" w:hAnsi="Times New Roman"/>
          <w:b/>
          <w:spacing w:val="0"/>
          <w:sz w:val="18"/>
        </w:rPr>
      </w:pPr>
      <w:r>
        <w:rPr>
          <w:rFonts w:ascii="Times New Roman" w:hAnsi="Times New Roman"/>
          <w:b/>
          <w:spacing w:val="0"/>
          <w:sz w:val="18"/>
        </w:rPr>
        <w:t>all</w:t>
      </w:r>
    </w:p>
    <w:p>
      <w:pPr>
        <w:pStyle w:val="TextBody"/>
        <w:bidi w:val="0"/>
        <w:spacing w:before="120" w:after="0"/>
        <w:jc w:val="left"/>
        <w:rPr>
          <w:rFonts w:ascii="Times New Roman" w:hAnsi="Times New Roman"/>
          <w:b/>
          <w:sz w:val="18"/>
        </w:rPr>
      </w:pPr>
      <w:r>
        <w:rPr>
          <w:rFonts w:ascii="Times New Roman" w:hAnsi="Times New Roman"/>
          <w:b/>
          <w:sz w:val="18"/>
        </w:rPr>
        <w:t xml:space="preserve">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proxy statement/prospectus is not complete and may be changed. These securities may not be sold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8, 2026 </w:t>
      </w:r>
    </w:p>
    <w:p>
      <w:pPr>
        <w:pStyle w:val="TextBody"/>
        <w:bidi w:val="0"/>
        <w:spacing w:before="0" w:after="0"/>
        <w:ind w:left="960" w:right="960" w:hanging="0"/>
        <w:jc w:val="left"/>
        <w:rPr/>
      </w:pPr>
      <w:r>
        <w:rPr/>
        <w:t> </w:t>
      </w:r>
    </w:p>
    <w:tbl>
      <w:tblPr>
        <w:tblW w:w="8945" w:type="dxa"/>
        <w:jc w:val="left"/>
        <w:tblInd w:w="960" w:type="dxa"/>
        <w:tblLayout w:type="fixed"/>
        <w:tblCellMar>
          <w:top w:w="0" w:type="dxa"/>
          <w:left w:w="0" w:type="dxa"/>
          <w:bottom w:w="0" w:type="dxa"/>
          <w:right w:w="0" w:type="dxa"/>
        </w:tblCellMar>
      </w:tblPr>
      <w:tblGrid>
        <w:gridCol w:w="4649"/>
        <w:gridCol w:w="60"/>
        <w:gridCol w:w="4236"/>
      </w:tblGrid>
      <w:tr>
        <w:trPr/>
        <w:tc>
          <w:tcPr>
            <w:tcW w:w="4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6" w:type="dxa"/>
            <w:tcBorders/>
            <w:vAlign w:val="center"/>
          </w:tcPr>
          <w:p>
            <w:pPr>
              <w:pStyle w:val="TableContents"/>
              <w:bidi w:val="0"/>
              <w:spacing w:before="0" w:after="283"/>
              <w:jc w:val="left"/>
              <w:rPr>
                <w:sz w:val="4"/>
                <w:szCs w:val="4"/>
              </w:rPr>
            </w:pPr>
            <w:r>
              <w:rPr>
                <w:sz w:val="4"/>
                <w:szCs w:val="4"/>
              </w:rPr>
            </w:r>
          </w:p>
        </w:tc>
      </w:tr>
      <w:tr>
        <w:trPr/>
        <w:tc>
          <w:tcPr>
            <w:tcW w:w="4649" w:type="dxa"/>
            <w:tcBorders/>
            <w:vAlign w:val="center"/>
          </w:tcPr>
          <w:p>
            <w:pPr>
              <w:pStyle w:val="TableContents"/>
              <w:bidi w:val="0"/>
              <w:spacing w:before="0" w:after="283"/>
              <w:jc w:val="left"/>
              <w:rPr/>
            </w:pPr>
            <w:r>
              <w:rPr/>
              <w:drawing>
                <wp:inline distT="0" distB="0" distL="0" distR="0">
                  <wp:extent cx="2942590" cy="4521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42590" cy="4521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236" w:type="dxa"/>
            <w:tcBorders/>
            <w:vAlign w:val="center"/>
          </w:tcPr>
          <w:p>
            <w:pPr>
              <w:pStyle w:val="TableContents"/>
              <w:bidi w:val="0"/>
              <w:spacing w:before="0" w:after="283"/>
              <w:jc w:val="right"/>
              <w:rPr/>
            </w:pPr>
            <w:r>
              <w:rPr/>
              <w:drawing>
                <wp:inline distT="0" distB="0" distL="0" distR="0">
                  <wp:extent cx="268033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80335" cy="676275"/>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To the Stockholders of Boundless Bio, Inc. and Serapha Bio,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Boundless Bio, Inc., a Delaware corporation (“Boundless Bio”), and Serapha Bio, Inc., a Delaware corporation (“Serapha”), entered into an Agreement and Plan of Merger and Reorganization, dated as of June 22, 2026, as amended by Amendment No. 1 to Agreement and Plan of Merger and Reorganization, dated as of August 28, 2026 (as amended, the “Merger Agreement”), pursuant to which, among other matters, Boulder Merger Sub Corp., a direct, wholly owned subsidiary of Boundless Bio (“Merger Sub”), will merge with and into Serapha, with Serapha surviving as a wholly owned subsidiary of Boundless Bio and the surviving corporation of the merger (the “Merger”). Boundless Bio following the Merger is referred to herein as the “Combined Company.”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At the effective time of the Merger (the “Effective Time”), (i) each then-outstanding share of Serapha common stock, par value $0.00001 per share (the “Serapha Common Stock”), and Serapha preferred stock, par value $0.00001 per share (the “Serapha Preferred Stock” and, together with the Serapha Common Stock, the “Serapha Capital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par value $0.0001 per share (the “Boundless Bio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192 of the accompanying proxy statement/prospectus, referred to herein as the “Exchange Ratio,” (ii) each then-outstanding option (a “Serapha Option”) to purchase shares of Serapha Common Stock will be converted into and become an option to purchase shares of Boundless Bio Common Stock on the existing terms and conditions (including with respect to vesting and accelerated vesting), subject to adjustment as set forth in the Merger Agreement, (iii) each then-outstanding restricted stock unit award covering shares of Serapha Common Stock (a “Serapha RSU”) will be converted into and become a restricted stock unit award covering shares of Boundless Bio Common Stock on the existing terms and conditions (including with respect to vesting and accelerated vesting), subject to adjustment as set forth in the Merger Agreement and (iv) each then-outstanding warrant to purchase shares of Serapha Common Stock (each, a “Serapha Warrant”), including each then-outstanding pre-funded warrant to purchase shares of Serapha Common Stock (each, a “Serapha Pre-Funded Warrant”), will be converted into a warrant to purchase shares of Boundless Bio Common Stock on the existing terms and conditions (each, an “Assumed Warrant”), subject to adjustment as set forth in the Merger Agreement and the form of warrant. If any shares of Serapha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proposed reverse stock split (the “Nasdaq Reverse Split”), will be unaffected by the Merger. Concurrently with the signing of the Merger Agreement, all outstanding options to purchase shares of Boundless Bio Common Stock (the “Boundless Bio Options”) became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fully vested and exercisable. Each Boundless Bio Option outstanding immediately prior to the Effective Time with an exercise price greater than $8.00 will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Based on Boundless Bio’s and Serapha’s capitalization as of October 1, 2026 and taking into account Boundless Bio’s current cash position, each share of Serapha Capital Stock is currently estimated to be entitled to receive approximately 8.6737 shares of Boundless Bio Common Stock. This estimated Exchange Ratio does not give effect to the Nasdaq Reverse Split and is subject to adjustment based on estimated Boundless Bio Net Cash (as defined herein) at the Closing as described in more detail in the section titled “</w:t>
      </w:r>
      <w:r>
        <w:rPr>
          <w:rFonts w:ascii="Times New Roman" w:hAnsi="Times New Roman"/>
          <w:i/>
          <w:sz w:val="20"/>
        </w:rPr>
        <w:t>The Merger Agreement —Exchange Ratio</w:t>
      </w:r>
      <w:r>
        <w:rPr>
          <w:rFonts w:ascii="Times New Roman" w:hAnsi="Times New Roman"/>
          <w:sz w:val="20"/>
        </w:rPr>
        <w:t xml:space="preserve">” beginning on page 192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and delivery of the Merger Agreement, certain institutional and accredited investors entered into a stock purchase agreement, pursuant to which such persons invested in a private placement of Serapha Series A Preferred Stock, par value $0.00001 per share (the “Serapha Series A Preferred Stock”) for an aggregate purchase price of approximately $138 million. Prior to the closing of the Merger (the “Closing”), certain investors entered into a securities purchase agreement (the “Securities Purchase Agreement”), pursuant to which such persons have agreed to purchase shares of Serapha Common Stock or Serapha Pre-Funded Warrants for an aggregate purchase price of approximately $92 million (the “Serapha Pre-Closing Financing”). The closing of the Serapha Pre-Closing Financing is conditioned upon the satisfaction or waiver of the conditions to the Closing as well as certain other conditions. The Serapha Pre-Closing Financing is more fully described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(i) Boundless Bio securityholders as of immediately prior to the Merger are expected to own approximately 3.8% of the outstanding shares of the Combined Company on a fully-diluted basis, (ii) former Serapha securityholders, excluding shares purchased in the Serapha Pre-Closing Financing, are expected to own approximately 29.3% of the outstanding shares of the Combined Company on a fully-diluted basis, and (iii) shares of Serapha Common Stock and Serapha Pre-Funded Warrants issued in the Serapha Pre-Closing Financing are expected to represent approximately 66.9% of the outstanding shares of capital stock of the Combined Company on a fully-diluted basis, subject to certain assumptions. </w:t>
      </w:r>
    </w:p>
    <w:p>
      <w:pPr>
        <w:pStyle w:val="TextBody"/>
        <w:bidi w:val="0"/>
        <w:spacing w:before="240" w:after="0"/>
        <w:jc w:val="left"/>
        <w:rPr>
          <w:rFonts w:ascii="Times New Roman" w:hAnsi="Times New Roman"/>
          <w:sz w:val="20"/>
        </w:rPr>
      </w:pPr>
      <w:r>
        <w:rPr>
          <w:rFonts w:ascii="Times New Roman" w:hAnsi="Times New Roman"/>
          <w:sz w:val="20"/>
        </w:rPr>
        <w:t xml:space="preserve">Shares of Boundless Bio Common Stock are currently listed on The Nasdaq Global Select Market under the symbol “BOLD.” Boundless Bio has filed an initial listing application for the Combined Company with Nasdaq. After completion of the Merger, Boundless Bio will be renamed “Serapha Bio, Inc.” and it is expected that the Combined Company common stock will trade on Nasdaq under the symbol “AATD.” On     , 2026, the last trading day before the date of the accompanying proxy statement/prospectus, the closing sale price of Boundless Bio Common Stock was $     per share. Under the Merger Agreement, each of Boundless Bio’s and Serapha’s obligation to complete the Merger is subject to the satisfaction or waiver by each of the parties of various conditions, including that the shares of Boundless Bio Common Stock to be issued in the Merger have been approved for listing (subject to official notice of issuance) on Nasdaq as of the Closing. In the event that the shares of Boundless Bio Common Stock to be issued in the Merger are not approved for listing on Nasdaq, it is possible that Boundless Bio and Serapha may mutually agree to waive the applicable condition and nonetheless proceed with completion of the Merger. If such condition is waived, Boundless Bio will not recirculate an updated proxy statement/prospectus, nor will it solicit a new vote of stockholders prior to proceeding with the Merger. Accordingly, you are advised that Boundless Bio stockholders will not have certainty regarding the listing of the Combined Company’s shares at the time you are asked to vote at the special meeting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Boundless Bio stockholders are cordially invited to attend the special meeting of Boundless Bio stockholders. Boundless Bio is holding its special meeting of stockholders (the “Boundless Bio Special Meeting”) on     , 2026, at      Pacific Time, unless postponed or adjourned to a later date, in order to obtain the stockholder approvals necessary to complete the Merger and related matters.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that accompanied your proxy materials to attend the meeting. At the Boundless Bio Special Meeting, Boundless Bio will ask its stockholders to: </w:t>
      </w:r>
    </w:p>
    <w:p>
      <w:pPr>
        <w:pStyle w:val="TextBody"/>
        <w:bidi w:val="0"/>
        <w:spacing w:before="120" w:after="0"/>
        <w:jc w:val="left"/>
        <w:rPr>
          <w:rFonts w:ascii="Times New Roman" w:hAnsi="Times New Roman"/>
          <w:sz w:val="20"/>
        </w:rPr>
      </w:pPr>
      <w:r>
        <w:rPr>
          <w:rFonts w:ascii="Times New Roman" w:hAnsi="Times New Roman"/>
          <w:sz w:val="20"/>
        </w:rPr>
        <w:t xml:space="preserve">(1) Approve the issuance of shares of Boundless Bio Common Stock (including the shares of Boundless Bio Common Stock issuable upon exercise of the Assumed Warrants and Boundless Bio Pre-Funded Warrants) to stockholders of Serapha pursuant to the terms of the Merger Agreement, a copy of which is attached as </w:t>
      </w:r>
      <w:r>
        <w:rPr>
          <w:rFonts w:ascii="Times New Roman" w:hAnsi="Times New Roman"/>
          <w:i/>
          <w:sz w:val="20"/>
        </w:rPr>
        <w:t>Annex A</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accompanying proxy statement/prospectus, pursuant to which, among other matters, Merger Sub will merge with and into Serapha, with Serapha surviving as a wholly owned subsidiary of Boundless Bio and the surviving corporation of the Merger, which will (i) represent more than 20% of the shares of Boundless Bio Common Stock outstanding immediately prior to the Merger under Nasdaq Listing Rule 5635(a), and (ii) result in a change of control under Nasdaq Listing Rule 5635(b) (the “Nasdaq Stock Issuance Proposal” or “Proposal No. 1”); </w:t>
      </w:r>
    </w:p>
    <w:p>
      <w:pPr>
        <w:pStyle w:val="TextBody"/>
        <w:bidi w:val="0"/>
        <w:spacing w:before="240" w:after="0"/>
        <w:jc w:val="left"/>
        <w:rPr>
          <w:rFonts w:ascii="Times New Roman" w:hAnsi="Times New Roman"/>
          <w:sz w:val="20"/>
        </w:rPr>
      </w:pPr>
      <w:r>
        <w:rPr>
          <w:rFonts w:ascii="Times New Roman" w:hAnsi="Times New Roman"/>
          <w:sz w:val="20"/>
        </w:rPr>
        <w:t xml:space="preserve">(2) Approve an amendment to the amended and restated certificate of incorporation of Boundless Bio (the “Boundless Bio Charter”) to effect a reverse stock split of Boundless Bio’s issued and outstanding common stock at a ratio determined by the board of directors of Boundless Bio (the “Boundless Bio Board of Directors”) and agreed to by Serapha, of one new share of Boundless Bio Common Stock for every    to    shares (or any number in between) of issued and outstanding Boundless Bio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“Nasdaq Reverse Split Proposal” or “Proposal No. 2”); </w:t>
      </w:r>
    </w:p>
    <w:p>
      <w:pPr>
        <w:pStyle w:val="TextBody"/>
        <w:bidi w:val="0"/>
        <w:spacing w:before="240" w:after="0"/>
        <w:jc w:val="left"/>
        <w:rPr>
          <w:rFonts w:ascii="Times New Roman" w:hAnsi="Times New Roman"/>
          <w:sz w:val="20"/>
        </w:rPr>
      </w:pPr>
      <w:r>
        <w:rPr>
          <w:rFonts w:ascii="Times New Roman" w:hAnsi="Times New Roman"/>
          <w:sz w:val="20"/>
        </w:rPr>
        <w:t xml:space="preserve">(3)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the accompanying proxy statement/prospectus (the “Authorized Share Increase Proposal” or “Proposal No. 3”); </w:t>
      </w:r>
    </w:p>
    <w:p>
      <w:pPr>
        <w:pStyle w:val="TextBody"/>
        <w:bidi w:val="0"/>
        <w:spacing w:before="240" w:after="0"/>
        <w:jc w:val="left"/>
        <w:rPr>
          <w:rFonts w:ascii="Times New Roman" w:hAnsi="Times New Roman"/>
          <w:sz w:val="20"/>
        </w:rPr>
      </w:pPr>
      <w:r>
        <w:rPr>
          <w:rFonts w:ascii="Times New Roman" w:hAnsi="Times New Roman"/>
          <w:sz w:val="20"/>
        </w:rPr>
        <w:t xml:space="preserve">(4) Approve the Serapha Bio, Inc. 2026 Stock Incentive Plan (the “Stock Plan Proposal” or “Proposal No. 4”); </w:t>
      </w:r>
    </w:p>
    <w:p>
      <w:pPr>
        <w:pStyle w:val="TextBody"/>
        <w:bidi w:val="0"/>
        <w:spacing w:before="240" w:after="0"/>
        <w:jc w:val="left"/>
        <w:rPr>
          <w:rFonts w:ascii="Times New Roman" w:hAnsi="Times New Roman"/>
          <w:sz w:val="20"/>
        </w:rPr>
      </w:pPr>
      <w:r>
        <w:rPr>
          <w:rFonts w:ascii="Times New Roman" w:hAnsi="Times New Roman"/>
          <w:sz w:val="20"/>
        </w:rPr>
        <w:t xml:space="preserve">(5) Approve the Serapha Bio, Inc. 2026 Employee Stock Purchase Plan (the “ESPP Proposal” or “Proposal No. 5”); </w:t>
      </w:r>
    </w:p>
    <w:p>
      <w:pPr>
        <w:pStyle w:val="TextBody"/>
        <w:bidi w:val="0"/>
        <w:spacing w:before="240" w:after="0"/>
        <w:jc w:val="left"/>
        <w:rPr>
          <w:rFonts w:ascii="Times New Roman" w:hAnsi="Times New Roman"/>
          <w:sz w:val="20"/>
        </w:rPr>
      </w:pPr>
      <w:r>
        <w:rPr>
          <w:rFonts w:ascii="Times New Roman" w:hAnsi="Times New Roman"/>
          <w:sz w:val="20"/>
        </w:rPr>
        <w:t xml:space="preserve">(6) Approve an adjournment of the Boundless Bio Special Meeting, if necessary, to solicit additional proxies if there are not sufficient votes in favor of Proposal Nos. 1, 2 and 3 (the “Adjournment Proposal” or “Proposal No. 6”); and </w:t>
      </w:r>
    </w:p>
    <w:p>
      <w:pPr>
        <w:pStyle w:val="TextBody"/>
        <w:bidi w:val="0"/>
        <w:spacing w:before="240" w:after="0"/>
        <w:jc w:val="left"/>
        <w:rPr>
          <w:rFonts w:ascii="Times New Roman" w:hAnsi="Times New Roman"/>
          <w:sz w:val="20"/>
        </w:rPr>
      </w:pPr>
      <w:r>
        <w:rPr>
          <w:rFonts w:ascii="Times New Roman" w:hAnsi="Times New Roman"/>
          <w:sz w:val="20"/>
        </w:rPr>
        <w:t xml:space="preserve">(7)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Boundless Bio stockholders who in the aggregate beneficially owned approximately 1.7% of the outstanding shares of Boundless Bio Common Stock as of June 22, 2026, and certain Serapha stockholders who in the aggregate owned approximately 65.0% of the outstanding shares of Serapha Capital Stock as of June 22, 2026, are parties to stockholder support agreements with Boundless Bio and Serapha whereby such stockholders have agreed to vote in favor of the approval of the transactions contemplated therein, including, with respect to such Serapha stockholders, adoption of the Merger Agreement and approval of the Merger and, with respect to such Boundless Bio stockholders, Proposal Nos. 1, 2 and 3 subject to the terms of the support agreements. Following the effectiveness of the registration statement on Form S-4 of which the accompanying proxy statement/prospectus is a part and pursuant to the Merger Agreement, Serapha stockholders holding a sufficient number of shares of Serapha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Effective Time, the Boundless Bio Board of Directors expects to declare and set aside the aggregate cash amount to be paid in accordance with a pre-Closing special cash dividend (the “Boundless Bio Pre-Closing Dividend”) to holders of record of outstanding shares of Boundless Bio Common Stock as of a record date prior to the Effective Time, to be set by the Boundless Bio Board of Directors as close as reasonably practicable to (but not later than) the anticipated Closing. The ex-dividend date in respect of such Boundless Bio Pre-Closing Dividend will be determined by Nasdaq. Boundless Bio stockholders of record who continue to hold their eligible shares of Boundless Bio Common Stock until market open on the ex-dividend date will be entitled to payment of the Boundless Bio Pre-Closing Dividend. The Boundless Bio Pre-Closing Dividend will be equal in the aggregate to Boundless Bio’s reasonable, good faith approximation of the amount by which Boundless Bio Net Cash (as determined pursuant to the Merger Agreement) is expected to exceed $0 as of the Closing. The aggregate amount of the Boundless Bio Pre-Closing Dividend is expected to be approximately $44 million to $48 million.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careful consideration, each of the Boundless Bio Board of Directors and the Serapha Board of Directors has approved the Merger Agreement and have determined that it is advisable to consummate the Merger. The Boundless Bio Board of Directors has approved the proposals described in the accompanying proxy statement/prospectus and recommends that its stockholders vote “FOR” the proposals described in the accompanying proxy statement/prospectus.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More information about Boundless Bio, Serapha, the Merger Agreement and transactions contemplated thereby and the foregoing proposals is contained in the accompanying proxy statement/prospectus. Boundless Bio urges you to read the accompanying proxy statement/prospectus carefully and in its entirety. IN PARTICULAR, YOU SHOULD CAREFULLY CONSIDER THE MATTERS DISCUSSED UNDER “</w:t>
      </w:r>
      <w:hyperlink w:anchor="tx108148_7">
        <w:r>
          <w:rPr>
            <w:rStyle w:val="InternetLink"/>
            <w:rFonts w:ascii="Times New Roman" w:hAnsi="Times New Roman"/>
            <w:b/>
            <w:sz w:val="20"/>
          </w:rPr>
          <w:t>RISK FACTORS</w:t>
        </w:r>
      </w:hyperlink>
      <w:r>
        <w:rPr>
          <w:rFonts w:ascii="Times New Roman" w:hAnsi="Times New Roman"/>
          <w:b/>
          <w:sz w:val="20"/>
        </w:rPr>
        <w:t xml:space="preserve">” BEGINNING ON PAGE 20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are excited about the opportunities the Merger brings to Boundless Bio’s and Serapha’s stockholders and thank you for your consideration and continued support. Sincerely,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5315"/>
        <w:gridCol w:w="120"/>
        <w:gridCol w:w="2240"/>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center"/>
              <w:rPr/>
            </w:pPr>
            <w:r>
              <w:rPr/>
              <w:t>Jessica Oien</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pPr>
            <w:r>
              <w:rPr/>
              <w:t>Kenneth Mills</w:t>
            </w:r>
          </w:p>
        </w:tc>
      </w:tr>
      <w:tr>
        <w:trPr/>
        <w:tc>
          <w:tcPr>
            <w:tcW w:w="5315" w:type="dxa"/>
            <w:tcBorders/>
            <w:vAlign w:val="center"/>
          </w:tcPr>
          <w:p>
            <w:pPr>
              <w:pStyle w:val="TableContents"/>
              <w:bidi w:val="0"/>
              <w:spacing w:before="0" w:after="283"/>
              <w:jc w:val="center"/>
              <w:rPr>
                <w:i/>
              </w:rPr>
            </w:pPr>
            <w:r>
              <w:rPr>
                <w:i/>
              </w:rPr>
              <w:t>President, Chief Legal Officer and Corporate Secretary</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i/>
              </w:rPr>
            </w:pPr>
            <w:r>
              <w:rPr>
                <w:i/>
              </w:rPr>
              <w:t>Chief Executive Officer</w:t>
            </w:r>
          </w:p>
        </w:tc>
      </w:tr>
      <w:tr>
        <w:trPr/>
        <w:tc>
          <w:tcPr>
            <w:tcW w:w="5315" w:type="dxa"/>
            <w:tcBorders/>
            <w:vAlign w:val="center"/>
          </w:tcPr>
          <w:p>
            <w:pPr>
              <w:pStyle w:val="TableContents"/>
              <w:bidi w:val="0"/>
              <w:spacing w:before="0" w:after="283"/>
              <w:jc w:val="center"/>
              <w:rPr/>
            </w:pPr>
            <w:r>
              <w:rPr/>
              <w:t>Boundless Bio, Inc.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pPr>
            <w:r>
              <w:rPr/>
              <w:t>Serapha Bio,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Boundless Bio’s stockholders on or about    ,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0" w:after="0"/>
        <w:jc w:val="center"/>
        <w:rPr>
          <w:rFonts w:ascii="Times New Roman" w:hAnsi="Times New Roman"/>
          <w:b/>
          <w:sz w:val="20"/>
        </w:rPr>
      </w:pPr>
      <w:r>
        <w:rPr>
          <w:rFonts w:ascii="Times New Roman" w:hAnsi="Times New Roman"/>
          <w:b/>
          <w:sz w:val="20"/>
        </w:rPr>
        <w:t xml:space="preserve">11099 North Torrey Pines Road, Suite 150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0" w:after="0"/>
        <w:jc w:val="center"/>
        <w:rPr>
          <w:rFonts w:ascii="Times New Roman" w:hAnsi="Times New Roman"/>
          <w:b/>
          <w:sz w:val="20"/>
        </w:rPr>
      </w:pPr>
      <w:r>
        <w:rPr>
          <w:rFonts w:ascii="Times New Roman" w:hAnsi="Times New Roman"/>
          <w:b/>
          <w:sz w:val="20"/>
        </w:rPr>
        <w:t xml:space="preserve">(858) 766-9912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BOUNDLESS BIO, INC.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Boundless Bio, Inc. (“Boundless Bio”):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special meeting of stockholders (the “Boundless Bio Special Meeting”) will be held on    , 2026, at    Pacific Time, unless postponed or adjourned to a later date.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that accompanied your proxy materials to attend the meeting. </w:t>
      </w:r>
    </w:p>
    <w:p>
      <w:pPr>
        <w:pStyle w:val="TextBody"/>
        <w:bidi w:val="0"/>
        <w:spacing w:before="240" w:after="0"/>
        <w:jc w:val="left"/>
        <w:rPr>
          <w:rFonts w:ascii="Times New Roman" w:hAnsi="Times New Roman"/>
          <w:sz w:val="20"/>
        </w:rPr>
      </w:pPr>
      <w:r>
        <w:rPr>
          <w:rFonts w:ascii="Times New Roman" w:hAnsi="Times New Roman"/>
          <w:b/>
          <w:sz w:val="20"/>
        </w:rPr>
        <w:t>The Boundless Bio Special Meeting will be held for the following purposes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To approve the issuance of shares of common stock of Boundless Bio, par value $0.0001 per share (the “Boundless Bio Common Stock”), (including the shares of Boundless Bio Common Stock issuable upon exercise of Assumed Warrants and Boundless Bio Pre-Funded Warrants) to stockholders of Serapha Bio, Inc. (“Serapha”) pursuant to the terms of the Agreement and Plan of Merger and Reorganization, dated as of June 22, 2026, as amended by Amendment No. 1 to Agreement and Plan of Merger and Reorganization, dated as of August 28, 2026 (as amended, the “Merger Agreement”), by and among Boundless Bio, Serapha and Boulder Merger Sub Corp. (“Merger Sub”), a copy of which is attached as </w:t>
      </w:r>
      <w:r>
        <w:rPr>
          <w:rFonts w:ascii="Times New Roman" w:hAnsi="Times New Roman"/>
          <w:i/>
          <w:sz w:val="20"/>
        </w:rPr>
        <w:t>Annex A</w:t>
      </w:r>
      <w:r>
        <w:rPr>
          <w:rFonts w:ascii="Times New Roman" w:hAnsi="Times New Roman"/>
          <w:sz w:val="20"/>
        </w:rPr>
        <w:t xml:space="preserve">, pursuant to which, among other matters, Merger Sub will merge with and into Serapha, with Serapha surviving as a wholly owned subsidiary of Boundless Bio and the surviving corporation of the merger (the “Merger”),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(2) To approve an amendment to the amended and restated certificate of incorporation of Boundless Bio (the “Boundless Bio Charter”) to effect a reverse stock split of Boundless Bio’s issued and outstanding common stock at a ratio determined by the board of directors of Boundless Bio (the “Boundless Bio Board of Directors”) and agreed to by Serapha, of one new share of Boundless Bio Common Stock for every    to    shares (or any number in between) of issued and outstanding Boundless Bio Common Stock, in the form attached as </w:t>
      </w:r>
      <w:r>
        <w:rPr>
          <w:rFonts w:ascii="Times New Roman" w:hAnsi="Times New Roman"/>
          <w:i/>
          <w:sz w:val="20"/>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To approve the Serapha Bio, Inc. 2026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(5) To approve the Serapha Bio, Inc. 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(6) To approve an adjournment of the Boundless Bio Special Meeting, if necessary, to solicit additional proxies if there are not sufficient votes in favor of Proposal Nos. 1, 2 and 3; and </w:t>
      </w:r>
    </w:p>
    <w:p>
      <w:pPr>
        <w:pStyle w:val="TextBody"/>
        <w:bidi w:val="0"/>
        <w:spacing w:before="240" w:after="0"/>
        <w:jc w:val="left"/>
        <w:rPr>
          <w:rFonts w:ascii="Times New Roman" w:hAnsi="Times New Roman"/>
          <w:sz w:val="20"/>
        </w:rPr>
      </w:pPr>
      <w:r>
        <w:rPr>
          <w:rFonts w:ascii="Times New Roman" w:hAnsi="Times New Roman"/>
          <w:sz w:val="20"/>
        </w:rPr>
        <w:t xml:space="preserve">(7) To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b/>
          <w:sz w:val="20"/>
        </w:rPr>
        <w:t>Record Date</w:t>
      </w:r>
      <w:r>
        <w:rPr>
          <w:rFonts w:ascii="Times New Roman" w:hAnsi="Times New Roman"/>
          <w:sz w:val="20"/>
        </w:rPr>
        <w:t xml:space="preserve">: The Boundless Bio Board of Directors has fixed    , 2026 as the record date for the determination of stockholders entitled to notice of, and to vote at, the Boundless Bio Special Meeting and any adjournment or postponement thereof. Only holders of record of shares of Boundless Bio Common Stock at the close of business on the record date are entitled to notice of, and to vote at, the Boundless Bio Special Meeting. At the close of business on the record date, Boundless Bio had    shares of Boundless Bio Common Stock outstanding and entitled to vote.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for and against by the holders of Boundless Bio Common Stock at the Boundless Bio Special Meeting, assuming a quorum is present, is required for approval of Proposal Nos. 1, 2, 3, 4, 5 and 6. Approval of each of Proposal No. 1, Proposal No. 2 and Proposal No. 3 is a condition to the completion of the Merger. Therefore, the Merger cannot be consummated without the approval of Proposal Nos. 1, 2 and 3. The approval of Proposal Nos. 4 and 5 are not conditions to the completion of the Merger, however, each of these proposals are conditioned upon the consummation of the Merger and will not be implemented if the Merger is not consummated. Approval of Proposal No. 6 is requested whether or not the Merger is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attend the Boundless Bio Special Meeting, Boundless Bio requests that you sign and return the enclosed proxy or vote by mail or online to ensure that your shares will be represented at the Boundless Bio Special Meeting if you are unable to attend. You may change or revoke your proxy at any time before it is voted at the Boundless Bio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BOUNDLESS BIO’S BOARD OF DIRECTORS HAS DETERMINED AND BELIEVES THAT EACH OF THE PROPOSALS OUTLINED ABOVE IS FAIR TO, IN THE BEST INTERESTS OF, AND ADVISABLE TO BOUNDLESS BIO AND ITS STOCKHOLDERS AND HAS APPROVED EACH SUCH PROPOSAL. BOUNDLESS BIO’S BOARD OF DIRECTORS RECOMMENDS THAT BOUNDLESS BIO STOCKHOLDERS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 2026 at    Pacific Time.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in connection with the special meeting is available at </w:t>
      </w:r>
      <w:r>
        <w:rPr>
          <w:rFonts w:ascii="Times New Roman" w:hAnsi="Times New Roman"/>
          <w:i/>
          <w:sz w:val="20"/>
        </w:rPr>
        <w:t>www.proxydocs.com/BOLD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Boundless Bio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Jessica Oien </w:t>
      </w:r>
    </w:p>
    <w:p>
      <w:pPr>
        <w:pStyle w:val="TextBody"/>
        <w:bidi w:val="0"/>
        <w:spacing w:before="0" w:after="0"/>
        <w:jc w:val="left"/>
        <w:rPr>
          <w:rFonts w:ascii="Times New Roman" w:hAnsi="Times New Roman"/>
          <w:sz w:val="20"/>
        </w:rPr>
      </w:pPr>
      <w:r>
        <w:rPr>
          <w:rFonts w:ascii="Times New Roman" w:hAnsi="Times New Roman"/>
          <w:sz w:val="20"/>
        </w:rPr>
        <w:t xml:space="preserve">President, Chief Legal Officer and Corporate Secretary </w:t>
      </w:r>
    </w:p>
    <w:p>
      <w:pPr>
        <w:pStyle w:val="TextBody"/>
        <w:bidi w:val="0"/>
        <w:spacing w:before="0" w:after="0"/>
        <w:jc w:val="left"/>
        <w:rPr/>
      </w:pPr>
      <w:r>
        <w:rPr/>
        <w:t>    </w:t>
      </w:r>
      <w:r>
        <w:rPr>
          <w:rFonts w:ascii="Times New Roman" w:hAnsi="Times New Roman"/>
          <w:sz w:val="20"/>
        </w:rPr>
        <w:t xml:space="preserve">,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used throughout this proxy statement/prospectus. Unless stated otherwise, the terms set forth below, whenever used in this proxy statement/prospectus, have the following meanings: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pPr>
            <w:r>
              <w:rPr/>
              <w:t>“</w:t>
            </w:r>
            <w:r>
              <w:rPr>
                <w:rFonts w:ascii="Times New Roman" w:hAnsi="Times New Roman"/>
                <w:sz w:val="20"/>
              </w:rPr>
              <w:t xml:space="preserve">2026 ESPP” means the Serapha Bio, Inc. 2026 Employee Stock Purchase Plan.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pPr>
            <w:r>
              <w:rPr/>
              <w:t>“</w:t>
            </w:r>
            <w:r>
              <w:rPr>
                <w:rFonts w:ascii="Times New Roman" w:hAnsi="Times New Roman"/>
                <w:sz w:val="20"/>
              </w:rPr>
              <w:t xml:space="preserve">2026 Stock Plan” means the Serapha Bio, Inc. 2026 Stock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Assumed Option” means each Serapha Option that is converted at the Effective Time into an option to purchase shares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Assumed RSU” means each Serapha RSU that is converted at the Effective Time into a restricted stock unit award covering shares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Assumed Warrant” means each Serapha Warrant that is converted at the Effective Time into a warrant to purchase shares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Authorized Share Increase Proposal” means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Beneficial Ownership Limitation” means, with respect to each holder of Serapha Capital Stock, the percentage of the shares of Boundless Bio Common Stock outstanding immediately after giving effect to the issuance of the Merger Consideration that such holder designates in writing to Boundless Bio and Serapha at least 10 business days prior to the Closing, which may be any percentage between 0% and 19.99%, or, if such holder does not make such a designation, 9.99%.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pPr>
            <w:r>
              <w:rPr/>
              <w:t>“</w:t>
            </w:r>
            <w:r>
              <w:rPr>
                <w:rFonts w:ascii="Times New Roman" w:hAnsi="Times New Roman"/>
                <w:sz w:val="20"/>
              </w:rPr>
              <w:t xml:space="preserve">Boundless Bio” means Boundless Bio, Inc., a Delaware corporation.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pPr>
            <w:r>
              <w:rPr/>
              <w:t>“</w:t>
            </w:r>
            <w:r>
              <w:rPr>
                <w:rFonts w:ascii="Times New Roman" w:hAnsi="Times New Roman"/>
                <w:sz w:val="20"/>
              </w:rPr>
              <w:t xml:space="preserve">Boundless Bio 2018 Plan” means Boundless Bio’s 2018 Equity Incentive Plan, as amended.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pPr>
            <w:r>
              <w:rPr/>
              <w:t>“</w:t>
            </w:r>
            <w:r>
              <w:rPr>
                <w:rFonts w:ascii="Times New Roman" w:hAnsi="Times New Roman"/>
                <w:sz w:val="20"/>
              </w:rPr>
              <w:t xml:space="preserve">Boundless Bio 2024 Plan” means Boundless Bio’s 2024 Incentive Award Plan.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pPr>
            <w:r>
              <w:rPr/>
              <w:t>“</w:t>
            </w:r>
            <w:r>
              <w:rPr>
                <w:rFonts w:ascii="Times New Roman" w:hAnsi="Times New Roman"/>
                <w:sz w:val="20"/>
              </w:rPr>
              <w:t xml:space="preserve">Boundless Bio Board of Directors” means the board of directors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Bylaws” means the amended and restated bylaws of Boundless Bio, as amended, restated, supplemented or corrected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Cancelled Option” means each Boundless Bio Option with a per share exercise price greater than $8.00 (determined prior to any equitable adjustment to reflect the Boundless Bio Pre-Closing Dividend).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pPr>
            <w:r>
              <w:rPr/>
              <w:t>“</w:t>
            </w:r>
            <w:r>
              <w:rPr>
                <w:rFonts w:ascii="Times New Roman" w:hAnsi="Times New Roman"/>
                <w:sz w:val="20"/>
              </w:rPr>
              <w:t xml:space="preserve">Boundless Bio Capital Stock” means Boundless Bio Common Stock and Boundless Bio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Charter” means the amended and restated certificate of incorporation of Boundless Bio, as amended, restated, supplemented or corrected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Charter Amendments” means, collectively, the amendments of the Boundless Bio Charter to (i) change the name of the Combined Company to Serapha Bio, Inc., (ii) effect the Nasdaq Reverse Split (to the extent applicable and necessary), in the form attached to the proxy statement/prospectus as </w:t>
            </w:r>
            <w:r>
              <w:rPr>
                <w:rFonts w:ascii="Times New Roman" w:hAnsi="Times New Roman"/>
                <w:i/>
                <w:sz w:val="20"/>
              </w:rPr>
              <w:t>Annex B</w:t>
            </w:r>
            <w:r>
              <w:rPr>
                <w:rFonts w:ascii="Times New Roman" w:hAnsi="Times New Roman"/>
                <w:sz w:val="20"/>
              </w:rPr>
              <w:t xml:space="preserve">, (iii) increase the number of shares of Boundless Bio Common Stock as described in the Authorized Share Increase Proposal, in the form attached to the proxy statement/prospectus as </w:t>
            </w:r>
            <w:r>
              <w:rPr>
                <w:rFonts w:ascii="Times New Roman" w:hAnsi="Times New Roman"/>
                <w:i/>
                <w:sz w:val="20"/>
              </w:rPr>
              <w:t>Annex C</w:t>
            </w:r>
            <w:r>
              <w:rPr>
                <w:rFonts w:ascii="Times New Roman" w:hAnsi="Times New Roman"/>
                <w:sz w:val="20"/>
              </w:rPr>
              <w:t xml:space="preserve">, and (iv) make such other changes as are mutually agreeable to Boundless Bio and Serapha.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pPr>
            <w:r>
              <w:rPr/>
              <w:t>“</w:t>
            </w:r>
            <w:r>
              <w:rPr>
                <w:rFonts w:ascii="Times New Roman" w:hAnsi="Times New Roman"/>
                <w:sz w:val="20"/>
              </w:rPr>
              <w:t xml:space="preserve">Boundless Bio Common Stock” means the common stock, par value $0.0001 per share,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Continuing Option” means each Boundless Bio Option outstanding immediately prior to the Effective Time that is not a Boundless Bio Cancelled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w:t>
            </w:r>
            <w:r>
              <w:rPr>
                <w:rFonts w:ascii="Times New Roman" w:hAnsi="Times New Roman"/>
                <w:sz w:val="20"/>
              </w:rPr>
              <w:t xml:space="preserve">Boundless Bio ESPP” means Boundless Bio’s 2024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Legacy Transaction” means the sale, license, transfer, disposition, divestiture or other monetization transaction or winding down of Boundless Bio’s legacy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Net Cash” means Boundless Bio’s net cash, calculated as of the Cash Determination Time in accordance with the formula set forth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Option” means each option or other right to purchase shares of Boundless Bio Common Stock granted by Boundless Bio, including pursuant to any Boundless Bio Stock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Preferred Stock” means the shares of Boundless Bio’s capital stock designated as preferred stock, par value $0.0001 per share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Pre-Closing Dividend” means the pre-closing cash dividend that Boundless Bio may declare to holders of Boundless Bio Common Stock prior to the Effective Time, in an amount tied to Boundless Bio Net Cash, as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Pre-Funded Warrant” means each pre-funded warrant to purchase shares of Boundless Bio Common Stock issued as part of the Merger Consideration to a holder of Serapha Capital Stock in lieu of shares of Boundless Bio Common Stock that would otherwise be issued in excess of such holder’s Beneficial Ownership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Special Meeting” means the special meeting of the holders of Boundless Bio Common Stock to consider and vote upon the Boundless Bio Stockholder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Stock Plans” means the Boundless Bio 2024 Plan, the Boundless Bio 2018 Plan and the Boundless Bio ESPP, in each case as amended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Stockholder Matters” means (i) the issuance of shares of Boundless Bio Common Stock representing (or convertible into) more than 20% of the shares of Boundless Bio Common Stock outstanding immediately prior to the Effective Time to the Serapha stockholders in connection with the Contemplated Transactions and the change of control of Boundless Bio resulting from the Contemplated Transactions, in each case pursuant to the Nasdaq rules, and (ii) the Nasdaq Reverse Split and the increase in authorized shares contemplated by the Boundless Bio Charter Amendments.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Support Agreements” means the support agreements entered into by certain stockholders of Boundless Bio in connection with the Merger Agreement, pursuant to which such stockholders agreed to vote their shares in favor of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Cash Determination Time” means 11:59 p.m. on the business day prior to the anticipated Closing Date, as agreed upon by Boundless Bio and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Certificate of Merger” means the certificate of merger with respect to the Merger to be filed with the Secretary of State of the State of Delaware.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pPr>
            <w:r>
              <w:rPr/>
              <w:t>“</w:t>
            </w:r>
            <w:r>
              <w:rPr>
                <w:rFonts w:ascii="Times New Roman" w:hAnsi="Times New Roman"/>
                <w:sz w:val="20"/>
              </w:rPr>
              <w:t xml:space="preserve">Closing” means the closing of the Merger.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pPr>
            <w:r>
              <w:rPr/>
              <w:t>“</w:t>
            </w:r>
            <w:r>
              <w:rPr>
                <w:rFonts w:ascii="Times New Roman" w:hAnsi="Times New Roman"/>
                <w:sz w:val="20"/>
              </w:rPr>
              <w:t xml:space="preserve">Closing Date” means the date on which the Closing actually occurs.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Combined Company” means Boundless Bio, together with its subsidiaries (including the Surviving Corporation), following the Effective Time; in connection with the Merger, Boundless Bio will change its name to Serapha Bio,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Contemplated Transactions” means the Merger, the Constructive Issuance (as defined in the Merger Agreement) and the other transactions contemplated by the Merger Agreement (other than any Boundless Bio Legacy Transaction and the Boundless Bio Charter Amendments), the Serapha Pre-Closing Financing and the Nasdaq Reverse Split (to the extent applicable and deemed necessary by Boundless Bio and Serapha).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pPr>
            <w:r>
              <w:rPr/>
              <w:t>“</w:t>
            </w:r>
            <w:r>
              <w:rPr>
                <w:rFonts w:ascii="Times New Roman" w:hAnsi="Times New Roman"/>
                <w:sz w:val="20"/>
              </w:rPr>
              <w:t xml:space="preserve">DGCL” means the General Corporation Law of the State of Delaware.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Effective Time” means the date and time the Merger becomes effective, being the time of the filing of the Certificate of Merger with the Secretary of State of the State of Delaware (or such later time as may be specified in the Certificate of Merger).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w:t>
            </w:r>
            <w:r>
              <w:rPr>
                <w:rFonts w:ascii="Times New Roman" w:hAnsi="Times New Roman"/>
                <w:sz w:val="20"/>
              </w:rPr>
              <w:t xml:space="preserve">ERISA” means the Employee Retirement Income Security Act of 1974, as amended.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Exchange Ratio” means the ratio (rounded to four decimal places) equal to the quotient obtained by dividing (i) the Serapha Merger Shares by (ii) the Serapha Outstanding Shares.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r>
              <w:rPr/>
              <w:t>“</w:t>
            </w:r>
            <w:r>
              <w:rPr>
                <w:rFonts w:ascii="Times New Roman" w:hAnsi="Times New Roman"/>
                <w:sz w:val="20"/>
              </w:rPr>
              <w:t xml:space="preserve">GAAP” means generally accepted accounting principles as applied in the United States.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Lock-Up Agreements” means the lock-up agreements to be entered into by certain executive officers and directors of Serapha, pursuant to which such persons will be subject to certain restrictions on transfers of shares of Boundless Bio Common Stock for the 180-day period following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Merger” means the merger of Merger Sub with and into Serapha, with Serapha surviving the Merger as a wholly owned subsidiary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Merger Agreement” means the Agreement and Plan of Merger and Reorganization, dated as of June 22, 2026, as amended by Amendment No. 1 to Agreement and Plan of Merger and Reorganization, dated as of August 28, 2026, by and among Boundless Bio, Merger Sub and Serapha, as it may be amended from time to time, a copy of which is attached as </w:t>
            </w:r>
            <w:r>
              <w:rPr>
                <w:rFonts w:ascii="Times New Roman" w:hAnsi="Times New Roman"/>
                <w:i/>
                <w:sz w:val="20"/>
              </w:rPr>
              <w:t>Annex A</w:t>
            </w:r>
            <w:r>
              <w:rPr>
                <w:rFonts w:ascii="Times New Roman" w:hAnsi="Times New Roman"/>
                <w:sz w:val="20"/>
              </w:rPr>
              <w:t xml:space="preserve"> to this proxy statement/prospectus and is incorporated herein by 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Merger Consideration” means, for each share of Serapha Capital Stock outstanding immediately prior to the Effective Time (excluding shares to be canceled pursuant to the Merger Agreement), the right to receive a number of shares of Boundless Bio Common Stock equal to the Exchange Ratio and, to the extent the shares of Boundless Bio Common Stock that would otherwise be issued to such holder would exceed such holder’s Beneficial Ownership Limitation, Boundless Bio Pre-Funded Warrants to purchase a number of shares of Boundless Bio Common Stock equal to such holder’s Remaining Entitlement.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Merger Sub” means Boulder Merger Sub Corp., a Delaware corporation and a direct wholly owned subsidiary of Boundless Bio.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pPr>
            <w:r>
              <w:rPr/>
              <w:t>“</w:t>
            </w:r>
            <w:r>
              <w:rPr>
                <w:rFonts w:ascii="Times New Roman" w:hAnsi="Times New Roman"/>
                <w:sz w:val="20"/>
              </w:rPr>
              <w:t xml:space="preserve">Nasdaq” means the Nasdaq Stock Market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Nasdaq Reverse Split” means the reverse stock split of the outstanding Boundless Bio Common Stock contemplated by the Boundless Bio Charter Amendments, if effected.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Record Date” means the record date for the Boundless Bio Special Meeting, which is the close of business on    ,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Registration Rights Agreement” means the registration rights agreement to be entered into by Serapha and the purchasers of securities in the Serapha Pre-Closing Financing, providing for registration and resale rights with respect to shares of Boundless Bio Common Stock issuable in exchange for such securities upon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Remaining Entitlement” means, with respect to each holder of Serapha Capital Stock, the number of shares of Boundless Bio Common Stock that would otherwise be issued to such holder at the Effective Time in excess of such holder’s Beneficial Ownership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Required Boundless Bio Stockholder Vote” means the applicable affirmative vote of the holders of Boundless Bio Common Stock required under applicable law and the Nasdaq rules to approve the Boundless Bio Stockholder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Required Serapha Stockholder Vote” means the affirmative vote (or written consent) of (i) the holders of a majority of the shares of Serapha Capital Stock outstanding on the record date, voting as a single class on an as-converted basis, and (ii) the holders of a majority of the shares of Serapha Series A Preferred Stock outstanding on the record date and entitled to vote thereon, voting as a separate class.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w:t>
            </w:r>
            <w:r>
              <w:rPr>
                <w:rFonts w:ascii="Times New Roman" w:hAnsi="Times New Roman"/>
                <w:sz w:val="20"/>
              </w:rPr>
              <w:t xml:space="preserve">Rule 144” means Rule 144 promulgated under the Securities Act.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pPr>
            <w:r>
              <w:rPr/>
              <w:t>“</w:t>
            </w:r>
            <w:r>
              <w:rPr>
                <w:rFonts w:ascii="Times New Roman" w:hAnsi="Times New Roman"/>
                <w:sz w:val="20"/>
              </w:rPr>
              <w:t xml:space="preserve">SEC” means the U.S. Securities and Exchange Commission.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pPr>
            <w:r>
              <w:rPr/>
              <w:t>“</w:t>
            </w:r>
            <w:r>
              <w:rPr>
                <w:rFonts w:ascii="Times New Roman" w:hAnsi="Times New Roman"/>
                <w:sz w:val="20"/>
              </w:rPr>
              <w:t xml:space="preserve">Section 262” means Section 262 of the DGCL, relating to appraisal rights.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Securities Purchase Agreement” means the Securities Purchase Agreement, dated as of June 22, 2026, by and among Serapha and the investors named therein, pursuant to which such investors agreed to purchase shares of Serapha Capital Stock in the Serapha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Series A Financing” means the private placement of Serapha Series A Preferred Stock pursuant to the Series A Preferred Stock Purchase Agreement entered into by Serapha concurrently with, or prior to, the execution of the Merger Agreement, for aggregate gross proceeds of approximately $138,000,000.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Series A Financing Agreement” means that certain Series A Preferred Stock Purchase Agreement entered into by Serapha concurrently with, or prior to, the execution of the Merger Agreement, pursuant to which Serapha issued shares of Serapha Series A Preferred Stock in the Series A Financing.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pPr>
            <w:r>
              <w:rPr/>
              <w:t>“</w:t>
            </w:r>
            <w:r>
              <w:rPr>
                <w:rFonts w:ascii="Times New Roman" w:hAnsi="Times New Roman"/>
                <w:sz w:val="20"/>
              </w:rPr>
              <w:t xml:space="preserve">Serapha” means Serapha Bio, Inc., a Delaware corporation.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pPr>
            <w:r>
              <w:rPr/>
              <w:t>“</w:t>
            </w:r>
            <w:r>
              <w:rPr>
                <w:rFonts w:ascii="Times New Roman" w:hAnsi="Times New Roman"/>
                <w:sz w:val="20"/>
              </w:rPr>
              <w:t xml:space="preserve">Serapha Board of Directors” means the board of directors of Serapha.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pPr>
            <w:r>
              <w:rPr/>
              <w:t>“</w:t>
            </w:r>
            <w:r>
              <w:rPr>
                <w:rFonts w:ascii="Times New Roman" w:hAnsi="Times New Roman"/>
                <w:sz w:val="20"/>
              </w:rPr>
              <w:t xml:space="preserve">Serapha Bylaws” means the bylaws of Serapha, as amended, restated, supplemented or corrected from time to time.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pPr>
            <w:r>
              <w:rPr/>
              <w:t>“</w:t>
            </w:r>
            <w:r>
              <w:rPr>
                <w:rFonts w:ascii="Times New Roman" w:hAnsi="Times New Roman"/>
                <w:sz w:val="20"/>
              </w:rPr>
              <w:t xml:space="preserve">Serapha Capital Stock” means the Serapha Common Stock and the Serapha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Charter” means the certificate of incorporation of Serapha, as amended, restated, supplemented or corrected from time to time.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pPr>
            <w:r>
              <w:rPr/>
              <w:t>“</w:t>
            </w:r>
            <w:r>
              <w:rPr>
                <w:rFonts w:ascii="Times New Roman" w:hAnsi="Times New Roman"/>
                <w:sz w:val="20"/>
              </w:rPr>
              <w:t xml:space="preserve">Serapha Common Stock” means the common stock, par value $0.00001 per share, of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Employee Plan” means any employee plan that Serapha or any of its subsidiaries (i) sponsors, maintains, administers, or contributes to, (ii) may reasonably be expected to have any liability under, or (iii) utilizes to provide benefits to or otherwise cover any current or former employee, officer, director or other service provider of Serapha or any of its subsidiaries (or their spouses, dependents, or beneficiaries), but excluding any employee plan in which Serapha or any of its subsidiaries participates that is sponsored by any professional employer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Equity Incentive Plan” means the Serapha Bio, Inc. 2026 Equity Incentive Plan, as amended and/or restated from time to time.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pPr>
            <w:r>
              <w:rPr/>
              <w:t>“</w:t>
            </w:r>
            <w:r>
              <w:rPr>
                <w:rFonts w:ascii="Times New Roman" w:hAnsi="Times New Roman"/>
                <w:sz w:val="20"/>
              </w:rPr>
              <w:t xml:space="preserve">Serapha Option” means each option or other right to purchase shares of Serapha Capital Stock issued by Serapha.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left"/>
              <w:rPr/>
            </w:pPr>
            <w:r>
              <w:rPr/>
              <w:t>“</w:t>
            </w:r>
            <w:r>
              <w:rPr>
                <w:rFonts w:ascii="Times New Roman" w:hAnsi="Times New Roman"/>
                <w:sz w:val="20"/>
              </w:rPr>
              <w:t xml:space="preserve">Serapha RSU” means each restricted stock unit award covering shares of Serapha Capital Stock issued by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Pre-Closing Financing” means, collectively, (i) the private placement of shares of Serapha Capital Stock and Serapha Pre-Funded Warrants pursuant to the Securities Purchase Agreement entered into concurrently with the Merger Agreement and (ii) the Series A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Pre-Funded Warrants” means the pre-funded warrants to purchase shares of Serapha Capital Stock issued by Serapha.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Preferred Stock” means the shares of Serapha’s capital stock designated as preferred stock, including the Serapha Series A Preferred Stock and the Serapha Series A-1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Series A Preferred Stock” means a series of Serapha’s preferred stock designated as Series A Preferred Stock, $0.00001 par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Series A-1 Preferred Stock” means a series of Serapha’s preferred stock designated as Series A-1 Preferred Stock, $0.00001 par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Stockholder Written Consents” means the written consents of Serapha stockholders, executed following effectiveness of the Registration Statement, adopting and approving the Merger Agreement and the Contemplated Transactions and constituting the Required Serapha Stockholder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Support Agreements” means the support agreements entered into by certain stockholders of Serapha in connection with the Merger Agreement, pursuant to which such stockholders agreed to vote their shares in favor of the Contemplated Transactions.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pPr>
            <w:r>
              <w:rPr/>
              <w:t>“</w:t>
            </w:r>
            <w:r>
              <w:rPr>
                <w:rFonts w:ascii="Times New Roman" w:hAnsi="Times New Roman"/>
                <w:sz w:val="20"/>
              </w:rPr>
              <w:t xml:space="preserve">Serapha Warrant” means each warrant to purchase shares of Serapha Capital Stock issued by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Surviving Corporation” means Serapha, as the surviving corporation of the Merger and a wholly owned subsidiary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YolTech” means Shanghai Yaotang Biotechnology Co., Ltd. (also known as YolTech Therapeutics Co., Ltd.), a company incorporated under the laws of the People’s Republic of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YolTech License Agreement” means that certain Exclusive License Agreement, dated June 12, 2026, by and between Serapha and YolTech, as amended or modified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YolTech Warrant” means that certain Serapha Warrant, dated as of June 12, 2026, issued to YolTech in connection with the YolTech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x108148_1"/>
      <w:bookmarkEnd w:id="2"/>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The issuances of (i) all shares of Boundless Bio Common Stock and Boundless Bio Pre-Funded Warrants, as applicable, in exchange for shares of Serapha Capital Stock (including shares of Serapha Common Stock issued in the Serapha Pre-Closing Financing), (ii) all shares of Boundless Bio Common Stock issuable upon exercise of Boundless Bio Pre-Funded Warrants, (iii) all shares of Boundless Bio Common Stock issuable upon exercise of Assumed Warrants issued in exchange for Serapha Warrants and/or Serapha Pre-Funded Warrants sold in the Serapha Pre-Closing Financing, as applicable, (iv) all Assumed Warrants issued in exchange for Serapha Warrants and Serapha Pre-Funded Warrants, (v) all shares of Boundless Bio Common Stock issuable upon settlement of Assumed RSUs issued in exchange for Serapha RSUs, (vi) all Assumed RSUs issued in exchange for Serapha RSUs, (vii) all Assumed Options issued in exchange for options to purchase shares of Serapha Common Stock, and (viii) all shares of Boundless Bio Common Stock issuable upon exercise of Assumed Options issued in exchange for options to purchase shares of Serapha Common Stock are intended to be covered by this registration statement on Form S-4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There is no difference between (A) the shares of Boundless Bio Common Stock that will be issued in exchange for shares of Serapha Common Stock issued in the Serapha Pre-Closing Financing, (B) the shares of Boundless Bio Common Stock or Boundless Bio Pre-Funded Warrants, as applicable, that will be issued in exchange for other shares of Serapha Capital Stock, (C) the shares of Boundless Bio Common Stock that will be issuable upon exercise of the Boundless Bio Pre-Funded Warrants, (D) the shares of Boundless Bio Common Stock that will be issuable upon the exercise of Assumed Warrants that will be issued in exchange for Serapha Warrants and/or Serapha Pre-Funded Warrants sold in the Serapha Pre-Closing Financing, as applicable, (E) the Assumed Warrants that will be issued in exchange for Serapha Warrants and Serapha Pre-Funded Warrants, (F) the shares of Boundless Bio Common Stock that will be issuable upon the settlement of Assumed RSUs that will be issued in exchange for Serapha RSUs, (G) the Assumed RSUs that will be issued in exchange for Serapha RSUs and (H) the shares of Boundless Bio Common Stock issuable upon exercise of the Assumed Options that will be issued in exchange for options to purchase shares of Serapha Common Stock. </w:t>
      </w:r>
    </w:p>
    <w:p>
      <w:pPr>
        <w:pStyle w:val="TextBody"/>
        <w:bidi w:val="0"/>
        <w:spacing w:before="480" w:after="0"/>
        <w:jc w:val="center"/>
        <w:rPr>
          <w:rFonts w:ascii="Times New Roman" w:hAnsi="Times New Roman"/>
          <w:b/>
          <w:sz w:val="20"/>
        </w:rPr>
      </w:pPr>
      <w:bookmarkStart w:id="3" w:name="tx108148_2"/>
      <w:bookmarkEnd w:id="3"/>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Boundless Bio that is not included in or delivered with this document. You may obtain this information without charge through the SEC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Boundless Bio by calling (858) 766-9912 or via email to legal@boundlessbio.com.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 2026 to receive them before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Boundless Bio, please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
      <w:bookmarkStart w:id="5" w:name="tx108148_3"/>
      <w:bookmarkEnd w:id="4"/>
      <w:bookmarkEnd w:id="5"/>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x108148_1">
              <w:r>
                <w:rPr>
                  <w:rStyle w:val="InternetLink"/>
                  <w:rFonts w:ascii="Times New Roman" w:hAnsi="Times New Roman"/>
                  <w:sz w:val="20"/>
                </w:rPr>
                <w:t>EXPLANATORY NOTE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vi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
              <w:r>
                <w:rPr>
                  <w:rStyle w:val="InternetLink"/>
                  <w:rFonts w:ascii="Times New Roman" w:hAnsi="Times New Roman"/>
                  <w:sz w:val="20"/>
                </w:rPr>
                <w:t>REFERENCES TO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vi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
              <w:r>
                <w:rPr>
                  <w:rStyle w:val="InternetLink"/>
                  <w:rFonts w:ascii="Times New Roman" w:hAnsi="Times New Roman"/>
                  <w:sz w:val="20"/>
                </w:rPr>
                <w:t>TABLE OF CONTENTS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vii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4">
              <w:r>
                <w:rPr>
                  <w:rStyle w:val="InternetLink"/>
                  <w:rFonts w:ascii="Times New Roman" w:hAnsi="Times New Roman"/>
                  <w:sz w:val="20"/>
                </w:rPr>
                <w:t>QUESTIONS AND ANSWERS ABOUT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ix</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5">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6">
              <w:r>
                <w:rPr>
                  <w:rStyle w:val="InternetLink"/>
                  <w:rFonts w:ascii="Times New Roman" w:hAnsi="Times New Roman"/>
                  <w:sz w:val="20"/>
                </w:rPr>
                <w:t>MARKET PRICE AND DIVIDEND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7">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8">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9">
              <w:r>
                <w:rPr>
                  <w:rStyle w:val="InternetLink"/>
                  <w:rFonts w:ascii="Times New Roman" w:hAnsi="Times New Roman"/>
                  <w:sz w:val="20"/>
                </w:rPr>
                <w:t>THE SPECIAL MEETING OF BOUNDLESS BIO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0">
              <w:r>
                <w:rPr>
                  <w:rStyle w:val="InternetLink"/>
                  <w:rFonts w:ascii="Times New Roman" w:hAnsi="Times New Roman"/>
                  <w:sz w:val="20"/>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1">
              <w:r>
                <w:rPr>
                  <w:rStyle w:val="InternetLink"/>
                  <w:rFonts w:ascii="Times New Roman" w:hAnsi="Times New Roman"/>
                  <w:sz w:val="20"/>
                </w:rPr>
                <w:t>THE MERGER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2">
              <w:r>
                <w:rPr>
                  <w:rStyle w:val="InternetLink"/>
                  <w:rFonts w:ascii="Times New Roman" w:hAnsi="Times New Roman"/>
                  <w:sz w:val="20"/>
                </w:rPr>
                <w:t>AGREEMENTS RELATED TO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212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3">
              <w:r>
                <w:rPr>
                  <w:rStyle w:val="InternetLink"/>
                  <w:rFonts w:ascii="Times New Roman" w:hAnsi="Times New Roman"/>
                  <w:sz w:val="20"/>
                </w:rPr>
                <w:t>BOUNDLESS BIO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216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4">
              <w:r>
                <w:rPr>
                  <w:rStyle w:val="InternetLink"/>
                  <w:rFonts w:ascii="Times New Roman" w:hAnsi="Times New Roman"/>
                  <w:sz w:val="20"/>
                </w:rPr>
                <w:t>BOUNDLESS BIO 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5">
              <w:r>
                <w:rPr>
                  <w:rStyle w:val="InternetLink"/>
                  <w:rFonts w:ascii="Times New Roman" w:hAnsi="Times New Roman"/>
                  <w:sz w:val="20"/>
                </w:rPr>
                <w:t>BOUNDLESS BIO 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6">
              <w:r>
                <w:rPr>
                  <w:rStyle w:val="InternetLink"/>
                  <w:rFonts w:ascii="Times New Roman" w:hAnsi="Times New Roman"/>
                  <w:sz w:val="20"/>
                </w:rPr>
                <w:t>SERAPHA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7">
              <w:r>
                <w:rPr>
                  <w:rStyle w:val="InternetLink"/>
                  <w:rFonts w:ascii="Times New Roman" w:hAnsi="Times New Roman"/>
                  <w:sz w:val="20"/>
                </w:rPr>
                <w:t>SERAPHA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8">
              <w:r>
                <w:rPr>
                  <w:rStyle w:val="InternetLink"/>
                  <w:rFonts w:ascii="Times New Roman" w:hAnsi="Times New Roman"/>
                  <w:sz w:val="20"/>
                </w:rPr>
                <w:t>MATTERS BEING SUBMITTED TO A VOTE OF BOUNDLESS BIO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19">
              <w:r>
                <w:rPr>
                  <w:rStyle w:val="InternetLink"/>
                  <w:rFonts w:ascii="Times New Roman" w:hAnsi="Times New Roman"/>
                  <w:sz w:val="20"/>
                </w:rPr>
                <w:t>PROPOSAL NO. 1 - THE NASDAQ STOCK ISSUANCE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0">
              <w:r>
                <w:rPr>
                  <w:rStyle w:val="InternetLink"/>
                  <w:rFonts w:ascii="Times New Roman" w:hAnsi="Times New Roman"/>
                  <w:sz w:val="20"/>
                </w:rPr>
                <w:t>PROPOSAL NO. 2 - THE NASDAQ REVERSE SPLIT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1">
              <w:r>
                <w:rPr>
                  <w:rStyle w:val="InternetLink"/>
                  <w:rFonts w:ascii="Times New Roman" w:hAnsi="Times New Roman"/>
                  <w:sz w:val="20"/>
                </w:rPr>
                <w:t>PROPOSAL NO. 3 - THE AUTHORIZED SHARE INCREASE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2">
              <w:r>
                <w:rPr>
                  <w:rStyle w:val="InternetLink"/>
                  <w:rFonts w:ascii="Times New Roman" w:hAnsi="Times New Roman"/>
                  <w:sz w:val="20"/>
                </w:rPr>
                <w:t>PROPOSAL NO. 4 - THE STOCK PLAN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3">
              <w:r>
                <w:rPr>
                  <w:rStyle w:val="InternetLink"/>
                  <w:rFonts w:ascii="Times New Roman" w:hAnsi="Times New Roman"/>
                  <w:sz w:val="20"/>
                </w:rPr>
                <w:t>PROPOSAL NO. 5 - THE ESPP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4">
              <w:r>
                <w:rPr>
                  <w:rStyle w:val="InternetLink"/>
                  <w:rFonts w:ascii="Times New Roman" w:hAnsi="Times New Roman"/>
                  <w:sz w:val="20"/>
                </w:rPr>
                <w:t>PROPOSAL NO. 6 - THE ADJOURNMENT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5">
              <w:r>
                <w:rPr>
                  <w:rStyle w:val="InternetLink"/>
                  <w:rFonts w:ascii="Times New Roman" w:hAnsi="Times New Roman"/>
                  <w:sz w:val="20"/>
                </w:rPr>
                <w:t>BOUNDLESS BIO’S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6">
              <w:r>
                <w:rPr>
                  <w:rStyle w:val="InternetLink"/>
                  <w:rFonts w:ascii="Times New Roman" w:hAnsi="Times New Roman"/>
                  <w:sz w:val="20"/>
                </w:rPr>
                <w:t>SERAPHA’S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274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7">
              <w:r>
                <w:rPr>
                  <w:rStyle w:val="InternetLink"/>
                  <w:rFonts w:ascii="Times New Roman" w:hAnsi="Times New Roman"/>
                  <w:sz w:val="20"/>
                </w:rPr>
                <w:t>BOUNDLESS BIO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8">
              <w:r>
                <w:rPr>
                  <w:rStyle w:val="InternetLink"/>
                  <w:rFonts w:ascii="Times New Roman" w:hAnsi="Times New Roman"/>
                  <w:sz w:val="20"/>
                </w:rPr>
                <w:t>QUANTITATIVE AND QUALITATIVE DISCLOSURES ABOUT THE MARKET RISK OF BOUNDLESS 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329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29">
              <w:r>
                <w:rPr>
                  <w:rStyle w:val="InternetLink"/>
                  <w:rFonts w:ascii="Times New Roman" w:hAnsi="Times New Roman"/>
                  <w:sz w:val="20"/>
                </w:rPr>
                <w:t>SERAPHA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0">
              <w:r>
                <w:rPr>
                  <w:rStyle w:val="InternetLink"/>
                  <w:rFonts w:ascii="Times New Roman" w:hAnsi="Times New Roman"/>
                  <w:sz w:val="20"/>
                </w:rPr>
                <w:t>MANAGEMENT FOLLOWING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1">
              <w:r>
                <w:rPr>
                  <w:rStyle w:val="InternetLink"/>
                  <w:rFonts w:ascii="Times New Roman" w:hAnsi="Times New Roman"/>
                  <w:sz w:val="20"/>
                </w:rPr>
                <w:t>CERTAIN RELATIONSHIPS AND RELATED PARTY TRANSACTIONS OF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2">
              <w:r>
                <w:rPr>
                  <w:rStyle w:val="InternetLink"/>
                  <w:rFonts w:ascii="Times New Roman" w:hAnsi="Times New Roman"/>
                  <w:sz w:val="20"/>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3">
              <w:r>
                <w:rPr>
                  <w:rStyle w:val="InternetLink"/>
                  <w:rFonts w:ascii="Times New Roman" w:hAnsi="Times New Roman"/>
                  <w:sz w:val="20"/>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4">
              <w:r>
                <w:rPr>
                  <w:rStyle w:val="InternetLink"/>
                  <w:rFonts w:ascii="Times New Roman" w:hAnsi="Times New Roman"/>
                  <w:sz w:val="20"/>
                </w:rPr>
                <w:t>DESCRIPTION OF BOUNDLESS BIO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366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5">
              <w:r>
                <w:rPr>
                  <w:rStyle w:val="InternetLink"/>
                  <w:rFonts w:ascii="Times New Roman" w:hAnsi="Times New Roman"/>
                  <w:sz w:val="20"/>
                </w:rPr>
                <w:t>COMPARISON OF RIGHTS OF HOLDERS OF BOUNDLESS BIO CAPITAL STOCK AND SERAPHA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371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6">
              <w:r>
                <w:rPr>
                  <w:rStyle w:val="InternetLink"/>
                  <w:rFonts w:ascii="Times New Roman" w:hAnsi="Times New Roman"/>
                  <w:sz w:val="20"/>
                </w:rPr>
                <w:t>PRINCIPAL STOCKHOLDERS OF BOUNDLESS 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383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7">
              <w:r>
                <w:rPr>
                  <w:rStyle w:val="InternetLink"/>
                  <w:rFonts w:ascii="Times New Roman" w:hAnsi="Times New Roman"/>
                  <w:sz w:val="20"/>
                </w:rPr>
                <w:t>PRINCIPAL STOCKHOLDERS OF SERAPHA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386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8">
              <w:r>
                <w:rPr>
                  <w:rStyle w:val="InternetLink"/>
                  <w:rFonts w:ascii="Times New Roman" w:hAnsi="Times New Roman"/>
                  <w:sz w:val="20"/>
                </w:rPr>
                <w:t>PRINCIPAL STOCKHOLDERS OF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389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39">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40">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41">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42">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x108148_43">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195" w:type="dxa"/>
        <w:jc w:val="left"/>
        <w:tblInd w:w="0" w:type="dxa"/>
        <w:tblLayout w:type="fixed"/>
        <w:tblCellMar>
          <w:top w:w="0" w:type="dxa"/>
          <w:left w:w="0" w:type="dxa"/>
          <w:bottom w:w="0" w:type="dxa"/>
          <w:right w:w="0" w:type="dxa"/>
        </w:tblCellMar>
      </w:tblPr>
      <w:tblGrid>
        <w:gridCol w:w="9545"/>
        <w:gridCol w:w="120"/>
        <w:gridCol w:w="60"/>
        <w:gridCol w:w="395"/>
        <w:gridCol w:w="75"/>
      </w:tblGrid>
      <w:tr>
        <w:trPr/>
        <w:tc>
          <w:tcPr>
            <w:tcW w:w="9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x108148_44">
              <w:r>
                <w:rPr>
                  <w:rStyle w:val="InternetLink"/>
                  <w:rFonts w:ascii="Times New Roman" w:hAnsi="Times New Roman"/>
                  <w:sz w:val="20"/>
                </w:rPr>
                <w:t xml:space="preserve">Annex A – AGREEMENT AND PLAN OF MERGER AND REORGANIZATION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jc w:val="left"/>
              <w:rPr/>
            </w:pPr>
            <w:hyperlink w:anchor="tx108148_45">
              <w:r>
                <w:rPr>
                  <w:rStyle w:val="InternetLink"/>
                  <w:rFonts w:ascii="Times New Roman" w:hAnsi="Times New Roman"/>
                  <w:sz w:val="20"/>
                </w:rPr>
                <w:t xml:space="preserve">Annex B – FORM OF AMENDMENT FOR THE BOUNDLESS BIO CHARTER (REVERSE STOCK SPLIT)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jc w:val="left"/>
              <w:rPr/>
            </w:pPr>
            <w:hyperlink w:anchor="tx108148_46">
              <w:r>
                <w:rPr>
                  <w:rStyle w:val="InternetLink"/>
                  <w:rFonts w:ascii="Times New Roman" w:hAnsi="Times New Roman"/>
                  <w:sz w:val="20"/>
                </w:rPr>
                <w:t xml:space="preserve">Annex C – FORM OF AMENDMENT FOR THE BOUNDLESS BIO CHARTER (AUTHORIZED SHARE INCREASE)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0"/>
              <w:jc w:val="left"/>
              <w:rPr/>
            </w:pPr>
            <w:hyperlink w:anchor="tx108148_47">
              <w:r>
                <w:rPr>
                  <w:rStyle w:val="InternetLink"/>
                  <w:rFonts w:ascii="Times New Roman" w:hAnsi="Times New Roman"/>
                  <w:sz w:val="20"/>
                </w:rPr>
                <w:t xml:space="preserve">Annex D – FORM OF BOUNDLESS BIO, INC. PROXY CARD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48">
              <w:r>
                <w:rPr>
                  <w:rStyle w:val="InternetLink"/>
                </w:rPr>
                <w:t xml:space="preserve">Annex E – LUCID FAIRNESS OPINION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E-1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49">
              <w:r>
                <w:rPr>
                  <w:rStyle w:val="InternetLink"/>
                </w:rPr>
                <w:t xml:space="preserve">Annex F – APPRAISAL RIGHTS (DGCL SECTION 262)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0">
              <w:r>
                <w:rPr>
                  <w:rStyle w:val="InternetLink"/>
                </w:rPr>
                <w:t xml:space="preserve">Annex G – FORM OF BOUNDLESS BIO SUPPORT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G-1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1">
              <w:r>
                <w:rPr>
                  <w:rStyle w:val="InternetLink"/>
                </w:rPr>
                <w:t xml:space="preserve">Annex H – FORM OF SERAPHA SUPPORT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H-1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2">
              <w:r>
                <w:rPr>
                  <w:rStyle w:val="InternetLink"/>
                </w:rPr>
                <w:t xml:space="preserve">Annex I – FORM OF LOCK-UP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I-1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3">
              <w:r>
                <w:rPr>
                  <w:rStyle w:val="InternetLink"/>
                </w:rPr>
                <w:t xml:space="preserve">Annex J – SECURITIES PURCHASE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4">
              <w:r>
                <w:rPr>
                  <w:rStyle w:val="InternetLink"/>
                </w:rPr>
                <w:t>Annex K – FORM OF SERAPHA 2026 STOCK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K-1</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pPr>
            <w:hyperlink w:anchor="tx108148_55">
              <w:r>
                <w:rPr>
                  <w:rStyle w:val="InternetLink"/>
                </w:rPr>
                <w:t xml:space="preserve">Annex L – FORM OF SERAPHA 2026 EMPLOYEE STOCK PURCHASE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L-1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08148_4"/>
      <w:bookmarkEnd w:id="6"/>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Nasdaq Reverse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275"/>
        <w:gridCol w:w="1775"/>
      </w:tblGrid>
      <w:tr>
        <w:trPr/>
        <w:tc>
          <w:tcPr>
            <w:tcW w:w="275" w:type="dxa"/>
            <w:tcBorders/>
            <w:vAlign w:val="center"/>
          </w:tcPr>
          <w:p>
            <w:pPr>
              <w:pStyle w:val="TableContents"/>
              <w:bidi w:val="0"/>
              <w:spacing w:before="0" w:after="283"/>
              <w:jc w:val="left"/>
              <w:rPr>
                <w:b/>
                <w:i/>
              </w:rPr>
            </w:pPr>
            <w:r>
              <w:rPr>
                <w:b/>
                <w:i/>
              </w:rPr>
              <w:t>Q.</w:t>
            </w:r>
          </w:p>
        </w:tc>
        <w:tc>
          <w:tcPr>
            <w:tcW w:w="17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June 22, 2026, Boundless Bio, Serapha and Merger Sub entered into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will merge with and into Serapha, with Serapha continuing as a wholly owned subsidiary of Boundless Bio and the surviving corporation of the Merger. This transaction is referred to in this proxy statement/prospectus as the “Merger.” In connection with the Merger, Boundless Bio will change its corporate name to “Serapha Bio, Inc.”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75"/>
        <w:gridCol w:w="4835"/>
      </w:tblGrid>
      <w:tr>
        <w:trPr/>
        <w:tc>
          <w:tcPr>
            <w:tcW w:w="275" w:type="dxa"/>
            <w:tcBorders/>
            <w:vAlign w:val="center"/>
          </w:tcPr>
          <w:p>
            <w:pPr>
              <w:pStyle w:val="TableContents"/>
              <w:bidi w:val="0"/>
              <w:spacing w:before="0" w:after="283"/>
              <w:jc w:val="left"/>
              <w:rPr>
                <w:b/>
                <w:i/>
              </w:rPr>
            </w:pPr>
            <w:r>
              <w:rPr>
                <w:b/>
                <w:i/>
              </w:rPr>
              <w:t>Q.</w:t>
            </w:r>
          </w:p>
        </w:tc>
        <w:tc>
          <w:tcPr>
            <w:tcW w:w="48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Serapha securityholders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(i) each then-outstanding share of Serapha Capital Stock (including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192 of this proxy statement/prospectus), (ii) each then-outstanding Serapha Option will be converted into and become an Assumed Option, subject to adjustment as set forth in the Merger Agreement, (iii) each then-outstanding Serapha RSU will be converted into and become an Assumed RSU, subject to adjustment as set forth in the Merger Agreement, and (iv) each then-outstanding and unexercised Serapha Warrant (including any Serapha Pre-Funded Warrants) will be converted into an Assumed Warrant, subject to adjustment as set forth in the 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Serapha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pages 191 and 192, respectively, of this proxy statement/prospectus. For a description of the effect of the Serapha Pre-Closing Financing on Serapha’s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275"/>
        <w:gridCol w:w="5345"/>
      </w:tblGrid>
      <w:tr>
        <w:trPr/>
        <w:tc>
          <w:tcPr>
            <w:tcW w:w="275" w:type="dxa"/>
            <w:tcBorders/>
            <w:vAlign w:val="center"/>
          </w:tcPr>
          <w:p>
            <w:pPr>
              <w:pStyle w:val="TableContents"/>
              <w:bidi w:val="0"/>
              <w:spacing w:before="0" w:after="283"/>
              <w:jc w:val="left"/>
              <w:rPr>
                <w:b/>
                <w:i/>
              </w:rPr>
            </w:pPr>
            <w:r>
              <w:rPr>
                <w:b/>
                <w:i/>
              </w:rPr>
              <w:t>Q.</w:t>
            </w:r>
          </w:p>
        </w:tc>
        <w:tc>
          <w:tcPr>
            <w:tcW w:w="53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Boundless Bio securityholders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Nasdaq Reverse Split, will be unaffected by the Merger. Prior to the Effective Time, the Boundless Bio Board of Directors will accelerate the vesting of all outstanding Boundless Bio Options previously granted under the Boundless Bio 2024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Boundless Bio 2018 Plan. Each Boundless Bio Cancelled Option outstanding immediately prior to the Effective Time will be cancelled for no consideration, and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3.8% of the outstanding shares of capital stock of the Combined Company on a fully-diluted basis and former Serapha securityholders are expected to own approximately 96.2% of the outstanding shares of capital stock of the Combined Company on a fully-diluted basis. Under certain circumstances further described in the Merger Agreement, the ownership percentages may be adjusted up or down including, but not limited to, if Boundless Bio Net Cash as of Closing is lower than $0. </w:t>
      </w:r>
    </w:p>
    <w:p>
      <w:pPr>
        <w:pStyle w:val="TextBody"/>
        <w:bidi w:val="0"/>
        <w:spacing w:before="120" w:after="0"/>
        <w:jc w:val="left"/>
        <w:rPr>
          <w:rFonts w:ascii="Times New Roman" w:hAnsi="Times New Roman"/>
          <w:sz w:val="20"/>
        </w:rPr>
      </w:pPr>
      <w:r>
        <w:rPr>
          <w:rFonts w:ascii="Times New Roman" w:hAnsi="Times New Roman"/>
          <w:sz w:val="20"/>
        </w:rPr>
        <w:t xml:space="preserve">In addition, prior to the Effective Time, the Boundless Bio Board of Directors expects to declare the Boundless Bio Pre-Closing Dividend to the pre-Merger Boundless Bio stockholders equal in the aggregate to Boundless Bio’s reasonable, good faith approximation of the amount by which Boundless Bio Net Cash (as determined pursuant to the Merger Agreement) is expected to exceed $0. Boundless Bio management currently estimates that the aggregate amount of cash to be distributed to stockholders of record as of the record date for the Boundless Bio Pre-Closing Dividend will be approximately $44 million to $48 million. If Proposal Nos. 1, 2 and 3, including the Nasdaq Reverse Split Proposal, are approved, Boundless Bio expects to (i) pay the Boundless Bio Pre-Closing Dividend and (ii) effect the Nasdaq Reverse Split following the payment of the Boundless Bio Pre-Closing Dividend and immediately prior to the Closing.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Boundless Bio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191, 192 and 19, respectively, of this proxy statement/prospectus.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283"/>
              <w:jc w:val="left"/>
              <w:rPr>
                <w:b/>
                <w:i/>
              </w:rPr>
            </w:pPr>
            <w:r>
              <w:rPr>
                <w:b/>
                <w:i/>
              </w:rPr>
              <w:t>Q.</w:t>
            </w:r>
          </w:p>
        </w:tc>
        <w:tc>
          <w:tcPr>
            <w:tcW w:w="41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are the two companies proposing to merge?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Boundless Bio and Serapha believe that combining the two companies will result in a company focused on the development and commercialization of Serapha’s only product candidate, SERP-01, for the treatment of severe Alpha-1 Antitrypsin Deficiency (“AATD”). If the Merger is completed, the business of Serapha will continue as the business of the Combined Company, and the Combined Company does not intend to continue development of any of Boundless Bio’s legacy product candidates. For a more complete description of the reasons for the Merger, please see the sections titled “</w:t>
            </w:r>
            <w:r>
              <w:rPr>
                <w:rFonts w:ascii="Times New Roman" w:hAnsi="Times New Roman"/>
                <w:i/>
                <w:sz w:val="20"/>
              </w:rPr>
              <w:t>The Merger — Boundless Bio’s Reasons for the Merger</w:t>
            </w:r>
            <w:r>
              <w:rPr>
                <w:rFonts w:ascii="Times New Roman" w:hAnsi="Times New Roman"/>
                <w:sz w:val="20"/>
              </w:rPr>
              <w:t>” and “</w:t>
            </w:r>
            <w:r>
              <w:rPr>
                <w:rFonts w:ascii="Times New Roman" w:hAnsi="Times New Roman"/>
                <w:i/>
                <w:sz w:val="20"/>
              </w:rPr>
              <w:t>The Merger — Serapha’s Reasons for the Merger</w:t>
            </w:r>
            <w:r>
              <w:rPr>
                <w:rFonts w:ascii="Times New Roman" w:hAnsi="Times New Roman"/>
                <w:sz w:val="20"/>
              </w:rPr>
              <w:t xml:space="preserve">” beginning on pages 154 and 158, respectively, of this proxy statement/prospectus.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75"/>
        <w:gridCol w:w="5465"/>
      </w:tblGrid>
      <w:tr>
        <w:trPr/>
        <w:tc>
          <w:tcPr>
            <w:tcW w:w="275" w:type="dxa"/>
            <w:tcBorders/>
            <w:vAlign w:val="center"/>
          </w:tcPr>
          <w:p>
            <w:pPr>
              <w:pStyle w:val="TableContents"/>
              <w:bidi w:val="0"/>
              <w:spacing w:before="0" w:after="283"/>
              <w:jc w:val="left"/>
              <w:rPr>
                <w:b/>
                <w:i/>
              </w:rPr>
            </w:pPr>
            <w:r>
              <w:rPr>
                <w:b/>
                <w:i/>
              </w:rPr>
              <w:t>Q.</w:t>
            </w:r>
          </w:p>
        </w:tc>
        <w:tc>
          <w:tcPr>
            <w:tcW w:w="54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Boundless Bio’s legacy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completion of the Merger, the Combined Company plans to focus on advancing SERP-01, an investigational in vivo base editing therapy for AATD, and does not intend to continue development of any of Boundless Bio’s legacy product candidates. Boundless Bio may continue to evaluate opportunities for its product candidates,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Agreement is terminated, Boundless Bio may pursue other strategic alternatives, including financing opportunities, or liquidation.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275"/>
        <w:gridCol w:w="7895"/>
      </w:tblGrid>
      <w:tr>
        <w:trPr/>
        <w:tc>
          <w:tcPr>
            <w:tcW w:w="275" w:type="dxa"/>
            <w:tcBorders/>
            <w:vAlign w:val="center"/>
          </w:tcPr>
          <w:p>
            <w:pPr>
              <w:pStyle w:val="TableContents"/>
              <w:bidi w:val="0"/>
              <w:spacing w:before="0" w:after="283"/>
              <w:jc w:val="left"/>
              <w:rPr>
                <w:b/>
                <w:i/>
              </w:rPr>
            </w:pPr>
            <w:r>
              <w:rPr>
                <w:b/>
                <w:i/>
              </w:rPr>
              <w:t>Q.</w:t>
            </w:r>
          </w:p>
        </w:tc>
        <w:tc>
          <w:tcPr>
            <w:tcW w:w="78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Boundless Bio if, for any reason, the Merger with Serapha does not close?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invested significant time and has incurred, and expects to continue to incur, significant expenses related to the proposed Merger with Serapha. In the event the Merger does not close, Boundless 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will have a limited ability to continue its current operations indefinitely. Although the Boundless Bio Board of Directors may elect, among other things, to attempt to complete another strategic transaction if the Merger with Serapha does not close, the Boundless Bio Board of Directors may instead take steps necessary to liquidate or dissolve Boundless Bio’s business and assets if a viable alternative transaction is not available. If Boundless Bio decides to dissolve and liquidate its assets, Boundless Bio would be required to pay all of its contractual obligations, and to set aside certain reserves for potential future claims, and there can be no assurance as to the amount of and the timing for such liquidation and distribution, or as to the available cash that will be left to distribute to stockholders after paying the obligations of Boundless Bio and setting aside funds for reserves.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275"/>
        <w:gridCol w:w="4445"/>
      </w:tblGrid>
      <w:tr>
        <w:trPr/>
        <w:tc>
          <w:tcPr>
            <w:tcW w:w="275" w:type="dxa"/>
            <w:tcBorders/>
            <w:vAlign w:val="center"/>
          </w:tcPr>
          <w:p>
            <w:pPr>
              <w:pStyle w:val="TableContents"/>
              <w:bidi w:val="0"/>
              <w:spacing w:before="0" w:after="283"/>
              <w:jc w:val="left"/>
              <w:rPr>
                <w:b/>
                <w:i/>
              </w:rPr>
            </w:pPr>
            <w:r>
              <w:rPr>
                <w:b/>
                <w:i/>
              </w:rPr>
              <w:t>Q.</w:t>
            </w:r>
          </w:p>
        </w:tc>
        <w:tc>
          <w:tcPr>
            <w:tcW w:w="44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Boundless Bio as of the applicable record date, and you are entitled to vote to approve the matters set forth herein. This document serves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Boundless Bio used to solicit proxies for the Boundless Bio Special Meeting to vote on the matters set forth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prospectus of Boundless Bio used to offer (i) shares of Boundless Bio Common Stock and/or Assumed Warrants and/or Boundless Bio Pre-Funded Warrants, as applicable, issued in exchange for shares of Serapha Capital Stock (including shares of Serapha Common Stock issued in the Serapha Pre-Closing Financing) and (ii) shares of Boundless Bio Common Stock issuable upon exercise of Assumed Warrants issued in exchange for Serapha Pre-Funded Warrants sold in the Serapha Pre-Closing Financing and the Boundless Bio Pre-Funded Warrants (see the section titled “</w:t>
            </w:r>
            <w:r>
              <w:rPr>
                <w:rFonts w:ascii="Times New Roman" w:hAnsi="Times New Roman"/>
                <w:i/>
                <w:sz w:val="20"/>
              </w:rPr>
              <w:t>EXPLANATORY NOTE</w:t>
            </w:r>
            <w:r>
              <w:rPr>
                <w:rFonts w:ascii="Times New Roman" w:hAnsi="Times New Roman"/>
                <w:sz w:val="20"/>
              </w:rPr>
              <w:t xml:space="preserve">” on page i of this proxy statement/prospectus).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275"/>
        <w:gridCol w:w="3800"/>
      </w:tblGrid>
      <w:tr>
        <w:trPr/>
        <w:tc>
          <w:tcPr>
            <w:tcW w:w="275" w:type="dxa"/>
            <w:tcBorders/>
            <w:vAlign w:val="center"/>
          </w:tcPr>
          <w:p>
            <w:pPr>
              <w:pStyle w:val="TableContents"/>
              <w:bidi w:val="0"/>
              <w:spacing w:before="0" w:after="283"/>
              <w:jc w:val="left"/>
              <w:rPr>
                <w:b/>
                <w:i/>
              </w:rPr>
            </w:pPr>
            <w:r>
              <w:rPr>
                <w:b/>
                <w:i/>
              </w:rPr>
              <w:t>Q.</w:t>
            </w:r>
          </w:p>
        </w:tc>
        <w:tc>
          <w:tcPr>
            <w:tcW w:w="38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Serapha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June 22, 2026, concurrently with the execution and delivery of the Merger Agreement, Serapha entered into the Securities Purchase Agreement with certain investors named therein, including, among others, RA Capital Management, RTW Investments, Janus Henderson Investors, Decheng Capital, Vivo Capital, Casdin Capital, LifeSci Venture Partners, Logos Capital, Balyasny Asset Management, and Eventide Asset Management, pursuant to which such investors agreed to purchase shares of Serapha Common Stock and Serapha Pre-Funded Warrants at an estimated purchase price of $4.4997 per share and $4.49969 per pre-funded warrant for an aggregate purchase price of approximately $92.0 million. Shares of Serapha Common Stock and Serapha Pre-Funded Warrants issued pursuant to this financing transaction will be converted into shares of Boundless Bio Common Stock and Assumed Warrants in accordance with the Exchange Ratio and the Merger Agreement. Boundless Bio stockholders should not consider investments made by Serapha’s existing investors as a factor when deciding on how to vote on the proposals in this proxy statement/prospectus, since Serapha’s existing investors may have had different risk tolerances.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the shares of Serapha Common Stock and Serapha Pre-Funded Warrants issued in the Serapha Pre-Closing Financing are expected to represent approximately 65.83% of the outstanding shares of the Combined Company common stock. Boundless Bio, Serapha and the investors participating in the Serapha Pre-Closing Financing have also agreed to enter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The closing of the Serapha Pre-Closing Financing is conditioned upon the satisfaction or waiver of the conditions to the Closing as well as certain other conditions. The closing of the Serapha Pre-Closing Financing is a condition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Therefore, Boundless Bio stockholders are being asked to vote on matters related to the Merger without assurance that the proceeds of the Serapha Pre-Closing Financing will be available at the time the Merger is consummated. The investors in the Serapha Pre-Closing Financing have executed binding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and are obligated to fund their respective commitments at closing, and Serapha would be entitled to pursue specific performance and other contractual remedies to enforce those obligations. However, if the Merger closes before the financing proceeds are received, the Combined Company would initially operate using its then-available cash resources and may need to adjust the timing or scope of certain expenditures until such proceeds are received or alternative capital is obtained.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Serapha Pre-Closing Financing,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212 and 214 of this proxy statement/prospectus, respectively.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275"/>
        <w:gridCol w:w="8525"/>
      </w:tblGrid>
      <w:tr>
        <w:trPr/>
        <w:tc>
          <w:tcPr>
            <w:tcW w:w="275" w:type="dxa"/>
            <w:tcBorders/>
            <w:vAlign w:val="center"/>
          </w:tcPr>
          <w:p>
            <w:pPr>
              <w:pStyle w:val="TableContents"/>
              <w:bidi w:val="0"/>
              <w:spacing w:before="0" w:after="283"/>
              <w:jc w:val="left"/>
              <w:rPr>
                <w:b/>
                <w:i/>
              </w:rPr>
            </w:pPr>
            <w:r>
              <w:rPr>
                <w:b/>
                <w:i/>
              </w:rPr>
              <w:t>Q.</w:t>
            </w:r>
          </w:p>
        </w:tc>
        <w:tc>
          <w:tcPr>
            <w:tcW w:w="852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proposals will be voted on at the Boundless Bio Special Meeting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applicable requisite stockholder vote at the Boundless Bio Special Meeting in order for the Merger to close (the “Merger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Nasdaq Stock Issuance Proposal</w:t>
            </w:r>
            <w:r>
              <w:rPr>
                <w:rFonts w:ascii="Times New Roman" w:hAnsi="Times New Roman"/>
                <w:sz w:val="20"/>
              </w:rPr>
              <w:t xml:space="preserve"> to approve the issuance of shares of Boundless Bio Common Stock (including the shares of Boundless Bio Common Stock issuable upon exercise of the Assumed Warrants and Boundless Bio Pre-Funded Warrants) to stockholders of Serapha pursuant to the terms of the Merger Agreement, a copy of which is attached as </w:t>
            </w:r>
            <w:r>
              <w:rPr>
                <w:rFonts w:ascii="Times New Roman" w:hAnsi="Times New Roman"/>
                <w:i/>
                <w:sz w:val="20"/>
              </w:rPr>
              <w:t>Annex A</w:t>
            </w:r>
            <w:r>
              <w:rPr>
                <w:rFonts w:ascii="Times New Roman" w:hAnsi="Times New Roman"/>
                <w:sz w:val="20"/>
              </w:rPr>
              <w:t xml:space="preserve">, which will (i) represent more than 20% of the shares of Boundless Bio Common Stock outstanding immediately prior to the Merger under Nasdaq Listing Rule 5635(a), and (ii) result in a change of control under Nasdaq Listing Rule 5635(b);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Reverse Split Proposal</w:t>
            </w:r>
            <w:r>
              <w:rPr>
                <w:rFonts w:ascii="Times New Roman" w:hAnsi="Times New Roman"/>
                <w:sz w:val="20"/>
              </w:rPr>
              <w:t xml:space="preserve"> to approve an amendment to the Boundless Bio Charter to effect a reverse stock split of Boundless Bio’s issued and outstanding common stock at a ratio determined by the Boundless Bio Board of Directors and agreed to by Serapha, of one new share of Boundless Bio Common Stock for every    to    shares (or any number in between) of outstanding Boundless Bio Common Stock, in the form attached as </w:t>
            </w:r>
            <w:r>
              <w:rPr>
                <w:rFonts w:ascii="Times New Roman" w:hAnsi="Times New Roman"/>
                <w:i/>
                <w:sz w:val="20"/>
              </w:rPr>
              <w:t xml:space="preserve">Annex B </w:t>
            </w:r>
            <w:r>
              <w:rPr>
                <w:rFonts w:ascii="Times New Roman" w:hAnsi="Times New Roman"/>
                <w:sz w:val="20"/>
              </w:rPr>
              <w:t xml:space="preserve">to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Authorized Share Increase Proposal</w:t>
            </w:r>
            <w:r>
              <w:rPr>
                <w:rFonts w:ascii="Times New Roman" w:hAnsi="Times New Roman"/>
                <w:sz w:val="20"/>
              </w:rPr>
              <w:t xml:space="preserve">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to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Nos. 1, 2 and 3 is a condition to completion of the Merger. The issuance of Boundless Bio Common Stock in connection with the Merger and the change of control resulting from the Merger will not take place unless Proposal Nos. 1, 2 and 3 are approved by Boundless Bio stockholders and the Merger is consummated. The amendment to the Boundless Bio Charter to effect the Nasdaq Reverse Split will not take place unless Proposal No. 2 is approved by the requisite Boundless Bio stockholders; however, Boundless Bio may still elect to proceed with the Nasdaq Reverse Split even if the Merger is not consummated. The amendment to the Boundless Bio Charter to increase the number of authorized shares of Boundless Bio Common Stock will not take place unless Proposal Nos. 1, 2, and 3 are approved by Boundless Bio stockholders and the Merger is consummated. </w:t>
      </w:r>
    </w:p>
    <w:p>
      <w:pPr>
        <w:pStyle w:val="TextBody"/>
        <w:bidi w:val="0"/>
        <w:spacing w:before="120" w:after="0"/>
        <w:jc w:val="left"/>
        <w:rPr>
          <w:rFonts w:ascii="Times New Roman" w:hAnsi="Times New Roman"/>
          <w:sz w:val="20"/>
        </w:rPr>
      </w:pPr>
      <w:r>
        <w:rPr>
          <w:rFonts w:ascii="Times New Roman" w:hAnsi="Times New Roman"/>
          <w:sz w:val="20"/>
        </w:rPr>
        <w:t>In addition to the requirement of obtaining Boundless Bio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207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If Proposal Nos. 1, 2 and 3 are approved, Boundless Bio expects to (i) pay the Boundless Bio Pre-Closing Dividend and (ii) effect the Nasdaq Reverse Split following the payment of the Boundless Bio Pre-Closing Dividend and immediately prior to the Closing. The increase in the number of authorized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Common Stock as described in the Authorized Share Increase Proposal would be effected following the Nasdaq Reverse Split and prior to the Closing. The issuance of shares of Boundless Bio Common Stock to stockholders of Serapha pursuant to the terms of the Merger Agreement as described in the Nasdaq Stock Issuance Proposal would be effected on the Closing Date. The Closing is expected to occur by the fourth quarter of 2026 following the satisfaction of all closing conditions. If approved by Nasdaq, the listing of the Combined Company common stock on Nasdaq will take place effective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Merger Proposals.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275"/>
        <w:gridCol w:w="8930"/>
      </w:tblGrid>
      <w:tr>
        <w:trPr/>
        <w:tc>
          <w:tcPr>
            <w:tcW w:w="275" w:type="dxa"/>
            <w:tcBorders/>
            <w:vAlign w:val="center"/>
          </w:tcPr>
          <w:p>
            <w:pPr>
              <w:pStyle w:val="TableContents"/>
              <w:bidi w:val="0"/>
              <w:spacing w:before="0" w:after="283"/>
              <w:jc w:val="left"/>
              <w:rPr>
                <w:b/>
                <w:i/>
              </w:rPr>
            </w:pPr>
            <w:r>
              <w:rPr>
                <w:b/>
                <w:i/>
              </w:rPr>
              <w:t>Q.</w:t>
            </w:r>
          </w:p>
        </w:tc>
        <w:tc>
          <w:tcPr>
            <w:tcW w:w="8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proposals are to be voted on at the Boundless Bio Special Meeting, other than the Merger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Boundless Bio Special Meeting, the holders of Boundless Bio Common Stock will also be asked to approve the following proposals: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The Stock Plan Proposal</w:t>
            </w:r>
            <w:r>
              <w:rPr>
                <w:rFonts w:ascii="Times New Roman" w:hAnsi="Times New Roman"/>
                <w:sz w:val="20"/>
              </w:rPr>
              <w:t xml:space="preserve"> to approve the Serapha Bio, Inc. 2026 Stock Incentive Plan;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The ESPP Proposal</w:t>
            </w:r>
            <w:r>
              <w:rPr>
                <w:rFonts w:ascii="Times New Roman" w:hAnsi="Times New Roman"/>
                <w:sz w:val="20"/>
              </w:rPr>
              <w:t xml:space="preserve"> to approve the Serapha Bio, Inc.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6 - The Adjournment Proposal</w:t>
            </w:r>
            <w:r>
              <w:rPr>
                <w:rFonts w:ascii="Times New Roman" w:hAnsi="Times New Roman"/>
                <w:sz w:val="20"/>
              </w:rPr>
              <w:t xml:space="preserve"> to approve an adjournment of the Boundless Bio Special Meeting, if necessary, to solicit additional proxies if there are not sufficient votes in favor of Proposal Nos. 1, 2 and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Proposal Nos. 4, 5 and 6 are not conditions to the completion of the Merger. The implementation of Proposal Nos. 4 and 5 are each conditioned on the consummation of the Merger. Boundless Bio does not expect that any matter other than the Proposals will be brought before the Boundless Bio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275"/>
        <w:gridCol w:w="8420"/>
      </w:tblGrid>
      <w:tr>
        <w:trPr/>
        <w:tc>
          <w:tcPr>
            <w:tcW w:w="275" w:type="dxa"/>
            <w:tcBorders/>
            <w:vAlign w:val="center"/>
          </w:tcPr>
          <w:p>
            <w:pPr>
              <w:pStyle w:val="TableContents"/>
              <w:bidi w:val="0"/>
              <w:spacing w:before="0" w:after="283"/>
              <w:jc w:val="left"/>
              <w:rPr>
                <w:b/>
                <w:i/>
              </w:rPr>
            </w:pPr>
            <w:r>
              <w:rPr>
                <w:b/>
                <w:i/>
              </w:rPr>
              <w:t>Q.</w:t>
            </w:r>
          </w:p>
        </w:tc>
        <w:tc>
          <w:tcPr>
            <w:tcW w:w="842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stockholder votes are required to approve the proposals at the Boundless Bio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Abstentions and broker non-votes, if any, will be counted towards the presence of a quorum. The affirmative vote of a majority of the votes properly cast for and against by the holders of Boundless Bio Common Stock at the Boundless Bio Special Meeting, assuming a quorum is present, is required for approval of Proposal Nos. 1, 2, 3, 4, 5 and 6. Each of Proposal No. 1, Proposal No. 2 and Proposal No. 3 is a condition to completion of the Merger. The closing of the Serapha Pre-Closing Financing is conditioned upon the satisfaction or waiver of each of the conditions to the closing of the Merger as well as certain other conditions. Therefore, the Merger and the Serapha Pre-Closing Financing cannot be consummated without the approval of Proposal Nos. 1, 2 and 3. The issuance of Boundless Bio Common Stock in connection with the Merger and the change of control of Boundless Bio resulting from the Merger will not take place unless Proposal Nos. 1, 2 and 3 are approved by Boundless Bio stockholders and the Nasdaq Reverse Split and increase in authorized shares are effected and the Merger is consummated. The amendment to the Boundless Bio Charter to effect the Nasdaq Reverse Split will not take place unless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Proposal No. 2 is approved by the requisite Boundless Bio stockholders. Boundless Bio may still elect to proceed with the Nasdaq Reverse Split if Proposal No. 2 is approved by Boundless Bio’s stockholders even if Proposal No. 1 and/or Proposal No. 3 is not approved, or even if approved, the Merger is not consummated. The amendment to the Boundless Bio Charter to increase the number of authorized shares of Boundless Bio Common Stock will not take place unless Proposal Nos. 1, 2, and 3 are approved by Boundless Bio stockholders and the Merger is consummated. Additionally, the implementation of Proposal Nos. 4 and 5 are each conditioned on the consummation of the Merger. Therefore, if Proposal No. 1, Proposal No. 2 and Proposal No. 3 are not approved and the Merger is not consummated, Proposal Nos. 4 and 5 will each have no effect, even if approved by Boundless Bio stockholders.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Abstentions and broker non-votes, if any, will be treated as shares present for the purpose of determining the presence of a quorum for the transaction of business at the Boundless Bio Special Meeting, but will not be counted as votes cast and will have no effect on the outcome of the vote for each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Boundless Bio seeking stockholder approval to issue shares of Boundless Bio Common Stock to existing stockholders of Serapha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the Boundless Bio Common Stock is listed on Nasdaq, Boundless Bio is subject to the Nasdaq rules. Nasdaq Listing Rule 5635(a) requires stockholder approval with respect to the issuance of Boundless Bio Common Stock when, among other instances, the shares to be issued are being issued in connection with the acquisition of the stock or assets of another company and are equal to 20% or more of the outstanding shares of Boundless Bio Common Stock before the issuance.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Boundless Bio expects to issue approximately 229.8 million shares of Boundless Bio Common Stock, excluding approximately 415.4 million shares of Boundless Bio Common Stock underlying the Serapha Pre-Funded Warrants and/or shares of Serapha Capital Stock, as applicable, to be exchanged for Assumed Warrants. As of September 30, 2026, there were 23,108,935 shares of Boundless Bio Common Stock outstanding. Therefore, Boundless Bio Common Stock to be issued pursuant to the Merger Agreement (including the shares issued to investors in the Serapha Pre-Closing Financing) will represent greater than 20% of its voting stock outstanding before the issuance. </w:t>
      </w:r>
    </w:p>
    <w:p>
      <w:pPr>
        <w:pStyle w:val="TextBody"/>
        <w:bidi w:val="0"/>
        <w:spacing w:before="120" w:after="0"/>
        <w:jc w:val="left"/>
        <w:rPr>
          <w:rFonts w:ascii="Times New Roman" w:hAnsi="Times New Roman"/>
          <w:sz w:val="20"/>
        </w:rPr>
      </w:pPr>
      <w:r>
        <w:rPr>
          <w:rFonts w:ascii="Times New Roman" w:hAnsi="Times New Roman"/>
          <w:sz w:val="20"/>
        </w:rPr>
        <w:t xml:space="preserve">Accordingly, Boundless Bio is seeking stockholder approval of the issuance of Boundless Bio Common Stock pursuant to the Merger Agreement, including the issuance of Boundless Bio Common Stock underlying the Assumed Warrants exchanged for the Serapha Pre-Funded Warrants issued in the Serapha Pre-Closing Financing and the Boundless Bio Pre-Funded Warrants under the Nasdaq rules.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275"/>
        <w:gridCol w:w="5645"/>
      </w:tblGrid>
      <w:tr>
        <w:trPr/>
        <w:tc>
          <w:tcPr>
            <w:tcW w:w="275" w:type="dxa"/>
            <w:tcBorders/>
            <w:vAlign w:val="center"/>
          </w:tcPr>
          <w:p>
            <w:pPr>
              <w:pStyle w:val="TableContents"/>
              <w:bidi w:val="0"/>
              <w:spacing w:before="0" w:after="283"/>
              <w:jc w:val="left"/>
              <w:rPr>
                <w:b/>
                <w:i/>
              </w:rPr>
            </w:pPr>
            <w:r>
              <w:rPr>
                <w:b/>
                <w:i/>
              </w:rPr>
              <w:t>Q.</w:t>
            </w:r>
          </w:p>
        </w:tc>
        <w:tc>
          <w:tcPr>
            <w:tcW w:w="56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Combined Company common stock trade on an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Boundless Bio Common Stock are currently listed on Nasdaq under the symbol “BOLD.” Boundless Bio has filed an initial listing application for the Combined Company common stock with Nasdaq. After completion of the Merger, Boundless Bio will be renamed “Serapha Bio, Inc.” and it is expected that the Combined Company common stock will trade on Nasdaq under the symbol “AATD.” It is a condition to the consummation of the Merger that Boundless Bio will receive confirmation from Nasdaq that the Combined Company has been approved for listing on Nasdaq, but there can be no assurance such listing condition will be met or that Boundless Bio will obtain such confirmation from Nasdaq. If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Boundless Bio will not recirculate an updated proxy statement/prospectus, nor will it solicit a new vote of stockholders prior to proceeding with the Merger. Accordingly, you are advised that Boundless Bio stockholders will not have certainty regarding the listing of the Combined Company’s shares at the time you are asked to vote at the Boundless Bio Special Meeting. For more information, please see the section titled “</w:t>
            </w:r>
            <w:r>
              <w:rPr>
                <w:i/>
              </w:rPr>
              <w:t>Risk Factors — Risks Related to the Merger — Boundless Bio and Serapha may mutually agree to waive the Nasdaq listing condition under the Merger Agreement, and if such condition is waived, the Combined Company’s stock may not be listed on Nasdaq following completion of the Merger.</w:t>
            </w:r>
            <w:r>
              <w:rPr/>
              <w:t xml:space="preserve">” on page 20 of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Boundless Bio Common Stock was $   per share.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75"/>
        <w:gridCol w:w="2300"/>
      </w:tblGrid>
      <w:tr>
        <w:trPr/>
        <w:tc>
          <w:tcPr>
            <w:tcW w:w="275" w:type="dxa"/>
            <w:tcBorders/>
            <w:vAlign w:val="center"/>
          </w:tcPr>
          <w:p>
            <w:pPr>
              <w:pStyle w:val="TableContents"/>
              <w:bidi w:val="0"/>
              <w:spacing w:before="0" w:after="283"/>
              <w:jc w:val="left"/>
              <w:rPr>
                <w:b/>
                <w:i/>
              </w:rPr>
            </w:pPr>
            <w:r>
              <w:rPr>
                <w:b/>
                <w:i/>
              </w:rPr>
              <w:t>Q.</w:t>
            </w:r>
          </w:p>
        </w:tc>
        <w:tc>
          <w:tcPr>
            <w:tcW w:w="23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urges you to read this proxy statement/prospectus carefully, including the annexes and the documents incorporated by reference, and to consider how the Merger affects you.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attend the Boundless Bio Special Meeting and vote online during the meeting, vote by proxy over the telephone, vote by proxy through the internet or vote by proxy using a proxy card, the form of which is attached as </w:t>
      </w:r>
      <w:r>
        <w:rPr>
          <w:rFonts w:ascii="Times New Roman" w:hAnsi="Times New Roman"/>
          <w:i/>
          <w:sz w:val="20"/>
        </w:rPr>
        <w:t xml:space="preserve">Annex D </w:t>
      </w:r>
      <w:r>
        <w:rPr>
          <w:rFonts w:ascii="Times New Roman" w:hAnsi="Times New Roman"/>
          <w:sz w:val="20"/>
        </w:rPr>
        <w:t xml:space="preserve">to this proxy statement/prospectus. Whether or not you plan to attend the meeting, Boundless Bio urges you to vote by proxy to ensure your vote is counted. You may still attend the meeting and vote during the meeting even if you have already voted by proxy. Please be aware that you must bear any costs associated with your internet access, such as usage charges from Internet access providers and telephone or similar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Boundless Bio Special Meeting online and vote during the meeting online by visiting </w:t>
            </w:r>
            <w:r>
              <w:rPr>
                <w:rFonts w:ascii="Times New Roman" w:hAnsi="Times New Roman"/>
                <w:i/>
                <w:sz w:val="20"/>
              </w:rPr>
              <w:t>www.proxydocs.com/BOLD</w:t>
            </w:r>
            <w:r>
              <w:rPr>
                <w:rFonts w:ascii="Times New Roman" w:hAnsi="Times New Roman"/>
                <w:sz w:val="20"/>
              </w:rPr>
              <w:t xml:space="preserve">. To vote online during the meeting, you must register to attend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Boundless Bio may elect to deliver at a later time and return it promptly in the envelope provided. If you return your signed proxy card to Boundless Bio before the Boundless Bio Special Meeting, Boundless Bio will vote your shares as you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(866) 390-5243 using a touch-tone phone and follow the recorded instructions. You will be asked to provide the company number and control number found on the proxy card. Your vote must be received by 8:59 p.m. Pacific Time on    , 2026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www.proxypush.com/BOLD</w:t>
            </w:r>
            <w:r>
              <w:rPr>
                <w:rFonts w:ascii="Times New Roman" w:hAnsi="Times New Roman"/>
                <w:sz w:val="20"/>
              </w:rPr>
              <w:t xml:space="preserve"> to complete an electronic proxy card. You will be asked to provide the company number and control number from the proxy card. Your vote must be received by 8:59 p.m. Pacific Time on    ,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Boundless Bio. Simply follow the voting instructions provided to ensure that your vote is counted. You may vote by telephone or over the internet as instructed by your broker, bank or other agent. To vote in person at the Boundless Bio Special Meeting, you must contact your broker, bank, or other agent and obtain a valid legal proxy in order to attend, participate in and vote at the Boundless Bio Special Meeting. Follow the voting instructions from your broker, bank or other agent, or contact your broker, bank or other agent for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75" w:type="dxa"/>
        <w:jc w:val="left"/>
        <w:tblInd w:w="0" w:type="dxa"/>
        <w:tblLayout w:type="fixed"/>
        <w:tblCellMar>
          <w:top w:w="0" w:type="dxa"/>
          <w:left w:w="0" w:type="dxa"/>
          <w:bottom w:w="0" w:type="dxa"/>
          <w:right w:w="0" w:type="dxa"/>
        </w:tblCellMar>
      </w:tblPr>
      <w:tblGrid>
        <w:gridCol w:w="275"/>
        <w:gridCol w:w="9200"/>
      </w:tblGrid>
      <w:tr>
        <w:trPr/>
        <w:tc>
          <w:tcPr>
            <w:tcW w:w="275" w:type="dxa"/>
            <w:tcBorders/>
            <w:vAlign w:val="center"/>
          </w:tcPr>
          <w:p>
            <w:pPr>
              <w:pStyle w:val="TableContents"/>
              <w:bidi w:val="0"/>
              <w:spacing w:before="0" w:after="283"/>
              <w:jc w:val="left"/>
              <w:rPr>
                <w:b/>
              </w:rPr>
            </w:pPr>
            <w:r>
              <w:rPr>
                <w:b/>
              </w:rPr>
              <w:t>Q.</w:t>
            </w:r>
          </w:p>
        </w:tc>
        <w:tc>
          <w:tcPr>
            <w:tcW w:w="9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275"/>
        <w:gridCol w:w="4640"/>
      </w:tblGrid>
      <w:tr>
        <w:trPr/>
        <w:tc>
          <w:tcPr>
            <w:tcW w:w="275" w:type="dxa"/>
            <w:tcBorders/>
            <w:vAlign w:val="center"/>
          </w:tcPr>
          <w:p>
            <w:pPr>
              <w:pStyle w:val="TableContents"/>
              <w:bidi w:val="0"/>
              <w:spacing w:before="0" w:after="283"/>
              <w:jc w:val="left"/>
              <w:rPr/>
            </w:pPr>
            <w:r>
              <w:rPr/>
              <w:t>A.</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the transfer agent for the Boundless Bio Common Stock then you are a stockholder of record. As a stockholder of record, you may attend the Boundless Bio Special Meeting and vote online during the meeting or vote early by proxy. Whether or not you plan to attend the Boundless Bio Special Meeting, Boundless Bio encourages you to fill out and return your proxy card or vote by proxy over the telephone or on the internet as instructed above to ensure your vote is counted. </w:t>
      </w:r>
    </w:p>
    <w:p>
      <w:pPr>
        <w:pStyle w:val="TextBody"/>
        <w:bidi w:val="0"/>
        <w:spacing w:before="120" w:after="0"/>
        <w:jc w:val="left"/>
        <w:rPr>
          <w:rFonts w:ascii="Times New Roman" w:hAnsi="Times New Roman"/>
          <w:sz w:val="20"/>
        </w:rPr>
      </w:pPr>
      <w:r>
        <w:rPr>
          <w:rFonts w:ascii="Times New Roman" w:hAnsi="Times New Roman"/>
          <w:sz w:val="20"/>
        </w:rPr>
        <w:t xml:space="preserve">If you do not return a proxy card or otherwise vote, your shares will not be voted.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Fiduciary or Custodian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Boundless Bio. Simply follow the voting instructions from that organization to ensure that your vote is counted.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you plan to attend the meeting, we urge you to vote by proxy to ensure your vote is counted. You may still attend the meeting and vote at the meeting even if you have already voted by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the beneficial owner and do not direct your broker, fiduciary or custodian how to vote your shares, the question of whether your broker or nominee will still be able to vote your shares depends on whether the New York Stock Exchange (“NYSE”) deems a particular proposal to be a “routine” matter. Your broker, fiduciary or custodian will only be able to vote your shares with respect to proposals considered to be “routine.” Your broker, fiduciary or custodian is not entitled to vote your shares with respect to “non-routine” proposals, resulting in a “broker non-vote” with respect to such proposals. Whether a proposal is considered routine or non-routine is subject to stock exchange rules and final determination by the stock exchange. Even with respect to routine matters, some brokers choose not to exercise their discretionary voting authority. As a result, we urge you to direct your broker, fiduciary or custodian how to vote your shares on all proposals to ensure that your vote is counted.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75"/>
        <w:gridCol w:w="7715"/>
      </w:tblGrid>
      <w:tr>
        <w:trPr/>
        <w:tc>
          <w:tcPr>
            <w:tcW w:w="275" w:type="dxa"/>
            <w:tcBorders/>
            <w:vAlign w:val="center"/>
          </w:tcPr>
          <w:p>
            <w:pPr>
              <w:pStyle w:val="TableContents"/>
              <w:bidi w:val="0"/>
              <w:spacing w:before="0" w:after="283"/>
              <w:jc w:val="left"/>
              <w:rPr>
                <w:b/>
                <w:i/>
              </w:rPr>
            </w:pPr>
            <w:r>
              <w:rPr>
                <w:b/>
                <w:i/>
              </w:rPr>
              <w:t>Q.</w:t>
            </w:r>
          </w:p>
        </w:tc>
        <w:tc>
          <w:tcPr>
            <w:tcW w:w="77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sign and return a proxy card or otherwise vote but do not indicate specific choices?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represented by each signed and returned proxy will be voted at the Boundless Bio Special Meeting by the persons named as proxies in the proxy card in accordance with the instructions indicated on the proxy card. However, if you are the registered stockholder and sign and return your proxy card without giving specific instructions, the persons named as proxies in the proxy card will vote your shares in accordance with the recommendations of the Boundless Bio Board of Directors.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275"/>
        <w:gridCol w:w="6545"/>
      </w:tblGrid>
      <w:tr>
        <w:trPr/>
        <w:tc>
          <w:tcPr>
            <w:tcW w:w="275" w:type="dxa"/>
            <w:tcBorders/>
            <w:vAlign w:val="center"/>
          </w:tcPr>
          <w:p>
            <w:pPr>
              <w:pStyle w:val="TableContents"/>
              <w:bidi w:val="0"/>
              <w:spacing w:before="0" w:after="283"/>
              <w:jc w:val="left"/>
              <w:rPr>
                <w:b/>
                <w:i/>
              </w:rPr>
            </w:pPr>
            <w:r>
              <w:rPr>
                <w:b/>
                <w:i/>
              </w:rPr>
              <w:t>Q.</w:t>
            </w:r>
          </w:p>
        </w:tc>
        <w:tc>
          <w:tcPr>
            <w:tcW w:w="65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Boundless Bio Special Meeting and vote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Special Meeting will be held on    , 2026 entirely online via live audio webcast and is scheduled to begin at    Pacific Time. Stockholders of record as of    , 2026 will be able to attend and participate in the Boundless Bio Special Meeting. Stockholders who hold their shares in street name should contact their broker, bank or other agent and obtain a “legal proxy” in order to be able to attend, participate in or vote at the Boundless Bio Special Meeting. You must register to attend the Boundless Bio Special Meeting at </w:t>
            </w:r>
            <w:r>
              <w:rPr>
                <w:rFonts w:ascii="Times New Roman" w:hAnsi="Times New Roman"/>
                <w:i/>
                <w:sz w:val="20"/>
              </w:rPr>
              <w:t>www.proxydocs.com/BOLD</w:t>
            </w:r>
            <w:r>
              <w:rPr>
                <w:rFonts w:ascii="Times New Roman" w:hAnsi="Times New Roman"/>
                <w:sz w:val="20"/>
              </w:rPr>
              <w:t xml:space="preserve"> and provide your control number by 2:00 p.m. Pacific Time on    , 2026. After completion of your registration, further instructions, including a unique link to access the Special Meeting, will be emailed to you.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may submit a question in advance of the Boundless Bio Special Meeting as a part of the registration process. Questions pertinent to the Boundless Bio Special Meeting and that are submitted in accordance with our rules of conduct for the Boundless Bio Special Meeting will be answered during the Boundless Bio Special Meeting, subject to applicable time constraints. Questions and answers may be grouped by topic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similar questions may be grouped and answered once. In order to promote fairness, efficient use of time, and in order to ensure all stockholders are responded to, Boundless Bio will respond to up to two questions from a single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YOUR VOTE IS IMPORTANT AND BOUNDLESS BIO STRONGLY ENCOURAGES YOU TO VOTE YOUR SHARES PRIOR TO THE BOUNDLESS BIO SPECIAL MEETING.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283"/>
              <w:jc w:val="left"/>
              <w:rPr>
                <w:b/>
                <w:i/>
              </w:rPr>
            </w:pPr>
            <w:r>
              <w:rPr>
                <w:b/>
                <w:i/>
              </w:rPr>
              <w:t>Q.</w:t>
            </w:r>
          </w:p>
        </w:tc>
        <w:tc>
          <w:tcPr>
            <w:tcW w:w="192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counts the votes?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BetaNXT Inc. (“BetaNXT”) has been engaged as Boundless Bio’s independent agent to tabulate stockholder votes. If you are a stockholder of record, your executed proxy card is returned directly to BetaNXT for tabulation. If you hold your shares through a broker, your broker returns one proxy card to BetaNXT on behalf of all its clients.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275"/>
        <w:gridCol w:w="3185"/>
      </w:tblGrid>
      <w:tr>
        <w:trPr/>
        <w:tc>
          <w:tcPr>
            <w:tcW w:w="275" w:type="dxa"/>
            <w:tcBorders/>
            <w:vAlign w:val="center"/>
          </w:tcPr>
          <w:p>
            <w:pPr>
              <w:pStyle w:val="TableContents"/>
              <w:bidi w:val="0"/>
              <w:spacing w:before="0" w:after="283"/>
              <w:jc w:val="left"/>
              <w:rPr>
                <w:b/>
                <w:i/>
              </w:rPr>
            </w:pPr>
            <w:r>
              <w:rPr>
                <w:b/>
                <w:i/>
              </w:rPr>
              <w:t>Q.</w:t>
            </w:r>
          </w:p>
        </w:tc>
        <w:tc>
          <w:tcPr>
            <w:tcW w:w="318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can I find out the voting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Final voting results will be published in a Current Report on Form 8-K to be filed with the SEC within four business days after the Boundless Bio Special Meeting.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275"/>
        <w:gridCol w:w="8780"/>
      </w:tblGrid>
      <w:tr>
        <w:trPr/>
        <w:tc>
          <w:tcPr>
            <w:tcW w:w="275" w:type="dxa"/>
            <w:tcBorders/>
            <w:vAlign w:val="center"/>
          </w:tcPr>
          <w:p>
            <w:pPr>
              <w:pStyle w:val="TableContents"/>
              <w:bidi w:val="0"/>
              <w:spacing w:before="0" w:after="283"/>
              <w:jc w:val="left"/>
              <w:rPr>
                <w:b/>
                <w:i/>
              </w:rPr>
            </w:pPr>
            <w:r>
              <w:rPr>
                <w:b/>
                <w:i/>
              </w:rPr>
              <w:t>Q.</w:t>
            </w:r>
          </w:p>
        </w:tc>
        <w:tc>
          <w:tcPr>
            <w:tcW w:w="87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my Boundless Bio shares are held in “street name” by my broker, will my broker vote my shares for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Whether a proposal is considered routine or non-routine is subject to stock exchange rules and final determination by the stock exchange. Even with respect to routine matters, some brokers choose not to exercise their discretionary voting authority.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275"/>
        <w:gridCol w:w="6080"/>
      </w:tblGrid>
      <w:tr>
        <w:trPr/>
        <w:tc>
          <w:tcPr>
            <w:tcW w:w="275" w:type="dxa"/>
            <w:tcBorders/>
            <w:vAlign w:val="center"/>
          </w:tcPr>
          <w:p>
            <w:pPr>
              <w:pStyle w:val="TableContents"/>
              <w:bidi w:val="0"/>
              <w:spacing w:before="0" w:after="283"/>
              <w:jc w:val="left"/>
              <w:rPr>
                <w:b/>
                <w:i/>
              </w:rPr>
            </w:pPr>
            <w:r>
              <w:rPr>
                <w:b/>
                <w:i/>
              </w:rPr>
              <w:t>Q.</w:t>
            </w:r>
          </w:p>
        </w:tc>
        <w:tc>
          <w:tcPr>
            <w:tcW w:w="60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broker non-votes and do they count for determining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Boundless Bio Special Meeting. Broker non-votes, if any, will not be counted as “votes properly cast” and will therefore have no effect on Proposal Nos. 1, 2, 3, 4, 5 or 6.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75"/>
        <w:gridCol w:w="8270"/>
      </w:tblGrid>
      <w:tr>
        <w:trPr/>
        <w:tc>
          <w:tcPr>
            <w:tcW w:w="275" w:type="dxa"/>
            <w:tcBorders/>
            <w:vAlign w:val="center"/>
          </w:tcPr>
          <w:p>
            <w:pPr>
              <w:pStyle w:val="TableContents"/>
              <w:bidi w:val="0"/>
              <w:spacing w:before="0" w:after="283"/>
              <w:jc w:val="left"/>
              <w:rPr>
                <w:b/>
                <w:i/>
              </w:rPr>
            </w:pPr>
            <w:r>
              <w:rPr>
                <w:b/>
                <w:i/>
              </w:rPr>
              <w:t>Q.</w:t>
            </w:r>
          </w:p>
        </w:tc>
        <w:tc>
          <w:tcPr>
            <w:tcW w:w="82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stockholders of record, unless such stockholder’s vote is subject to a support agreement, may revoke and/or change their vote at any time before their proxy is voted at the Boundless Bio Special Meeting in one of four ways: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Boundless Bio’s corporate secretary. Any written notice of revocation or subsequent proxy card must be received by Boundless Bio’s corporate secretary prior to the taking of the vote at the Boundless Bio Special Meeting. Such written notice of revocation or subsequent proxy card should be sent to Boundless Bio’s principal executive offices at Boundless Bio, Inc., 11099 North Torrey Pines Road, Suite 150, La Jolla, California 92037, Attention: Corporate Secretary.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Boundless Bio Special Meeting online and vote online during the meeting, although attendance at the Boundless Bio Special Meeting will not, by itself, revoke and/or change your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2026, 8:59 p.m. Pacific Time to be counted. </w:t>
      </w:r>
    </w:p>
    <w:p>
      <w:pPr>
        <w:pStyle w:val="TextBody"/>
        <w:bidi w:val="0"/>
        <w:spacing w:before="120" w:after="0"/>
        <w:jc w:val="left"/>
        <w:rPr>
          <w:rFonts w:ascii="Times New Roman" w:hAnsi="Times New Roman"/>
          <w:sz w:val="20"/>
        </w:rPr>
      </w:pPr>
      <w:r>
        <w:rPr>
          <w:rFonts w:ascii="Times New Roman" w:hAnsi="Times New Roman"/>
          <w:sz w:val="20"/>
        </w:rPr>
        <w:t xml:space="preserve">If a Boundless Bio stockholder who owns Boundless Bio shares in “street name” has instructed a broker to vote its shares of Boundless Bio Common Stock, the stockholder must follow directions received from its broker to change and/or revoke those instructions. </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275"/>
        <w:gridCol w:w="3515"/>
      </w:tblGrid>
      <w:tr>
        <w:trPr/>
        <w:tc>
          <w:tcPr>
            <w:tcW w:w="275" w:type="dxa"/>
            <w:tcBorders/>
            <w:vAlign w:val="center"/>
          </w:tcPr>
          <w:p>
            <w:pPr>
              <w:pStyle w:val="TableContents"/>
              <w:bidi w:val="0"/>
              <w:spacing w:before="0" w:after="283"/>
              <w:jc w:val="left"/>
              <w:rPr>
                <w:b/>
                <w:i/>
              </w:rPr>
            </w:pPr>
            <w:r>
              <w:rPr>
                <w:b/>
                <w:i/>
              </w:rPr>
              <w:t>Q.</w:t>
            </w:r>
          </w:p>
        </w:tc>
        <w:tc>
          <w:tcPr>
            <w:tcW w:w="35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paying for this proxy solicitation?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and Serapha will share equally the cost of printing and filing of this proxy statement/prospectus and the proxy card. Arrangements will also be made with brokerage firms and other custodians, nominees and fiduciaries who are record holders of Boundless Bio Common Stock for the forwarding of solicitation materials to the beneficial owners of Boundless Bio Common Stock. Boundless Bio will reimburse these brokers, custodians, nominees and fiduciaries for the reasonable out-of-pocket expenses they incur in connection with the forwarding of solicitation materials. Boundless Bio has retained MacKenzie Partners, Inc. (the “Proxy Solicitor”) to assist in soliciting proxies using the means referred to above. Boundless Bio will pay the fees of the Proxy Solicitor, which Boundless Bio expects to be approximately $17,500, plus reimbursement for certain out-of-pocket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Merger to holders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of Boundless Bio Common Stock will not sell, exchange or dispose of any shares of Boundless Bio Common Stock as a result of the Merger. Thus, there will be no U.S. federal income tax considerations to holders of Boundless Bio Common Stock as a result of the Merger.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275"/>
        <w:gridCol w:w="9815"/>
      </w:tblGrid>
      <w:tr>
        <w:trPr/>
        <w:tc>
          <w:tcPr>
            <w:tcW w:w="275" w:type="dxa"/>
            <w:tcBorders/>
            <w:vAlign w:val="center"/>
          </w:tcPr>
          <w:p>
            <w:pPr>
              <w:pStyle w:val="TableContents"/>
              <w:bidi w:val="0"/>
              <w:spacing w:before="0" w:after="283"/>
              <w:jc w:val="left"/>
              <w:rPr>
                <w:b/>
                <w:i/>
              </w:rPr>
            </w:pPr>
            <w:r>
              <w:rPr>
                <w:b/>
                <w:i/>
              </w:rPr>
              <w:t>Q.</w:t>
            </w:r>
          </w:p>
        </w:tc>
        <w:tc>
          <w:tcPr>
            <w:tcW w:w="98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Merger to U.S. Holders of Serapha Capital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Material U.S. Federal Income Tax Considerations of the Merger</w:t>
            </w:r>
            <w:r>
              <w:rPr>
                <w:rFonts w:ascii="Times New Roman" w:hAnsi="Times New Roman"/>
                <w:sz w:val="20"/>
              </w:rPr>
              <w:t>” beginning on page 183 of this proxy statement/prospectus, the Merger is intended to qualify as (1) a “reorganization” within the meaning of Section 368(a) of the Code and/or (2) an exchange of shares of Serapha Capital Stock for Boundless Bio Common Stock under Section 351(a) of the Code. As a result, assuming such treatment, a U.S. Holder of Serapha Capital Stock will not recognize gain or loss upon the exchange of its Serapha Capital Stock for Boundless Bio Common Stock. For a more detailed discussion of the material U.S. federal income tax considerations of the Merger, please see the section titled “</w:t>
            </w:r>
            <w:r>
              <w:rPr>
                <w:rFonts w:ascii="Times New Roman" w:hAnsi="Times New Roman"/>
                <w:i/>
                <w:sz w:val="20"/>
              </w:rPr>
              <w:t>The Merger — Material U.S.</w:t>
            </w:r>
            <w:r>
              <w:rPr>
                <w:rFonts w:ascii="Times New Roman" w:hAnsi="Times New Roman"/>
                <w:sz w:val="20"/>
              </w:rPr>
              <w:t> </w:t>
            </w:r>
            <w:r>
              <w:rPr>
                <w:rFonts w:ascii="Times New Roman" w:hAnsi="Times New Roman"/>
                <w:i/>
                <w:sz w:val="20"/>
              </w:rPr>
              <w:t>Federal Income Tax Considerations of the Merger</w:t>
            </w:r>
            <w:r>
              <w:rPr>
                <w:rFonts w:ascii="Times New Roman" w:hAnsi="Times New Roman"/>
                <w:sz w:val="20"/>
              </w:rPr>
              <w:t xml:space="preserve">” beginning on page 183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Nasdaq Reverse Split to U.S. Holders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Boundless Bio Common Stock generally should not recognize gain or loss upon the Nasdaq Reverse Split, except to the extent such holder receives cash in lieu of a fractional share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Boundless Bio Common Stock, and subject to the discussion in the section titled “</w:t>
            </w:r>
            <w:r>
              <w:rPr>
                <w:i/>
              </w:rPr>
              <w:t>Proposal No.</w:t>
            </w:r>
            <w:r>
              <w:rPr/>
              <w:t> </w:t>
            </w:r>
            <w:r>
              <w:rPr>
                <w:i/>
              </w:rPr>
              <w:t>2 — The Nasdaq Reverse Split Proposal — Material U.S.</w:t>
            </w:r>
            <w:r>
              <w:rPr/>
              <w:t> </w:t>
            </w:r>
            <w:r>
              <w:rPr>
                <w:i/>
              </w:rPr>
              <w:t>Federal Income Tax Considerations of the Nasdaq Reverse Split</w:t>
            </w:r>
            <w:r>
              <w:rPr/>
              <w:t>” beginning on page 236 of this proxy statement/prospectus. Please review the information in the section titled “</w:t>
            </w:r>
            <w:r>
              <w:rPr>
                <w:i/>
              </w:rPr>
              <w:t>Proposal No.</w:t>
            </w:r>
            <w:r>
              <w:rPr/>
              <w:t> </w:t>
            </w:r>
            <w:r>
              <w:rPr>
                <w:i/>
              </w:rPr>
              <w:t>2 — The Nasdaq Reverse Split Proposal — Material U.S.</w:t>
            </w:r>
            <w:r>
              <w:rPr/>
              <w:t> </w:t>
            </w:r>
            <w:r>
              <w:rPr>
                <w:i/>
              </w:rPr>
              <w:t>Federal Income Tax Considerations of the Nasdaq Reverse Split</w:t>
            </w:r>
            <w:r>
              <w:rPr/>
              <w:t xml:space="preserve">” beginning on page 236 of this proxy statement/prospectus for a more complete description of the U.S. federal income tax considerations of the Nasdaq Reverse Split to U.S. Holders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Boundless Bio Pre-Closing Dividend to U.S. Holders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U.S. federal income tax purposes, the receipt of the Boundless Bio Pre-Closing Dividend by a U.S. Holder of Boundless Bio Common Stock generally should be treated first as a dividend to the extent of Boundless Bio’s current or accumulated earnings and profits, then as a non-taxable return of capital to the extent of such U.S. Holder’s basis in Boundless Bio Common Stock, and then as capital gain from the sale or exchange of Boundless Bio Common Stock with respect to any remaining amount. However, there can be no assurance that it will be so treated. Please review the information in the section titled “</w:t>
            </w:r>
            <w:r>
              <w:rPr>
                <w:rFonts w:ascii="Times New Roman" w:hAnsi="Times New Roman"/>
                <w:i/>
                <w:sz w:val="20"/>
              </w:rPr>
              <w:t>The Merger — Material U.S. Federal Income Tax Considerations of the Boundless Bio Pre-Closing Dividend</w:t>
            </w:r>
            <w:r>
              <w:rPr>
                <w:rFonts w:ascii="Times New Roman" w:hAnsi="Times New Roman"/>
                <w:sz w:val="20"/>
              </w:rPr>
              <w:t xml:space="preserve">” beginning on page 185 of this proxy statement/prospectus for a discussion of the material U.S. federal income tax considerations of the Boundless Bio Pre-Closing Dividend to U.S. Holders of Boundless Bio Common Stock.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275"/>
        <w:gridCol w:w="3065"/>
      </w:tblGrid>
      <w:tr>
        <w:trPr/>
        <w:tc>
          <w:tcPr>
            <w:tcW w:w="275" w:type="dxa"/>
            <w:tcBorders/>
            <w:vAlign w:val="center"/>
          </w:tcPr>
          <w:p>
            <w:pPr>
              <w:pStyle w:val="TableContents"/>
              <w:bidi w:val="0"/>
              <w:spacing w:before="0" w:after="283"/>
              <w:jc w:val="left"/>
              <w:rPr>
                <w:b/>
                <w:i/>
              </w:rPr>
            </w:pPr>
            <w:r>
              <w:rPr>
                <w:b/>
                <w:i/>
              </w:rPr>
              <w:t>Q.</w:t>
            </w:r>
          </w:p>
        </w:tc>
        <w:tc>
          <w:tcPr>
            <w:tcW w:w="30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help answer my questions?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 Boundless Bio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+1 (212) 929-5500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(U.S. only): +1 (800) 322-2885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108148_5"/>
      <w:bookmarkEnd w:id="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may not contain all of the information that is important to you. To better understand the Merger and the proposals being considered at the Boundless Bio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392 of this proxy statement/prospectus. Except where specifically noted, the following information and all other information contained in this proxy statement/prospectus does not give effect to the Nasdaq Reverse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Boundless Bio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ecDNA are large circular units of nuclear DNA that are a primary mechanism of gene amplification and are detected only in cancer cells, not in healthy cells.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response to clinical data and other market considerations, Boundless Bio has made a series of portfolio prioritization decisions and taken steps to streamline operations in connection with those decisions, including ceasing clinical development of its product candidates in response to clinical data. In May 2025, Boundless Bio announced that it discontinued the monotherapy arm and combination arms of BBI-355 with third-party targeted therapies in the POTENTIATE trial based on initial trial data. In January 2026, following a strategic portfolio review, Boundless Bio elected to cease enrollment of the POTENTIATE trial due to market considerations, clinical data, and prioritization of its BBI-940 program and will no longer invest in the development of ECHO.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Previously, in December 2024, following an assessment of preliminary PK data, Boundless Bio made the strategic decision not to proceed with evaluation of BBI-825 in a first-in-human, open-label, non-randomized, 3-part, Phase 1/2 clinical trial of BBI-825.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reorganization under the provisions of Section 368(a) of the Code and/or (2) an exchange of shares of Serapha Capital Stock for Boundless Bio Common Stock under Section 351(a) of the Code. As a result, assuming such treatment, a U.S. Holder of Serapha Capital Stock will not recognize gain or loss upon the exchange of its Serapha Capital Stock for Boundless 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ecDTx,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Serapha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is a clinical-stage genetic medicines company committed to transforming the treatment of AATD, the leading genetic cause of serious, progressive lung and liver disease. Serapha’s only product candidate, SERP-01, is a proprietary base editing therapy currently in a Phase 1 clinical trial for the treatment of AATD with the PiZZ genotype, the most severe genetic mutation responsible for &gt;90% of AATD cases. The PiZZ mutation causes the Z isoform of alpha-1 antitrypsin (“Z-AAT”) to misfold and accumulate as polymers within liver cells, producing toxic aggregates that can lead to hepatitis, fibrosis and cirrhosis, while simultaneously reducing the amount of functional, normally folded AAT (“M-AAT”) secreted into the circulation. The resulting deficiency of circulating functional M-AAT leaves the lungs unprotected from neutrophil elastase, contributing to progressive emphysema and chronic obstructive pulmonary disease (“COPD”). SERP-01 is designed as a single intravenous administration treatment to correct the underlying genetic cause of PiZZ AATD, with the goal of restoring production of functional M-AAT, reducing accumulation of toxic mutant Z-AAT in the liver and, if successful, fundamentally altering the course of disease. SERP-01 is being evaluated in an ongoing investigator-initiated trial (“IIT”) conducted at Renji Hospital in Shanghai, China in collaboration with Hannover Medical School in Hanover, Germany. As of a data cutoff date of August 6, 2026, SERP-01 has been observed to be well-tolerated, with no serious adverse events reported, and has generated preliminary evidence of serum AAT at near-normal levels among the four treated patients. However, similar results may not be replicable in clinical trials with larger patient populations. In March 2026, the U.S. Food and Drug Administration (“FDA”) cleared an investigational new drug application (“IND”) submitted by YolTech for SERP-01, permitting the initiation of a Phase 2/3 clinical trial of SERP-01 in the United States. In June 2026, Serapha entered into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Serapha intends to pursue development of SERP-01 in alignment with the FDA, including potentially seeking accelerated approval based on AATD biomarkers, such as restoration of serum AAT, as surrogate endpoints that may be reasonably likely to predict clinical benefit, subject to FDA agreement. There is no guarantee that SERP-01 will receive approval from the FDA or receive approval faster than it otherwise might have if an accelerated pathway were not pursued, as the progress and results of clinical trials are variable and unpredictable. In May 2026, the FDA granted SERP-01 orphan drug designation for the treatment of PiZZ AATD and Regenerative Medicine Advanced Therapy (“RMAT”) designation.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Beam Litigation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25, 2026, Beam Therapeutics Inc. (“Beam”) filed a complaint in the U.S. District Court for the District of Massachusetts against Serapha, YolTech and two individuals affiliated with YolTech, Dr. Zi Jun (Emma) Wang and Dr. Yuxuan (Jensen) Wu (the “Beam Litigation”). The complaint alleges, among other things, trade secret misappropriation and related claims in connection with the development of SERP-01, the product candidate Serapha in-licensed from YolTech, and seeks monetary damages and injunctive and other relief. Serapha believes the claims asserted against it are without merit and intends to defend itself vigorously. However, litigation is inherently uncertain, and an adverse outcome could have a material adverse effect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Serapha and, following the Merger, the Combined Company, including on its ability to develop and commercialize SERP-01. For more information, see the sections titled “</w:t>
      </w:r>
      <w:r>
        <w:rPr>
          <w:rFonts w:ascii="Times New Roman" w:hAnsi="Times New Roman"/>
          <w:i/>
          <w:sz w:val="20"/>
          <w:bdr w:val="single" w:sz="8" w:space="1" w:color="000000"/>
        </w:rPr>
        <w:t>Risk Factors — Risks Related to Serapha</w:t>
      </w:r>
      <w:r>
        <w:rPr>
          <w:rFonts w:ascii="Times New Roman" w:hAnsi="Times New Roman"/>
          <w:sz w:val="20"/>
          <w:bdr w:val="single" w:sz="8" w:space="1" w:color="000000"/>
        </w:rPr>
        <w:t>” and “</w:t>
      </w:r>
      <w:r>
        <w:rPr>
          <w:rFonts w:ascii="Times New Roman" w:hAnsi="Times New Roman"/>
          <w:i/>
          <w:sz w:val="20"/>
          <w:bdr w:val="single" w:sz="8" w:space="1" w:color="000000"/>
        </w:rPr>
        <w:t>Serapha’s Business — Legal Proceedings</w:t>
      </w:r>
      <w:r>
        <w:rPr>
          <w:rFonts w:ascii="Times New Roman" w:hAnsi="Times New Roman"/>
          <w:sz w:val="20"/>
          <w:bdr w:val="single" w:sz="8" w:space="1" w:color="000000"/>
        </w:rPr>
        <w:t xml:space="preserve">” beginning on pages 93 and 308, respectively, of this proxy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 owned subsidiary of Boundless Bio and was formed solely for the purpose of carrying out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The Merger </w:t>
      </w:r>
      <w:r>
        <w:rPr>
          <w:rFonts w:ascii="Times New Roman" w:hAnsi="Times New Roman"/>
          <w:b/>
          <w:sz w:val="20"/>
          <w:bdr w:val="single" w:sz="8" w:space="1" w:color="000000"/>
        </w:rPr>
        <w:t xml:space="preserve">(see page 148)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Serapha, with Serapha continuing as a wholly owned subsidiary of Boundless Bio and the surviving corporation of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Boundless Bio’s Reasons for the Merger (see page 154)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to approve the Merger Agreement and the transactions contemplated by the Merger Agreement, the Boundless Bio Board of Directors held numerous meetings, consulted with Boundless Bio’s management, outside legal counsel and financial advisor, and considered a wide variety of factors. Following a thorough process of reviewing and analyzing potential strategic alternatives, the Boundless Bio Board of Directors considered a number of factors that it viewed as supporting its decision to approve the Merger Agreement, including (but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will provide Boundless Bio existing stockholders an opportunity to participate in the potential growth of the Combined Company, which will focus on the development of SERP-01, Serapha’s only product candidate licensed from YolTech, while also receiving a cash payment on account of the Boundless Bio Pre-Closing Dividend;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Boundless Bio and the risks associated with continuing to operate Boundless Bio on a stand-alone basis, particularly in light of the significant decline in the trading price of Boundless Bio Common Stock over the preceding two years and the risks and costs associated with maintaining Boundless Bio’s Nasdaq listing;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Boundless Bio would have difficulty raising a sufficient amount of additional capital to fund development of its product candidate as a standalone company in light of, among other things, emerging clinical data for BBI-940 from the KOMODO-1 study, and the significant decline in Boundless Bio’s share price over the preceding two years;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after a comprehensive and thorough strategic process, including extensive multi-year in-licensing efforts, outreach by Lucid Capital Markets, LLC (“Lucid”) to approximately 14 potential counterparties resulting in two non-binding proposals, and consideration of other alternatives including dissolution and liquidation, the Merger is more favorable to Boundless Bio stockholders than the potential value that might have resulted from remaining a standalone company, entering into other strategic alternatives available to Boundless Bio, or liquidating or dissolving its business and assets;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terms and conditions of the Merger Agreement are fair and reasonable to Boundless Bio and its stockholders, taking into account the Exchange Ratio, the Boundless Bio Pre-Closing Dividend of approximately $44 million to $48 million representing substantially all of Boundless Bio’s anticipated remaining net cash, the $12.5 million enterprise value ascribed to Boundless Bio, the Support Agreements and the absence of any superior alternative proposals;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received the opinion of Lucid, its financial advisor, that as of June 21, 2026 and based upon and subject to the various assumptions made, procedures followed,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matters considered, and qualifications and limitations set forth in its written opinion, the Exchange Ratio to be paid by Boundless Bio pursuant to the Merger Agreement was fair, from a financial point of view, to the holders of Boundless Bio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Board of Directors also considered a variety of risks and other countervailing factors related to entering into the Merger, including: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$1 million termination fee payable by Boundless Bio upon the occurrence of certain events and the substantial expenses to be incurred by Boundless Bio in connection with the Merger; </w:t>
            </w:r>
          </w:p>
        </w:tc>
      </w:tr>
    </w:tbl>
    <w:p>
      <w:pPr>
        <w:pStyle w:val="TextBody"/>
        <w:bidi w:val="0"/>
        <w:spacing w:before="0" w:after="0"/>
        <w:jc w:val="left"/>
        <w:rPr>
          <w:bdr w:val="single" w:sz="8" w:space="1" w:color="000000"/>
        </w:rPr>
      </w:pPr>
      <w:r>
        <w:rPr>
          <w:bdr w:val="single" w:sz="8" w:space="1" w:color="000000"/>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Boundless Bio from soliciting alternative acquisition proposals during the pendency of the Merger; </w:t>
            </w:r>
          </w:p>
        </w:tc>
      </w:tr>
    </w:tbl>
    <w:p>
      <w:pPr>
        <w:pStyle w:val="TextBody"/>
        <w:bidi w:val="0"/>
        <w:spacing w:before="0" w:after="0"/>
        <w:jc w:val="left"/>
        <w:rPr>
          <w:bdr w:val="single" w:sz="8" w:space="1" w:color="000000"/>
        </w:rPr>
      </w:pPr>
      <w:r>
        <w:rPr>
          <w:bdr w:val="single" w:sz="8" w:space="1" w:color="000000"/>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or the Serapha Pre-Closing Financing might not be consummated in a timely manner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dilution to existing Boundless Bio stockholders, who are expected to hold approximately 3.8% of the outstanding shares of the Combined Company on a fully-diluted basis immediately following the Merger, and the loss of governance control, as all current officers and directors of Boundless Bio will be replaced following the closing of the Merger;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proposed transaction, including those described in the section titled “</w:t>
            </w:r>
            <w:r>
              <w:rPr>
                <w:rFonts w:ascii="Times New Roman" w:hAnsi="Times New Roman"/>
                <w:i/>
                <w:sz w:val="20"/>
              </w:rPr>
              <w:t>Risk Factors</w:t>
            </w:r>
            <w:r>
              <w:rPr>
                <w:rFonts w:ascii="Times New Roman" w:hAnsi="Times New Roman"/>
                <w:sz w:val="20"/>
              </w:rPr>
              <w:t xml:space="preserve">” beginning on page 20 of this proxy statement/prospectus.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information is not intended to be exhaustive but is believed to include a summary of the material factors considered by the Boundless Bio Board of Directors in its consideration of the Merger Agreement and the transactions contemplated thereby. After conducting an overall analysis of these and other factors, including thorough discussions with, and questioning of, Boundless Bio’s management, outside legal counsel and financial advisor, the Boundless Bio Board of Directors concluded that the benefits, advantages and opportunities of a potential transaction outweighed the uncertainties and risks described above. Based on this overall analysis of the factors described above, the Boundless Bio Board of Directors approved the Merger Agreement, the Merger, and the other transactions contemplated by the Merger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Serapha’s Reasons for the Merger (see page 158)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Serapha Pre-Closing Financing, the Serapha Board of Directors held numerous meetings, consulted with Serapha’s senior management, legal counsel and financial advisors, and considered a wide variety of factors. Ultimately, the Serapha Board of Directors concluded that a merger with Boundless Bio, together with the additional financing committed from the Serapha Pre-Closing Financing, was the best option to generate capital resources to support the advancement of Serapha’s pipeline and fund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the Serapha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Serapha’s pipeline, compared to the capital and investors Serapha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Serapha and its pipeline;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Serapha’s business, including its financial performance and condition, operations, management and preclinical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belief that no alternatives to the Merger, together with the additional financing committed from the Serapha Pre-Closing Financing, were reasonably likely to create greater value for Serapha stockholders, after considering the various financing and other strategic options to enhance stockholder value that were considered by the Serapha Board of Directors;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expectation that the Merger, together with the additional financing committed from the Serapha Pre-Closing Financing, would be a higher probability and more cost-effective means to access capital than other options considered, including an initial public offering;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bdr w:val="single" w:sz="8" w:space="1" w:color="000000"/>
        </w:rPr>
      </w:pPr>
      <w:r>
        <w:rPr>
          <w:bdr w:val="single" w:sz="8" w:space="1" w:color="000000"/>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Boundless Bio; and </w:t>
            </w:r>
          </w:p>
        </w:tc>
      </w:tr>
    </w:tbl>
    <w:p>
      <w:pPr>
        <w:pStyle w:val="TextBody"/>
        <w:bidi w:val="0"/>
        <w:spacing w:before="0" w:after="0"/>
        <w:jc w:val="left"/>
        <w:rPr>
          <w:bdr w:val="single" w:sz="8" w:space="1" w:color="000000"/>
        </w:rPr>
      </w:pPr>
      <w:r>
        <w:rPr>
          <w:bdr w:val="single" w:sz="8" w:space="1" w:color="000000"/>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Serapha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bdr w:val="single" w:sz="8" w:space="1" w:color="000000"/>
        </w:rPr>
      </w:pPr>
      <w:r>
        <w:rPr>
          <w:bdr w:val="single" w:sz="8" w:space="1" w:color="000000"/>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Boundless Bio Common Stock and/or Boundless Bio Pre-Funded Warrants and/or Assumed Warrants to be issued to Serapha stockholders in the Merger is fixed, except for adjustments due to the Boundless Bio Net Cash balance, the amount of proceeds from the Serapha Pre-Closing Financing and outstanding capital stock at Closing, and thus the relative percentage ownership of Boundless Bio stockholders and Serapha stockholders in the Combined Company immediately following the completion of the Merger is similarly fixed; </w:t>
            </w:r>
          </w:p>
        </w:tc>
      </w:tr>
    </w:tbl>
    <w:p>
      <w:pPr>
        <w:pStyle w:val="TextBody"/>
        <w:bidi w:val="0"/>
        <w:spacing w:before="0" w:after="0"/>
        <w:jc w:val="left"/>
        <w:rPr>
          <w:bdr w:val="single" w:sz="8" w:space="1" w:color="000000"/>
        </w:rPr>
      </w:pPr>
      <w:r>
        <w:rPr>
          <w:bdr w:val="single" w:sz="8" w:space="1" w:color="000000"/>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the Boundless Bio Net Cash prior to the Closing;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Boundless Bio could, under certain circumstances, consider unsolicited acquisition proposals if such proposals are superior to the Merger or change its recommendation to approve the Merger upon certain events;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Serapha senior management required to complete the Merger, the related disruptions or potential disruptions to Serapha’s business operations and future prospects, including its relationships with its employees, suppliers and partners and others that do business or may do business in the future with Serapha, and related administrative challenges associated with combining the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Serapha’s business will be subject following the Merger that Serapha has not previously been subject to, and the operational changes to Serapha’s business, in each case that may result from being a public company;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20 of this proxy statement/prospectus.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Boundless Bio’s Directors and Executive Officers in the Merger (see page 175)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Boundless Bio Board of Directors with respect to approving the Nasdaq Stock Issuance Proposal, Nasdaq Reverse Split Proposal, Authorized Share Increase Proposal, Stock Plan Proposal, ESPP Proposal and Adjournment Proposal, stockholders should be aware that Boundless 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directors and executive officers have interests in the Merger that are different from, or in addition to, the interests of Boundless Bio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and the Nasdaq Reverse Split).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current and/or former executive officers of Boundless Bio have received or may receive (i) transaction or retention bonuses and other additional compensation in accordance with the terms of their respective offer letters, and (ii) severance benefits in accordance with the terms of their respective separation agreements or offer letters, as applicable, in connection with the Merger and/or the terminations of their employment, in each case, as described in further detail in the section of this proxy statement/prospectus titled “</w:t>
            </w:r>
            <w:r>
              <w:rPr>
                <w:rFonts w:ascii="Times New Roman" w:hAnsi="Times New Roman"/>
                <w:i/>
                <w:sz w:val="20"/>
              </w:rPr>
              <w:t>Interests of Boundless Bio’s Directors and Executive Officers in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material payments to the current and/or former executives of Boundless Bio are factored into the calculation of Boundless Bio Net Cash as deductions, including any bonus, retention payments, severance, change in control payments or similar payment obligations (including payments with “single trigger” provisions triggered at and as of the consummation of the transactions contemplated hereby) that are due or payable to any director, officer, employee or consultant as a result of the consummation of the Contemplated Transactions or any Boundless Bio Legacy Transaction, together with any payroll taxes associated therewith. The amount of the Boundless Bio Pre-Closing Dividend payable to Boundless Bio stockholders is directly affected by the amount of payments made to Boundless Bio current and/or former executives at or prior to the Closing. Any increase in such payments will reduce Boundless Bio Net Cash and, accordingly, reduce the aggregate amount of the Boundless Bio Pre-Closing Dividend.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Board of Directors was aware of these potential conflicts of interest and considered them, among other matters, in reaching its decision to approve the Merger Agreement and the Merger, and to recommend that Boundless Bio stockholders approve the Merger as contemplated by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Serapha Directors and Executive Officers in the Merger (see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Serapha Board of Directors with respect to approving the Nasdaq Stock Issuance Proposal, Nasdaq Reverse Split Proposal, Authorized Share Increase Proposal, Stock Plan Proposal, ESPP Proposal and Adjournment Proposal, stockholders should be aware that Serapha’s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executive officers have interests in the Merger that are different from, or in addition to, the interests of Serapha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October 1, 2026, Serapha’s current non-employee directors and executive officers beneficially owned, in the aggregate, approximately 40.8% of the shares of Serapha Capital Stock, which for purposes of this subsection excludes any shares of Serapha Common Stock issuable upon exercise or settlement of Serapha Options and Serapha RSUs held by such individuals;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RTW Holdings X, LLC, an affiliate of Piratip Pratumsuwan and Paul Lu, each a Serapha director, RA Capital Management, L.P. (“RA Capital Management”), an affiliate of Laura Tadvalkar and Matthew Hammond, each a Serapha director, and Decheng Capital Global Life Sciences Fund V, L.P. (“Decheng Capital”), an affiliate of Victor Tong, a Serapha director, currently hold shares of Serapha Capital Stock and have agreed to purchase shares of Serapha Common Stock and Serapha Pre-Funded Warrants in the Serapha Pre-Closing Financing;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Serapha Option and Serapha RSU held by Serapha’s executive officers and directors, whether or not vested, will be converted into an Assumed Option or an Assumed RSU, respectively, on the same terms and conditions (including any vesting and acceleration provisions), subject to adjustment as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Serapha’s directors and executive officers are expected to become directors and executive officers of the Combined Company upon completion of the Merger;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Serapha Board of Directors was aware of these potential conflicts of interest and considered them, among other matters, in reaching its decision to approve the Merger Agreement and the Merger, and to recommend that Serapha stockholders approve the Merger as contemplated by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Boundless Bio’s Financial Advisor (see page 161)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retained Lucid as its financial advisor in connection with the Merger and the other transactions contemplated by the Merger Agreement. On June 21, 2026, Lucid rendered the Boundless Bio Board of Directors its oral opinion, which was subsequently confirmed by a written opinion addressed to the Boundless Bio Board of Directors, dated June 21, 2026, that based upon and subject to the text of the written opinion, including the various assumptions and limitations set forth therein and such other factors that Lucid deemed relevant, it is its opinion that, as of such date, the Exchange Ratio is fair, from a financial point of view, to the holders of Boundless Bio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Lucid, dated June 21, 2026, which describes the assumptions made and the qualifications and limitations upon the review undertaken by Lucid in preparing its opinion, is attached as </w:t>
      </w:r>
      <w:r>
        <w:rPr>
          <w:rFonts w:ascii="Times New Roman" w:hAnsi="Times New Roman"/>
          <w:i/>
          <w:sz w:val="20"/>
          <w:bdr w:val="single" w:sz="8" w:space="1" w:color="000000"/>
        </w:rPr>
        <w:t>Annex E</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 xml:space="preserve">Lucid’s financial advisor services and opinion were provided for the information and assistance of the Boundless Bio Board of Directors (in their capacity as directors and not in any other capacity) in connection with and for purposes of the Boundless Bio Board of Directors’ consideration of the Merger and the opinion of Lucid addressed only the fairness, from a financial point of view, as of the date thereof, to Boundless Bio of the Exchange Ratio pursuant to the terms of the Merger Agreement. The opinion of Lucid did not address any other term or </w:t>
      </w:r>
      <w:r>
        <w:rPr>
          <w:rFonts w:ascii="Times New Roman" w:hAnsi="Times New Roman"/>
          <w:sz w:val="20"/>
          <w:bdr w:val="single" w:sz="8" w:space="1" w:color="000000"/>
        </w:rPr>
        <w:t xml:space="preserve">aspect of the Merger Agreement or the Merger and does not constitute a recommendation to any stockholder of Boundless Bio as to whether or how such holder should vote with respect to the Merger or otherwise act with respect to the Merger or any other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Lucid should be read carefully in its entirety for a description of the assumptions made and limitations upon the review undertaken by Lucid in preparing its opinion.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(see page 191)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upon the terms and subject to the conditions set forth in the Merger Agreement, (i) each then-outstanding share of Serapha Capital Stock (including any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192 of this proxy statement/prospectus), (ii) each then-outstanding Serapha Option will be converted into and become an Assumed Option, subject to adjustment as set forth in the Merger Agreement, (iii) each then-outstanding Serapha RSU will be converted into and become an Assumed RSU, subject to adjustment as set forth in the Merger Agreement, and (iv) each then-outstanding and unexercised Serapha Warrant (including any Serapha Pre-Funded Warrants) will be converted into an Assumed Warrant, subject to adjustment as set forth in the 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Boundless Bio securityholders as of immediately prior to the Merger are expected to own approximately 3.8% of the outstanding shares of capital stock of the Combined Company on a fully-diluted basis and former holders of Serapha securities are expected to own approximately 96.2% of the outstanding shares of capital stock of the Combined Company on a fully-diluted basis. Under certain circumstances further described in the Merger Agreement, the ownership percentages may be adjusted up or down including, but not limited to, if Boundless Bio Net Cash as of Closing is lower than $0.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Effective Time, the Boundless Bio Board of Directors expects to declare the Boundless Bio Pre-Closing Dividend to the pre-Merger Boundless Bio stockholders equal in the aggregate to Boundless Bio’s reasonable, good faith approximation of the amount by which Boundless Bio Net Cash (as determined pursuant to the Merger Agreement) is expected to exceed $0. Boundless Bio management currently estimates that the aggregate amount of cash to be distributed to stockholders of record as of the record date for the Boundless Bio Pre-Closing Dividend will be approximately $44 million to $48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Options (see page 196)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Boundless Bio will assume the Serapha Equity Incentive Plan and each Serapha Option that is outstanding and unexercised immediately prior to the Effective Time, whether or not vested, will be assumed and converted into an Assumed Option.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outstanding Serapha Option assumed by Boundless Bio may be exercised solely for shares of Boundless Bio Common Stock; (ii) the number of shares of Boundless Bio Common Stock subject to each outstanding Serapha Option assumed by Boundless Bio will be determined by multiplying (A) the number of shares of Serapha Common Stock that were subject to such Serapha Option assumed by Boundless Bio, as in effect immediately prior to the Effective Time, by (B) the Exchange Ratio, and rounding the resulting number down to the nearest whole number of shares of Boundless 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(iii) the per share exercise price of each Serapha Option assumed by Boundless Bio will be determined by dividing (A) the per share exercise price of such Serapha Option, as in effect immediately prior to the Effective Time, by (B) the Exchange Ratio, and rounding the resulting exercise price up to the nearest whole cent. Each Serapha Option assumed by Boundless Bio will otherwise continue in full force and effect and the term, exercisability, vesting schedule, acceleration rights and other terms and conditions of such Serapha Option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Serapha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RSUs (see page 196)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Boundless Bio will assume the Serapha Equity Incentive Plan and each Serapha RSU that is outstanding immediately prior to the Effective Time, whether or not vested, will be assumed and converted into an Assumed RSU.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outstanding Serapha RSU assumed by Boundless Bio may be settled solely for shares of Boundless Bio Common Stock; and (ii) the number of shares of Boundless Bio Common Stock subject to each outstanding Serapha RSU assumed by Boundless Bio will be determined by multiplying (A) the number of shares of Serapha Common Stock that were subject to such Serapha RSU assumed by Boundless Bio, as in effect immediately prior to the Effective Time, by (B) the Exchange Ratio, and rounding the resulting number down to the nearest whole number of shares of Boundless Bio Common Stock. Each Serapha RSU assumed by Boundless Bio will otherwise continue in full force and effect and the term, vesting schedule, acceleration rights and other terms and conditions of such Serapha RSU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Serapha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Serapha Warrants and Serapha Pre-Funded Warrants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at the Effective Time, each Serapha Warrant (including any Serapha Pre-Funded Warrants issued pursuant to the Serapha Pre-Closing Financing), whether vested or unvested, that is outstanding and unexercised immediately prior to the Effective Time, will be converted into an Assumed Warrant.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Assumed Warrant may be exercised solely for shares of Boundless Bio Common Stock; (ii) the number of shares of Boundless Bio Common Stock subject to each outstanding Assumed Warrant will be determined by multiplying (A) the number of shares of Serapha Common Stock subject to each Assumed Warrant immediately prior to the Effective Time (determined on an as-converted basis for any Serapha Warrant representing the right to acquire Serapha Preferred Stock), by (B) the Exchange Ratio (rounded up to the next whole share of Boundless Bio Common Stock to the extent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amount of fractional shares of Boundless Bio Common Stock such holder would otherwise be entitled to is equal to or exceeds 0.50, and otherwise rounded down); and (iii) such Assumed Warrant will have an exercise price per share (rounded up to the nearest whole cent) equal to dividing (A) the exercise price per share of Serapha Common Stock otherwise purchasable pursuant to such Assumed Warrant immediately prior to the Effective Time, by (B) the Exchange Ratio. Each Assumed Warrant will otherwise continue in full force and effect and on the same terms and conditions (including any vesting provisions and any provisions providing for accelerated vesting upon events) as were applicable under such Assumed Warrant as of immediately prior to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provided under the terms of an Assumed Warrant in accordance with the terms of the Merger Agreement, such Assumed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Boundless Bio Common Stock and Boundless Bio Options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increase in the number of authorized shares of Boundless Bio Common Stock described in Proposal No. 3 of this proxy statement/prospectus and the Nasdaq Reverse Split described in Proposal No. 2 of this proxy statement/prospectus, Boundless Bio Common Stock will remain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Completion of the Merger (see page 207)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Boundless Bio stockholders must approve Proposal No. 1, Proposal No. 2 and Proposal No. 3 (collectively, the Boundless Bio Stockholder Matters) and Serapha stockholders must adopt the Merger Agreement and approve the Merger and the Contemplated Transactions. Additionally, each of the other closing conditions set forth in the Merger Agreement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Boundless Bio and Serapha from soliciting a competing transaction. Each of Boundless Bio and Serapha have agreed that,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exceptions, Boundless Bio and Serapha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(as defined below); or </w:t>
            </w:r>
          </w:p>
        </w:tc>
      </w:tr>
    </w:tbl>
    <w:p>
      <w:pPr>
        <w:pStyle w:val="TextBody"/>
        <w:bidi w:val="0"/>
        <w:spacing w:before="0" w:after="0"/>
        <w:jc w:val="left"/>
        <w:rPr>
          <w:bdr w:val="single" w:sz="8" w:space="1" w:color="000000"/>
        </w:rPr>
      </w:pPr>
      <w:r>
        <w:rPr>
          <w:bdr w:val="single" w:sz="8" w:space="1" w:color="000000"/>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Board Recommendation Change (see page 204)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the Serapha Board of Directors nor the Boundless Bio Board of Directors may change its recommendation in favor of the Merger, except that prior to the approval and adoption of the Merger Agreement by the Required Boundless Bio Stockholder Vote, the Boundless Bio Board of Directors may effect a change in recommendation as a result of a material development or change in circumstances, or with respect to a Superior Offer (as defined below)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determines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provided at least four business days’ prior written notice to Serapha that it intends to effect a change in recommendation, and during such period has caused its financial advisor and outside legal counsel to, negotiate with the Serapha in good faith to make such adjustments to the terms and conditions of the Merger Agreement so that the Acquisition Proposal (as defined below)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Serapha has delivered to Boundless Bio a written offer to alter the terms or conditions of the Merger Agreement during the four business day period referred to above, the Boundless Bio Board of Directors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Boundless Bio will be required to provide Serapha with notice of such material amendment and there would be a new three 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 Boundless Bio Intervening Event (as defined below), Boundless Bio will promptly notify Serapha before effecting a change in recommendation. The written notice is required to state the material facts and circumstances related to the applicable Boundless Bio Intervening Event and that the Boundless Bio Board of Directors intends to make a change in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of the Merger Agreement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Boundless Bio or Serapha may terminate the Merger Agreement under certain circumstances, which would prevent the Merger from being consummated.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Boundless Bio could be required to pay Serapha a termination fee of $1,000,000 or Serapha could be required to pay Boundless Bio a termination fee of $1,000,000.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Support Agreements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holding approximately 65% of the outstanding shares of Serapha Capital Stock, have entered into support agreements with Serapha and Boundless Bio to vote all of their shares of Serapha Capital Stock in favor of the adoption and approval of the Merger Agreement, the other Contemplated Transactions and the other actions contemplated by the Merger Agreement and against any alternative Acquisition Proposal (the “Serapha Support Agreements”).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executive officers and directors of Boundless Bio holding approximately 1.7% of the outstanding shares of Boundless Bio Capital Stock have entered into support agreements with Boundless Bio and Serapha to vote all of their shares of Boundless Bio Capital Stock in favor of approving the Contemplated Transactions, including the Boundless Bio Stockholder Matters and the other actions contemplated by the Merger Agreement and against any alternative Acquisition Proposals (the “Boundless Bio Support Agreements”).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Lock-Up Agreements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Serapha’s executive officers and directors will enter into lock-up agreements, pursuant to which such parties will agree not to, except in limited circumstances, offer, pledge, sell, contract to sell, sell any option or contract to purchase, purchase any option or contract to sell, grant any option, right or warrant to purchase, or otherwise transfer or dispose of, directly or indirectly, any shares of Boundless Bio Common Stock or any securities convertible into or exercisable or exchangeable for Boundless Bio Common Stock, currently or thereafter owned, but excluding, as applicable, shares purchased by existing Serapha stockholders in the Serapha Pre-Closing Financing (including any shares of Boundless Bio Common Stock issuable upon exercise of Assumed Warrants issued in exchange for Serapha Pre-Funded Warrants sold in the Serapha Pre-Closing Financing), until 180 days after the Effective Time.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A Financing Agreement (see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institutional and accredited investors of Serapha entered into the Series A Financing Agreement, pursuant to which such investors invested in a private placement of Serapha Series A Preferred Stock for an aggregate purchase price of approximately $138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Series A Financing Agreement contains customary representations and warranties of Serapha and also contains customary representations and warranties of the purchaser parties thereto.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Securities Purchase Agreement and Registration Rights Agreement (see pages 212 and 214)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institutional and accredited investors of Serapha entered into the Securities Purchase Agreement with Serapha, pursuant to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investors have agreed to purchase, immediately prior to the Merger, shares of Serapha Common Stock or, in lieu thereof, Serapha Pre-Funded Warrants, representing an aggregate commitment of approximately $92 million in the Serapha Pre-Closing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Serapha Common Stock and Serapha Pre-Funded Warrants that are issued in the Serapha Pre-Closing Financing will be or will have the right to be, respectively, converted into shares of Boundless Bio Common Stock in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Serapha and also contains customary representations and warranties of the purchaser parties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also contemplates Serapha and the investors participating in the Serapha Pre-Closing Financing entering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October 1, 2026, and position of each of the individuals who are expected to serve as executives and directors of the Combined Company following completion of the Merger: </w:t>
      </w:r>
    </w:p>
    <w:p>
      <w:pPr>
        <w:pStyle w:val="TextBody"/>
        <w:bidi w:val="0"/>
        <w:spacing w:before="0" w:after="0"/>
        <w:jc w:val="left"/>
        <w:rPr>
          <w:bdr w:val="single" w:sz="8" w:space="1" w:color="000000"/>
        </w:rPr>
      </w:pPr>
      <w:r>
        <w:rPr>
          <w:bdr w:val="single" w:sz="8" w:space="1" w:color="000000"/>
        </w:rPr>
        <w:t> </w:t>
      </w:r>
    </w:p>
    <w:tbl>
      <w:tblPr>
        <w:tblW w:w="6180" w:type="dxa"/>
        <w:jc w:val="left"/>
        <w:tblInd w:w="0" w:type="dxa"/>
        <w:tblLayout w:type="fixed"/>
        <w:tblCellMar>
          <w:top w:w="0" w:type="dxa"/>
          <w:left w:w="0" w:type="dxa"/>
          <w:bottom w:w="0" w:type="dxa"/>
          <w:right w:w="0" w:type="dxa"/>
        </w:tblCellMar>
      </w:tblPr>
      <w:tblGrid>
        <w:gridCol w:w="2075"/>
        <w:gridCol w:w="120"/>
        <w:gridCol w:w="305"/>
        <w:gridCol w:w="120"/>
        <w:gridCol w:w="35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0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51</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Executive Officer and Director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Daphne Karydas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Considerations of the Merger (see page 183)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intended to qualify as a “reorganization” within the meaning of Section 368(a) of the Code and/or an exchange of shares of Serapha Capital Stock for Boundless Bio Common Stock under Section 351(a) of the Code. Assuming the Merger so qualifies, then subject to the limitations and qualifications described in the section titled “</w:t>
      </w:r>
      <w:r>
        <w:rPr>
          <w:rFonts w:ascii="Times New Roman" w:hAnsi="Times New Roman"/>
          <w:i/>
          <w:sz w:val="20"/>
          <w:bdr w:val="single" w:sz="8" w:space="1" w:color="000000"/>
        </w:rPr>
        <w:t>The Merger — Material U.S.</w:t>
      </w:r>
      <w:r>
        <w:rPr>
          <w:rFonts w:ascii="Times New Roman" w:hAnsi="Times New Roman"/>
          <w:sz w:val="20"/>
          <w:bdr w:val="single" w:sz="8" w:space="1" w:color="000000"/>
        </w:rPr>
        <w:t> </w:t>
      </w:r>
      <w:r>
        <w:rPr>
          <w:rFonts w:ascii="Times New Roman" w:hAnsi="Times New Roman"/>
          <w:i/>
          <w:sz w:val="20"/>
          <w:bdr w:val="single" w:sz="8" w:space="1" w:color="000000"/>
        </w:rPr>
        <w:t>Federal Income Tax Considerations of the Merger</w:t>
      </w:r>
      <w:r>
        <w:rPr>
          <w:rFonts w:ascii="Times New Roman" w:hAnsi="Times New Roman"/>
          <w:sz w:val="20"/>
          <w:bdr w:val="single" w:sz="8" w:space="1" w:color="000000"/>
        </w:rPr>
        <w:t>” beginning on page 183 of this proxy statement/prospectus, a U.S. Holder of Serapha Capital Stock will not recognize gain or loss upon the exchange of its Serapha Capital Stock for Boundless Bio Common Stock. Since Boundless Bio stockholders will not sell, exchange or dispose of any shares of Boundless Bio Common Stock as a result of the Merger, there will be no material U.S. federal income tax considerations to Boundless Bio stockholders as a result of the Merger. For a more detailed discussion of the material U.S. federal income tax considerations of the Merger, see the section titled “</w:t>
      </w:r>
      <w:r>
        <w:rPr>
          <w:rFonts w:ascii="Times New Roman" w:hAnsi="Times New Roman"/>
          <w:i/>
          <w:sz w:val="20"/>
          <w:bdr w:val="single" w:sz="8" w:space="1" w:color="000000"/>
        </w:rPr>
        <w:t>The Merger — Material U.S.</w:t>
      </w:r>
      <w:r>
        <w:rPr>
          <w:rFonts w:ascii="Times New Roman" w:hAnsi="Times New Roman"/>
          <w:sz w:val="20"/>
          <w:bdr w:val="single" w:sz="8" w:space="1" w:color="000000"/>
        </w:rPr>
        <w:t> </w:t>
      </w:r>
      <w:r>
        <w:rPr>
          <w:rFonts w:ascii="Times New Roman" w:hAnsi="Times New Roman"/>
          <w:i/>
          <w:sz w:val="20"/>
          <w:bdr w:val="single" w:sz="8" w:space="1" w:color="000000"/>
        </w:rPr>
        <w:t>Federal Income Tax Considerations of the Merger</w:t>
      </w:r>
      <w:r>
        <w:rPr>
          <w:rFonts w:ascii="Times New Roman" w:hAnsi="Times New Roman"/>
          <w:sz w:val="20"/>
          <w:bdr w:val="single" w:sz="8" w:space="1" w:color="000000"/>
        </w:rPr>
        <w:t xml:space="preserve">,” beginning on page 183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20)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Boundless Bio and Serapha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Proposed Merger</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Serapha could materially and adversely affect Boundless Bio’s results of operations, business, financial results and/or common stock price;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for the Merger will not change or otherwise be adjusted based on the market price of Boundless Bio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Boundless Bio Common Stock, including the shares of Boundless Bio Common Stock issued in exchange for shares of Serapha Common Stock issued in the Serapha Pre Closing Financing, to Serapha stockholders pursuant to the Merger Agreement and the resulting change in control from the Merger, and the Nasdaq Reverse Split, must be approved by Boundless Bio stockholders, and the Merger Agreement and transactions contemplated thereby must be approved by the Serapha stockholders. Failure to obtain these approvals would prevent the closing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completes the Merger, the Combined Company will need to raise additional capital, including by potentially issuing equity securities or incurring debt, which may cause significant dilution to the Combined Company’s stockholders or restrict the Combined Company’s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of Boundless Bio’s and Serapha’s directors and executive officers have interests in the Merger that are different from yours and that may influence them to support or approve the Merger without regard to your interests;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stockholders and Serapha stockholders may not realize a benefit from the Merger commensurate with the ownership dilution they will experience in connection with the Merger, including the conversion of Serapha Common Stock issued in the Serapha Pre Closing Financing.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Proposed Nasdaq Reverse Split</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not increase the Combined Company’s stock price over the long term; </w:t>
            </w:r>
          </w:p>
        </w:tc>
      </w:tr>
    </w:tbl>
    <w:p>
      <w:pPr>
        <w:pStyle w:val="TextBody"/>
        <w:bidi w:val="0"/>
        <w:spacing w:before="0" w:after="0"/>
        <w:jc w:val="left"/>
        <w:rPr>
          <w:bdr w:val="single" w:sz="8" w:space="1" w:color="000000"/>
        </w:rPr>
      </w:pPr>
      <w:r>
        <w:rPr>
          <w:bdr w:val="single" w:sz="8" w:space="1" w:color="000000"/>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decrease the liquidity of the Combined Company common stock; and </w:t>
            </w:r>
          </w:p>
        </w:tc>
      </w:tr>
    </w:tbl>
    <w:p>
      <w:pPr>
        <w:pStyle w:val="TextBody"/>
        <w:bidi w:val="0"/>
        <w:spacing w:before="0" w:after="0"/>
        <w:jc w:val="left"/>
        <w:rPr>
          <w:bdr w:val="single" w:sz="8" w:space="1" w:color="000000"/>
        </w:rPr>
      </w:pPr>
      <w:r>
        <w:rPr>
          <w:bdr w:val="single" w:sz="8" w:space="1" w:color="000000"/>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may lead to a decrease in the Combined Company’s overall market capitalization.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Boundless Bio</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a limited operating history, has incurred significant operating losses since its inception, and expects to incur significant losses for the foreseeable future. Boundless Bio may never generate any revenue or become profitable or, if it achieves profitability, Boundless Bio may not be able to sustain it;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require substantial additional capital to finance its operations if the Merger is not completed and it continues to develop any ecDTx, and a failure to obtain this necessary capital when needed on acceptable terms, or at all, could force Boundless Bio to delay, limit, reduce, or terminate any ecDTx development programs,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continues to develop any ecDTx and is unable to successfully develop, obtain regulatory approval, and ultimately commercialize any current or future ecDTx, or experiences significant delays in doing so, its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approach to treating cancer with oncogene amplifications by developing ecDTx directed against ecDNA is novel and unproven, and if Boundless Bio continues to develop any ecDTx, Boundless Bio does not know whether it will be able to develop any products of commercial value, or if competing approaches will limit the commercial value of its ecDTx;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relies on third parties to conduct Boundless Bio’s clinical trials and preclinical studies. If these third parties do not successfully carry out their contractual duties, comply with applicable regulatory requirements, or meet expected deadlines, Boundless Bio’s current or future ecDTx development programs and ability to seek or obtain regulatory approval for or commercialize its ecDTx may be delayed;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and Boundless Bio continues to develop any ecDTx, Boundless Bio expects to continue to rely on third parties for the manufacture of its ecDTx for clinical and preclinical development and expects to continue to do so for the foreseeable future. This reliance on third parties increases the risk that Boundless Bio will not have sufficient quantities of its ecDTx or products or such quantities at an acceptable cost, which could delay, prevent, or impair, its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Boundless Bio receives regulatory approval for any ecDTx, Boundless Bio will be subject to ongoing regulatory obligations and continued regulatory review, which may result in significant additional expense;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operating results may fluctuate significantly, which makes its future operating results difficult to predict and could cause its operating results to fall below expectations or any guidance Boundless Bio may provide;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has a relatively small number of employees which may constrain its ability to accomplish its business objectives. If the Merger is not completed, Boundless Bio’s long-term success is dependent on its ability to retain and attract highly qualified management and other clinical and scientific personnel;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Boundless Bio is unable to obtain, maintain, defend, and enforce patent or other intellectual property protection for its ecDTx, diagnostic, or technology, or if the scope of the patent or other intellectual property protection obtained is not sufficiently broad, Boundless Bio’s competitors or other third parties could develop and commercialize products similar or identical to Boundless Bio’s, and Boundless Bio’s ability to successfully commercialize any ecDTx may be adversely affected; </w:t>
            </w:r>
          </w:p>
        </w:tc>
      </w:tr>
    </w:tbl>
    <w:p>
      <w:pPr>
        <w:pStyle w:val="TextBody"/>
        <w:bidi w:val="0"/>
        <w:spacing w:before="0" w:after="0"/>
        <w:jc w:val="left"/>
        <w:rPr>
          <w:bdr w:val="single" w:sz="8" w:space="1" w:color="000000"/>
        </w:rPr>
      </w:pPr>
      <w:r>
        <w:rPr>
          <w:bdr w:val="single" w:sz="8" w:space="1" w:color="000000"/>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not be able to protect its intellectual property and proprietary rights throughout the world;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active, liquid, and orderly market for Boundless Bio Common Stock may not be sustained, or Boundless Bio may in the future fail to satisfy the continued listing requirements of Nasdaq;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shares of Boundless Bio Common Stock could be highly volatile, and purchasers of Boundless Bio Common Stock could incur substantial losses;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incurs significant costs as a result of operating as a public company, and its management is required to devote substantial time to new compliance initiatives;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is subject to U.S. and certain foreign export and import controls, sanctions, embargoes, anti-corruption laws, and anti-money laundering laws and regulations. Boundless Bio could face criminal liability and other serious consequences for violations, which could harm its business.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Serapha</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the Serapha Pre-Closing Financing are successful, Serapha will require substantial additional capital to finance its operations in the future. If Serapha is unable to raise such capital when needed, or on acceptable terms, Serapha may be forced to delay, reduce and/or discontinue development of SERP-01 or its future commercialization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is a clinical-stage genetic medicines company with a limited operating history on which to assess its business; Serapha has not completed any clinical trials, and it has no products approved for commercial sale, which may make it difficult to evaluate its current business and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is substantially dependent on the success of SERP-01, and Serapha’s anticipated future clinical trials of such product candidate may not be successful;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relies on collaborations and licensing arrangements with third parties, including YolTech. If Serapha is unable to maintain these collaborations or licensing arrangements, or if these collaborations or licensing arrangements are not successful, Serapha’s business could be negatively impacted;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has been named as a defendant in a lawsuit brought by Beam Therapeutics Inc. alleging trade secret misappropriation relating to SERP-01, which could result in substantial costs, significant damages or injunctive relief that could prevent or delay the development or commercialization of SERP-01;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its plans and strategies, Serapha will need to grow the size of its organization and Serapha may experience difficulties in managing this growth;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involves a lengthy and expensive process that is subject to delays and with uncertain outcomes, and results of earlier studies and trials may not be predictive of future clinical trial results. If Serapha’s clinical trials and any future preclinical studies are not sufficient to support regulatory approval of any of its product candidates, Serapha may incur additional costs or experience delays in completing, or ultimately be unable to complete, the development of such product candidate.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Risks Related to the Combined Company</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may never achieve profitability;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that will be in the Combined Company’s certificate of incorporation and bylaws and provisions under Delaware law could make an acquisition of the Combined Company more difficult and may prevent attempts by its stockholders to replace or remove its management;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the Combined Company’s executive officers, directors and principal stockholders will have the ability to control or significantly influence all matters submitted to the Combined Company’s stockholders for approval;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Serapha Pre-Closing Financing and may invest or spend the proceeds in ways with which you do not agree and in ways that may not increase the value of your investment.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(see page 183)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Boundless Bio and Serapha will use reasonable best efforts to file or otherwise submit, as soon as practicable after the date of the Merger Agreement, all applications, notices, reports and other documents reasonably required to be filed by such party with or otherwise submitted by such party to any governmental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authority with respect to the Contemplated Transactions, if required, and to submit promptly any additional information requested by any such governmental authority.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Stock Market Listing (see page 187)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has filed an initial listing application for the Combined Company common stock with Nasdaq. If such application is accepted, Boundless Bio anticipates that the Combined Company common stock will be listed on Nasdaq following the Closing under the trading symbol “AATD.” It is a condition to the consummation of the Merger that Boundless Bio will receive confirmation from Nasdaq that the Combined Company has been approved for listing on Nasdaq, but there can be no assurance such listing condition will be met or that Boundless Bio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Anticipated Accounting Treatment (see page 187)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expected to be treated by Boundless Bio as a reverse merger and will be accounted for as an in-substance reverse recapitalization of Boundless Bio by Serapha in accordance with U.S. Generally Accepted Accounting Principles (“GAAP”) as, at close, the transaction is, in essence, the issuance of equity by Serapha for Boundless Bio’s net assets, consisting of nominal assets and liabilities at the time of the Merger. For accounting purposes, Serapha is considered to be acquiring the assets and liabilities of Boundless Bio in this transaction based on the terms of the Merger Agreement and other factors, including: (i) Serapha’s equity holders will own a substantial majority of the voting rights in the Combined Company; (ii) Serapha’s largest stockholder will retain the largest interest in the Combined Company; (iii) Serapha will designate all of the initial members of the board of directors of the Combined Company; and (iv) members of Serapha’s executive management team will become the management of the Combined Company. The Combined Company will be named Serapha Bio, Inc. In addition, Serapha concluded that any in-process research and development assets of Boundless Bio at the closing of the Merger would be de-minimis. Accordingly, upon the closing of the Merger, Boundless Bio is expected to have no or nominal operations for accounting purposes and the Merger is expected to be treated as the equivalent of Serapha issuing stock to acquire the net assets of Boundless Bio. As a result of the Merger, the net assets of Boundless Bio will be stated at fair value, which approximates carrying value, with no goodwill or other intangible assets recorded, and the historical results of operations prior to the Merger will be those of Serapha. The direct and incremental costs related to the transaction will be treated as a reduction of the net proceeds received within additional paid-in-capital. See the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elsewhere in this proxy statement/prospectus for additional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and Dissenters’ Rights (see page 188)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Boundless Bio Common Stock are not entitled to appraisal rights in connection with the Merger under Delaware law. Holders of Serapha Capital Stock are entitled to appraisal rights in connection with the Merger under Delaware law; however, Serapha stockholders who execute and deliver a written consent adopting and approving the Merger will be deemed to have waived, and will not be entitled to exercise, such appraisal rights.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Stockholder Rights (see page 371)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and Serapha are incorporated under the laws of the State of Delaware and, accordingly, the rights of the stockholders of each are currently, and will continue to be, governed by the Delaware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Corporation Law (“DGCL”). If the Merger is completed, Serapha stockholders will become Boundless Bio stockholders, and their rights will be governed by the DGCL, Boundless Bio’s amended and restated bylaws (the “Boundless Bio Bylaws”) and the Boundless Bio Charter, as may be further amended by Proposal Nos. 2 and 3 if approved by Boundless Bio stockholders at the Boundless Bio Special Meeting. The rights of Boundless Bio stockholders contained in the Boundless Bio Charter and the Boundless Bio Bylaws differ from the rights of Serapha stockholders under Serapha’s certificate of incorporation and Serapha’s bylaws, as more fully described under the section titled “</w:t>
      </w:r>
      <w:r>
        <w:rPr>
          <w:rFonts w:ascii="Times New Roman" w:hAnsi="Times New Roman"/>
          <w:i/>
          <w:sz w:val="20"/>
          <w:bdr w:val="single" w:sz="8" w:space="1" w:color="000000"/>
        </w:rPr>
        <w:t>Comparison of Rights of Holders of Boundless Bio Capital Stock and Serapha Capital Stock</w:t>
      </w:r>
      <w:r>
        <w:rPr>
          <w:rFonts w:ascii="Times New Roman" w:hAnsi="Times New Roman"/>
          <w:sz w:val="20"/>
          <w:bdr w:val="single" w:sz="8" w:space="1" w:color="000000"/>
        </w:rPr>
        <w:t xml:space="preserve">” beginning on page 371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tx108148_6"/>
      <w:bookmarkEnd w:id="8"/>
      <w:r>
        <w:rPr>
          <w:rFonts w:ascii="Times New Roman" w:hAnsi="Times New Roman"/>
          <w:b/>
          <w:sz w:val="20"/>
          <w:bdr w:val="single" w:sz="8" w:space="1" w:color="000000"/>
        </w:rPr>
        <w:t xml:space="preserve">MARKET PRICE AND DIVIDEND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Boundless Bio Common Stock is currently listed on The Nasdaq Global Select Market under the symbol “BOLD.”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price of Boundless Bio Common Stock on June 22, 2026, the last day of trading prior to the announcement of the Merger, as reported on Nasdaq, was $1.40 per share. The closing price of Boundless Bio Common Stock on    , 2026, as reported on Nasdaq, was $    per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market price of Boundless Bio Common Stock is subject to fluctuation, the market value of the shares of Boundless Bio Common Stock that Serapha stockholders will be entitled to receive in the Merger may increase or decrease.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is a private company, and shares of Serapha Common Stock and Serapha Preferred Stock are not publicly traded.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Assuming approval of Proposal Nos. 1, 2 and 3 and successful application for initial listing with Nasdaq, following the consummation of the Merger, shares of the Combined Company common stock are expected to trade on Nasdaq under Boundless Bio’s new name, “Serapha Bio, Inc.,” and new trading symbol “AATD.”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 of    , 2026, the record date for the Boundless Bio Special Meeting, there were approximately registered holders of record of Boundless Bio Common Stock. As of    , 2026, Serapha had    holders of record of Serapha Common Stock and    holders of record of Serapha Preferred Stock. For detailed information regarding the beneficial ownership of certain Boundless Bio and Serapha stockholders, see the sections of this proxy statement/prospectus titled “</w:t>
      </w:r>
      <w:r>
        <w:rPr>
          <w:rFonts w:ascii="Times New Roman" w:hAnsi="Times New Roman"/>
          <w:i/>
          <w:sz w:val="20"/>
          <w:bdr w:val="single" w:sz="8" w:space="1" w:color="000000"/>
        </w:rPr>
        <w:t>Principal Stockholders of Boundless Bio</w:t>
      </w:r>
      <w:r>
        <w:rPr>
          <w:rFonts w:ascii="Times New Roman" w:hAnsi="Times New Roman"/>
          <w:sz w:val="20"/>
          <w:bdr w:val="single" w:sz="8" w:space="1" w:color="000000"/>
        </w:rPr>
        <w:t>” and “</w:t>
      </w:r>
      <w:r>
        <w:rPr>
          <w:rFonts w:ascii="Times New Roman" w:hAnsi="Times New Roman"/>
          <w:i/>
          <w:sz w:val="20"/>
          <w:bdr w:val="single" w:sz="8" w:space="1" w:color="000000"/>
        </w:rPr>
        <w:t>Principal Stockholders of Serapha.</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Dividends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Boundless Bio has never declared or paid any cash dividends on its common stock and, other than the Boundless Bio Pre-Closing Dividend, does not anticipate paying cash dividends on its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Serapha has never paid or declared any cash dividends on Serapha Capital Stock. If the Merger does not occur, Serapha does not anticipate paying any cash dividends on the Serapha Capital Stock in the foreseeable future, and Serapha intends to retain all available funds and any future earnings to fund the development and expansion of its business. Any future determination to pay dividends will be at the discretion of the Serapha Board of Directors and will depend upon a number of factors, including its results of operations, financial condition, future prospects, contractual restrictions, and restrictions imposed by applicable laws and other factors the Serapha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08148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Boundless Bio Common Stock. You should also read and consider the other information in this proxy statement/prospectus. Please see the section titled “Where You Can Find More Information” beginning on page 392 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Serapha could materially and adversely affect Boundless Bio’s results of operations, business, financial results and/or common stock price.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Completion of the Merger is subject to certain closing conditions, a number of which are not within Boundless Bio’s control. Any failure to satisfy these required conditions to closing may prevent, delay or otherwise materially adversely affect the completion of the transaction. Boundless Bio cannot predict with certainty whether or when any of the required closing conditions will be satisfied or if another uncertainty may arise and cannot assure you that it will be able to successfully complete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Boundless Bio’s ability to retain and motivate existing employees or could adversely affect Boundless Bio’s business and its relationship with consultants, suppliers, vendors, regulators and other business partners.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Serapha and Boundless Bio, specified conditions must be satisfied or, to the extent permitted by applicable law, waived to complete the Merger. These conditions are set forth in the Merger Agreement and described further in the section titled “</w:t>
      </w:r>
      <w:r>
        <w:rPr>
          <w:rFonts w:ascii="Times New Roman" w:hAnsi="Times New Roman"/>
          <w:i/>
          <w:sz w:val="20"/>
        </w:rPr>
        <w:t>The Merger Agreement</w:t>
      </w:r>
      <w:r>
        <w:rPr>
          <w:rFonts w:ascii="Times New Roman" w:hAnsi="Times New Roman"/>
          <w:sz w:val="20"/>
        </w:rPr>
        <w:t xml:space="preserve">” of this proxy statement/prospectus. Boundless Bio cannot assure you that all of the conditions to the completion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bookmarkStart w:id="10" w:name="tx108148_705"/>
      <w:bookmarkEnd w:id="10"/>
      <w:r>
        <w:rPr>
          <w:rFonts w:ascii="Times New Roman" w:hAnsi="Times New Roman"/>
          <w:b/>
          <w:i/>
          <w:sz w:val="20"/>
        </w:rPr>
        <w:t xml:space="preserve">Boundless Bio and Serapha may mutually agree to waive the Nasdaq listing condition under the Merger Agreement, and if such condition is waived, the Combined Company’s stock may not be listed on Nasdaq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Boundless Bio agreed to use commercially reasonable efforts to maintain the listing of Boundless Bio Common Stock on Nasdaq until the Effective Time and, to the extent required by the rules and regulations of Nasdaq, to cause the shares of Boundless Bio Common Stock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connection with the Contemplated Transactions to be approved for listing on Nasdaq. The Merger Agreement also requires the parties, to the extent required by Nasdaq Marketplace Rule 5110, to use commercially reasonable efforts to cause the initial listing application for the Boundless Bio Capital Stock on Nasdaq (including any Boundless Bio Common Stock issuable upon conversion thereof) (the “Nasdaq Listing Application”) to be conditionally approved prior to the Effective Time. Additionally, under the Merger Agreement, each of Boundless Bio’s and Serapha’s obligation to complete the Merger is subject to the satisfaction or waiver by each of the parties of various conditions, including that the Nasdaq Listing Application has been approved by Nasdaq. In the event that the Nasdaq Listing Application is not approved by Nasdaq, it is possible (although not likely) that Boundless Bio and Serapha may mutually agree to waive the applicable condition and nonetheless proceed with completing the Merger. If such condition is waived, Boundless Bio will not recirculate an updated proxy statement/prospectus, nor will it solicit a new vote of stockholders prior to proceeding with the Merger. If Boundless Bio proceeds with the Merger in these circumstances, the Combined Company’s stock may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a reduction in coverage by securities analysts, a decrease in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for the Merger will not change or otherwise be adjusted based on the market price of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Applying the Exchange Ratio, based on Boundless Bio’s and Serapha’s capitalization as of October 1, 2026 and taking into account Boundless Bio’s current cash position, (i) each then-outstanding share of Serapha Capital Stock (including shares of Serapha Common Stock issued in the Serapha Pre-Closing Financing), excluding any shares to be cancelled pursuant to the Merger Agreement, will be converted into the right to receive a number of shares of Boundless Bio Common Stock, equal to 8.6737 shares, (ii) each then-outstanding Serapha Option will be converted into and become an Assumed Option on the existing terms and conditions (including with respect to vesting and accelerated vesting), subject to adjustment as set forth in the Merger Agreement, (iii) each then-outstanding Serapha RSU will be converted into and become an Assumed RSU on the existing terms and conditions (including with respect to vesting and accelerated vesting), subject to adjustments as set forth in the Merger Agreement, and (iv) each then-outstanding Serapha Warrant, including any Serapha Pre-Funded Warrant issued pursuant to the Serapha Pre-Closing Financing, will be converted into an Assumed Warrant, subject to adjustment as set forth in the Merger Agreement and the form of warrant.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Applying the Exchange Ratio, the former Serapha securityholders immediately before the Merger are expected to own approximately 96.2% of the aggregate number of outstanding shares of the Combined Company’s capital stock following the Merger (on a fully-diluted basis), and Boundless Bio securityholders immediately before the Merger are expected to own approximately 3.8% of the aggregate number of outstanding shares of the Combined Company capital stock following the Merger (on a fully-diluted basis), subject to certain assumptions, including, but not limited to, that Boundless Bio Net Cash as of Closing will be approximately $0, after giving effect to the Boundless Bio Pre-Closing Dividend, which is expected to be approximately $44 million to $48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changes in the market price of Boundless Bio Common Stock before the completion of the Merger will not affect the number of shares Serapha stockholders will be entitled to receive pursuant to the Merger Agreement. However, the Exchange Ratio remains subject to equitable adjustment as set forth in the Merger Agreement for certain changes in the capitalization of Boundless Bio or Serapha, including any stock dividend, subdivision, reclassification, recapitalization, stock split, including the Nasdaq Reverse Split to the extent not previously taken into account in calculating the Exchange Ratio, combination or exchange of shares or other similar change. Therefore, if before the completion of the Merger, the market price of Boundless Bio Common Stock increases from the market price on the date of the Merger Agreement, then Serapha stockholders could receive merger consideration with substantially more value for their shares of Serapha Capital Stock than the parties had negotiated when they established the Exchange Ratio. Similarly, if before the completion of the Merger, the market price of Boundless Bio Common Stock declines from the market price on the date of the Merger Agreement, then Serapha stockholders could receive merger consideration with substantially lower value.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Boundless Bio Common Stock, including the shares of Boundless Bio Common Stock issued in exchange for shares of Serapha Common Stock issued in the Serapha Pre-Closing Financing, to Serapha stockholders pursuant to the Merger Agreement and the resulting change in control from the Merger, and the Nasdaq Reverse Split, must be approved by Boundless Bio stockholders, and the Merger Agreement and transactions contemplated thereby must be approved by the Serapha stockholders. Failure to obtain these approvals would prevent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Boundless Bio stockholders must approve, among other things, the Boundless Bio Stockholder Matters, including the issuance of shares of Boundless Bio Common Stock representing (or convertible into) more than 20% of the shares of Boundless Bio Common Stock outstanding immediately prior to the Effective Time to Serapha stockholders in connection with the Contemplated Transactions, the change of control of Boundless Bio resulting from the Contemplated Transactions, the Nasdaq Reverse Split and the increase in authorized shares contemplated by the Boundless Bio Charter Amendments. In addition, Serapha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neither Boundless Bio nor Serapha is obligated to complete the Merger if there is a “material adverse effect” (as defined in the Merger Agreement) affecting the other party between June 22,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Certain of these exclusions are subject to a limitation and will not apply to the extent Boundless Bio or Serapha, as applicable, is disproportionately affected relative to other similarly situated companies in the industries in which they operate. Therefore, if any of these events were to occur and adversely affect Boundless Bio or Serapha, the adverse effect may not constitute a “material adverse effect” under the Merger Agreement, and the other party may still be required to complete the closing of the Merger notwithstanding such “material adverse effect.” If any such adverse effects occur and Boundless Bio completes the closing of the Merger, the stock price of the Combined Company may suffer. This in turn may reduce the value of the Merger to the stockholders of Boundless Bio, Serapha or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Merger is not completed, Boundless Bio’s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Boundless Bio Common Stock is subject to significant fluctuations. Market prices for securities of pharmaceutical, biotechnology and other life science companies have historically been particularly volatile. In addition, the market price of Boundless Bio Common Stock will likely be volatile based on whether stockholders and other investors believe that Boundless Bio can complete the Merger or otherwise raise additional capital to support Boundless Bio’s operations if the Merger is not completed and another strategic transaction cannot be identified, negotiated and completed in a timely manner, if at all. The volatility of the market price of Boundless Bio Common Stock has been and may be exacerbated by low trading volume.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that may cause the market price of Boundless Bio Common Stock to fluctuate include: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results of its clinical trials, discussions with regulators, and regulatory approval decisions;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Boundless Bio’s research and development expenditures;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Boundless Bio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completes the Merger, the Combined Company will need to raise additional capital, including by potentially issuing equity securities or incurring debt,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and delivery of the Merger Agreement, Serapha completed the Series A Financing, raising aggregate gross proceeds of approximately $138 million, and has entered into the Securities Purchase Agreement to complete the Serapha Pre-Closing Financing for aggregate gross proceeds of approximately $92 million. The closing of the Serapha Pre-Closing Financing is a condition to the Closing, and the closing of the Serapha Pre-Closing Financing is also conditioned upon satisfaction or waiver of the conditions to the Closing, as well as certain other conditions. The shares of Serapha Common Stock and the Serapha Pre-Funded Warrants issued in the Serapha Pre-Closing Financing will result in dilution to all securityholders of the Combined Company (i.e., both Boundless Bio’s pre-Merger securityholders and former Serapha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alternative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Boundless Bio’s pre-Merger securityholders and Serapha’s former securityholders. It is also possible that the terms of any new equity securities may have preferences over the Combined Company common stock. Any debt financing the Combined Company enters into may involve covenants that restrict its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Boundless Bio’s and Serapha’s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Boundless Bio and Serapha have interests in the Merger that are different from, or in addition to, the interests of other Boundless Bio stockholders generally. These interests with respect to Boundless Bio’s directors and executive officers may include, among others, retention bonus payments, acceleration of previously issued equity awards, severance payments if employment is terminated in a qualifying termination in connection with the Merger and rights to continued indemnification, expense advancement and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current members of the Serapha Board of Directors will continue as directors of the Combined Company after the Effective Time, and, following the closing of the Merger, will be eligible to be compensated as non-employee directors of the Combined Company pursuant to Boundless Bio’s non-employee director compensation policy that is expected to remain in place following the Effective Time. These interests, among other factors, may have influenced the directors and executive officers of each company to support or approve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was aware of and considered those interests, among other matters, in reaching their decisions to approve and adopt the Merger Agreement, approve the Merger, and recommend the approval of the Merger Agreement to Boundless Bio stockholders. These interests, among other factors, may have influenced the directors and executive officers of each company to support or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stockholders and Serapha stockholders may not realize a benefit from the Merger commensurate with the ownership dilution they will experience in connection with the Merger, including the conversion of Serapha Common Stock issued in the 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Boundless Bio stockholders and Serapha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Boundless Bio’s current stockholders will generally own a smaller percentage of the Combined Company than their ownership of Boundless Bio prior to the Merger. Immediately after the Merger, Boundless Bio securityholders as of immediately prior to the Merger are expected to own approximately 3.8% of the outstanding shares of capital stock of the Combined Company (on a fully-diluted basis), and former holders of Serapha securities are expected to own approximately 96.2% of the outstanding shares of capital stock of the Combined Company (on a fully-diluted basis), subject to certain assumptions, including, but not limited to, Boundless Bio Net Cash as of closing being approximately $0, after giving effect to the Boundless Bio Pre-Closing Dividend, which is expected to be approximately $44 million to $48 million. The Chief Executive Officer of Serapha will serve as the Chief Executive Officer of the Combined Company following the completion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While the Merger Agreement is in effect, each of Boundless Bio and Serapha is generally prohibited from, among other things, soliciting, initiating or knowingly encouraging, inducing or facilitating the communication, making, submission or announcement of any acquisition proposal or acquisition inquiry. In addition, Boundless Bio’s current directors and executive officers have entered into support agreements pursuant to the terms of the Merger Agreement, and as an inducement to Serapha’s willingness to enter into the Merger Agreement, by which they have agreed to vote all of their shares of Boundless Bio Capital Stock in favor of the Contemplated Transactions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Serapha Common Stock makes it difficult to evaluate the fair market value of its capital stock, the value of Boundless Bio Common Stock to be issued to Serapha stockholders may be more or less than the fair market value of Serapha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Serapha is privately held and is not traded on any public market. The lack of a public market makes it difficult to determine the fair market value of Serapha Capital Stock. Because the percentage of Boundless Bio’s equity to be issued to Serapha stockholders was determined based on negotiations between the parties, it is possible that the value of Boundless Bio Common Stock to be issued to Serapha stockholders will be more or less than the fair market value of Serapha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Boundless Bio, Serapha,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Boundless Bio, the Boundless Bio Board of Directors, Serapha, the Serapha Board of Directors and others in connection with the transactions contemplated by the Merger Agreement. The outcome of litigation is uncertain, and Boundless Bio or Serapha may not be successful in defending against any such future claims. Lawsuits that may be filed against Boundless Bio, the Boundless Bio Board of Directors, Serapha, or the Serapha Board of Directors could delay or prevent the Merger, divert the attention of Boundless Bio’s and Serapha’s management and employees from their day-to-day business and otherwise adversely affect Boundless Bio and Serapha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has never paid and, other than in connection with the Merger with Serapha, does not intend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paid cash dividends on any of its capital stock. Other than the Boundless Bio Pre-Closing Dividend in connection with the Merger, Boundless Bio does not currently anticipate declaring or paying cash dividends on its capital stock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the Boundless Bio Pre-Closing Dividend may change based on the timing to complete the Merger, changes in operating expense levels and other factors.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Pre-Closing Dividend, which is expected to be approximately $44 million to $48 million, is based on Boundless Bio’s estimate of the amount by which Boundless Bio Net Cash, as determined pursuant to the terms of the Merger Agreement, will exceed $0. The actual amount of the Boundless Bio Pre-Closing Dividend may be higher or lower than the estimated amount and is subject to change based on the timing to complete the Merger, changes in Boundless Bio’s operating expense levels, transaction-related costs and expenses, and other adjustments to the components of Boundless Bio Net Cash as set forth in the Merger Agreement. There can be no assurance that the actual amount of the Boundless Bio Pre-Closing Dividend will not materially differ from the current estimate.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Boundless Bio does not successfully complete the Merger or another strategic transaction, the Boundless Bio Board of Directors may decide to pursue a dissolution and liquidation of Boundless Bio. In such an event, the amount of cash available for distribution to Boundless Bio stockholders will depend heavily on the timing of such liquidation as well as the amount of cash that will need to be reserved for commitments and contingent liabilities, as to which Boundless Bio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Boundless Bio Board of Directors may decide to pursue a dissolution and liquidation of Boundless Bio. In such an event, the amount of cash available for distribution to Boundless Bio stockholders will depend heavily on the timing of such decision and, ultimately, such liquidation, since the amount of cash available for distribution continues to decrease as Boundless Bio funds its operations while pursuing the Merger. In addition, if the Boundless Bio Board of Directors were to approve and recommend, and Boundless Bio stockholders were to approve, a dissolution and liquidation of Boundless Bio, Boundless Bio would be required under Delaware law to pay Boundless Bio’s outstanding obligations, as well as to make reasonable provision for contingent and unknown obligations, prior to making any distributions in liquidation to stockholders. Boundless Bio’s commitments and contingent liabilities may include obligations under Boundless Bio’s employment and related agreements with certain employees that provide for severance and other payments following a termination of employment occurring for various reasons, including a change in control of Boundless Bio, litigation against Boundless Bio, and other various claims and legal actions arising in the ordinary course of business, and other unexpected and/or contingent liabilities. As a result of this requirement, a portion of Boundless Bio’s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 may be subject to litigation or other claims related to a dissolution and liquidation of Boundless Bio. If a dissolution and liquidation were to be pursued, the Boundless Bio Board of Directors, in consultation with Boundless Bio’s advisors, would need to evaluate these matters and make a determination about a reasonable amount to reserve. Accordingly, holders of Boundless Bio Common Stock could lose all or a significant portion of their investment in the event of liquidation, dissolution or winding up of Boundless Bio. A liquidation would be a lengthy and uncertain process with no assurance of any value ever being returned to Boundless Bio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its stockholders will not have any right to make damage claims against Serapha for the breach of any representation, warranty or covenant made by Serapha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all of the representations, warranties and covenants of the parties contained therein shall not survive the Closing, except for those covenants contained therein that by their terms survive the Closing. Accordingly, there are no remedies available to the parties with respect to any breach of the representations, warranties, covenants or agreements of the parties to the Merger Agreement after the Closing, except for covenants that by their terms survive the Closing. As a result, Boundless Bio and its stockholders will have no remedy available to it if the Merger is completed and it is later revealed that there was a breach of any of the representations, warranties and covenants made by Serapha at the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Boundless Bio cannot assure you that the due diligence conducted in relation to Serapha has identified all material issues or risks associated with Serapha, its business or the industry in which it competes. Furthermore, Boundless Bio cannot assure you that factors outside of its or Serapha’s control will not later arise, or that any previously identified risks will not materialize in a manner inconsistent with the preliminary analysis. As a result of these factors, following the Closing, the Combined Company may be exposed to liabilities and incur additional costs and expenses and it may be forced to later write-down or write off assets, restructure its operations, or incur impairment or other charges. Boundless Bio and its stockholders have no indemnification rights against Serapha or its stockholders under the Merger Agreement. Accordingly, any stockholders of Boundless Bio that remain stockholders of the Combined Company following the Merger could suffer a reduction in the value of their securities. Such stockholders are unlikely to have a remedy for such reduction in value unless they are able to successfully claim that the reduction was due to the breach by Boundless 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Beam Litigation is not expected to be resolved prior to the completion of the Merger, and Boundless Bio stockholders will be asked to vote on the Merger Proposals without knowing its outcome. </w:t>
      </w:r>
    </w:p>
    <w:p>
      <w:pPr>
        <w:pStyle w:val="TextBody"/>
        <w:bidi w:val="0"/>
        <w:spacing w:before="120" w:after="0"/>
        <w:jc w:val="left"/>
        <w:rPr>
          <w:rFonts w:ascii="Times New Roman" w:hAnsi="Times New Roman"/>
          <w:sz w:val="20"/>
        </w:rPr>
      </w:pPr>
      <w:r>
        <w:rPr>
          <w:rFonts w:ascii="Times New Roman" w:hAnsi="Times New Roman"/>
          <w:sz w:val="20"/>
        </w:rPr>
        <w:t>The Beam Litigation, described under “</w:t>
      </w:r>
      <w:r>
        <w:rPr>
          <w:rFonts w:ascii="Times New Roman" w:hAnsi="Times New Roman"/>
          <w:i/>
          <w:sz w:val="20"/>
        </w:rPr>
        <w:t>Risk Factors — Risks Related to Serapha</w:t>
      </w:r>
      <w:r>
        <w:rPr>
          <w:rFonts w:ascii="Times New Roman" w:hAnsi="Times New Roman"/>
          <w:sz w:val="20"/>
        </w:rPr>
        <w:t>” and “</w:t>
      </w:r>
      <w:r>
        <w:rPr>
          <w:rFonts w:ascii="Times New Roman" w:hAnsi="Times New Roman"/>
          <w:i/>
          <w:sz w:val="20"/>
        </w:rPr>
        <w:t>Serapha’s Business — Legal Proceedings</w:t>
      </w:r>
      <w:r>
        <w:rPr>
          <w:rFonts w:ascii="Times New Roman" w:hAnsi="Times New Roman"/>
          <w:sz w:val="20"/>
        </w:rPr>
        <w:t xml:space="preserve">,” is at an early stage and is not expected to be resolved before the Boundless Bio Special Meeting or the Closing. Following the Merger, the Combined Company, whose business will be focused on SERP-01, will bear the costs of the Beam Litigation and the consequences of any adverse outcome. The Exchange Ratio will not be adjusted to reflect the pendency or outcome of the Beam Litigation, and Boundless Bio and its stockholders will not have any right to indemnification from Serapha or its stockholders for losses arising from the Beam Litigation. Accordingly, Boundless Bio stockholders should carefully consider the risks associated with the Beam Litigation in deciding how to vote on the proposals described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Nasdaq Reverse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Nasdaq Reverse Split may not increase the Combined Company’s stock price over the long-term.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Nasdaq Reverse Split is to increase the per-share market price of Boundless Bio Common Stock above the minimum bid price requirement under the Nasdaq rules so that the listing of Boundless Bio and the shares of Boundless Bio Common Stock being issued in the Merger on Nasdaq will be approved. Based on the recent trading prices of Boundless Bio Common Stock, Boundless Bio and Serapha currently estimate that a reverse stock split ratio of at least 1-for-    would be required to increase the per-share market price to $4.00, which is the minimum initial listing price requirement of Nasdaq. The final reverse stock split ratio will be determined mutually by the Boundless Bio Board of Directors and the Serapha Board of Directors prior to the Closing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It cannot be assured, however, that the Nasdaq Reverse Split will accomplish this objective for any meaningful period of time. While it is expected that the reduction in the number of outstanding shares of common stock will proportionally increase the market price of Boundless Bio Common Stock, it cannot be assured that the Nasdaq Reverse Split will increase the market price of its common stock by a multiple of the reverse stock split ratio mutually agreed by Boundless Bio and Serapha, or result in any permanent or sustained increase in the market price of Boundless Bio Common Stock, which is dependent upon many factors, including Boundless Bio’s business and financial performance, general market conditions and prospects for future success. Thus, while the stock price of Boundless Bio might meet the listing requirements for Nasdaq initially,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Nasdaq Reverse Split may decrease the liquidity of the Combined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Boundless Bio Board of Directors believes that the anticipated increase in the market price of the Combined Company common stock resulting from the proposed Nasdaq Reverse Split could encourage interest in its common stock and possibly promote greater liquidity for its stockholders, such liquidity could also be adversely affected by the reduced number of shares outstanding after the Nasdaq Reverse Split. The reduction in the number of outstanding shares may lead to reduced trading and a smaller number of market makers for the Combined Company common stock. In addition, the Nasdaq Reverse Split may not result in an increase in the Combined Company’s stock price necessary to satisfy Nasdaq’s initial listing requirements for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Nasdaq Reverse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 common stock decline after the Nasdaq Reverse Split, the percentage decline may be greater, due to the smaller number of shares outstanding, than it would have been prior to the Nasdaq Reverse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 common stock will remain the same after the Nasdaq Reverse Split is effected, or that the Nasdaq Reverse Split will not have an adverse effect on the Combined Company’s stock price due to the reduced number of shares outstanding after the Nasdaq Reverse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Boundless Bio’s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has a limited operating history, has incurred significant operating losses since its inception, and expects to incur significant losses for the foreseeable future. Boundless Bio may never generate any revenue or become profitable or, if it achieves profitability, Boundless Bio may not be able to sustain it. </w:t>
      </w:r>
    </w:p>
    <w:p>
      <w:pPr>
        <w:pStyle w:val="TextBody"/>
        <w:bidi w:val="0"/>
        <w:spacing w:before="120" w:after="0"/>
        <w:jc w:val="left"/>
        <w:rPr>
          <w:rFonts w:ascii="Times New Roman" w:hAnsi="Times New Roman"/>
          <w:sz w:val="20"/>
        </w:rPr>
      </w:pPr>
      <w:r>
        <w:rPr>
          <w:rFonts w:ascii="Times New Roman" w:hAnsi="Times New Roman"/>
          <w:sz w:val="20"/>
        </w:rPr>
        <w:t xml:space="preserve">Biopharmaceutical product development is a highly speculative undertaking and involves a substantial degree of risk. Boundless Bio is a clinical-stage oncology company with a limited operating history upon which you can evaluate its business and prospects. Boundless Bio commenced operations in 2018, has no products approved for commercial sale, and has not generated any revenue from the sale of its products. To date, Boundless Bio has focused primarily on organizing and staffing the company, business planning, raising capital, building its proprietary Spyglass platform, discovering its extrachromosomal DNA (“ecDNA”) directed therapeutic candidates (“ecDTx”), developing its diagnostic, establishing its intellectual property portfolio, conducting research, preclinical studies and clinical trials, establishing arrangements with third parties for the manufacture of its ecDTx and supply of related raw materials, and providing general and administrative support for these operations. Boundless Bio’s scientific approach to the discovery and development of ecDTx, including its use of the Spyglass platform, is unproven, and Boundless Bio does not know whether it will be able to develop or obtain regulatory approval for any products of commercial value.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Boundless Bio has not yet completed any clinical trials, successfully developed and validated a diagnostic test, obtained regulatory approvals, manufactured products at commercial scale, or arranged for a third party to do so on its behalf, or conducted sales or marketing activities necessary for successful product commercialization. Consequently, any predictions made about Boundless Bio’s future success or viability may not be as accurate as they could be if Boundless Bio had a history of successfully developing and commercializing biopharmaceutical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incurred significant operating losses since its inception and expects to incur significant losses for the foreseeable future. Boundless Bio does not have any products approved for sale and has not generated any revenue since its inception. If the Merger is not completed and Boundless Bio continues to develop any current or future ecDTx and Boundless Bio is unable to successfully develop, obtain requisite approval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commercialize any current or future ecDTx, Boundless Bio may never generate revenue. Boundless Bio’s net losses were $58.2 million and $65.4 million for the years ended December 31, 2025 and 2024, respectively. As of June 30, 2026, Boundless Bio had an accumulated deficit of $296.9 million. Substantially all of Boundless Bio’s losses have resulted from expenses incurred in connection with its research and development programs and from general and administrative costs associated with its operations. All of Boundless Bio’s current or future ecDTx will require substantial additional development time and resources before Boundless Bio would be able to apply for or receive regulatory approvals and begin generating revenue from product sales. Boundless Bio expects to continue to incur losses for the foreseeable future, and Boundless Bio anticipates these losses will increase substantially if the Merger is not completed and Boundless Bio continues to develop any current or future ecDTx, seek regulatory approval for, and potentially commercialize any current or future ecDTx and seek to discover and develop additional ecDTx, as well as operate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to become and remain profitable, Boundless Bio must succeed in discovering, developing, obtaining regulatory approvals for, and eventually commercializing products that generate significant revenue. This will require Boundless Bio to be successful in a range of challenging activities, including completing clinical trials and preclinical studies of its ecDTx, discovering additional ecDTx, obtaining regulatory approval for these ecDTx and, if required, its diagnostic, and manufacturing, marketing, and selling any products for which Boundless Bio may obtain regulatory approval. Boundless Bio is in only the preliminary stages of these activities. Boundless Bio may never succeed in these activities and, even if it does, may never generate revenue that is significant enough to achieve profitability. In addition, Boundless Bio has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Boundless Bio is unable to accurately predict the timing or amount of increased expenses or when, or if, Boundless Bio will be able to achieve profitability. Even if Boundless Bio does achieve profitability, it may not be able to sustain or increase profitability on a quarterly or annual basis. Boundless Bio’s failure to become and remain profitable may have an adverse effect on the value of Boundless Bio and could impair its ability to raise capital, expand its business, maintain its research and development efforts, diversify its ecDTx pipeline, achieve its strategic objectives, or even continue its operations. A decline in the value of Boundless Bio could also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will require substantial additional capital to finance its operations if the Merger is not completed and it continues to develop any ecDTx, and a failure to obtain this necessary capital when needed on acceptable terms, or at all, could force Boundless Bio to delay, limit, reduce, or terminate any ecDTx development programs, commercialization efforts, or 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of Boundless Bio’s ecDTx, including conducting preclinical studies and clinical trials, is a very time-consuming, capital-intensive, and uncertain process. Boundless Bio’s operations have consumed substantial amounts of cash since inception. If Boundless Bio continues to develop any ecDTx, Boundless Bio expects its expenses to substantially increase in connection with any ongoing activities, particularly if it conducts any clinical trials and preclinical studies and potentially seeks regulatory approval for any current or future ecDTx it may develop. If Boundless Bio obtains regulatory approval for its ecDTx or any future ecDTx it may develop, Boundless Bio also expects to incur significant commercialization expenses related to product manufacturing, marketing, sales, and distribution. Because the outcome of any clinical trial or preclinical study is highly uncertain, Boundless Bio cannot reasonably estimate the actual amount of capital necessary to successfully complete the development and commercialization of its ecDTx. Furthermore, Boundless Bio will continue to incur additional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its current operating plan, Boundless Bio believes that its existing cash, cash equivalents, and short-term investments will be sufficient to fund its operations through the anticipated closing date of the Merger and for a period of at least 12 months from the date of issuance of its unaudited interim financial statements for the quarter ended June 30, 2026 appearing elsewhere in this proxy statement/prospectus. Boundless Bio has based its belief in this regard on assumptions that may prove to be wrong, and it could expend its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sooner than currently expected. Boundless Bio’s operating plans and other demands on its cash resources may change as a result of many factors currently unknown, and Boundless Bio may need to seek additional funds sooner than planned. Boundless Bio’s existing capital is not sufficient to complete development of its current or future ecDTx, and Boundless Bio will require substantial capital in order to advance any current or future ecDTx through clinical trials, regulatory approval, and commercialization. Accordingly, if the Merger is not completed, Boundless Bio will need to obtain substantial additional funding in connection with its continuing operations. Boundless Bio’s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Boundless Bio is unable to complete the Merger, its ability to raise additional funds and the terms upon which it is able to raise such funds may also be adversely affected by the uncertainties regarding its financial condition, uncertainties with respect to the prospects for its ecDTx programs, the sufficiency of its capital resources, potential future management turnover, and volatility and instability in the global financial markets. As a result of these and other factors, there is no guarantee that sufficient additional funding will be available to Boundless Bio on acceptable terms, or at all. If the equity and credit markets deteriorate, it may make any necessary debt or equity financing more difficult, more costly, and more dilutive. If Boundless Bio is unable to raise capital when needed or on attractive terms and Boundless Bio continues to develop any ecDTx, Boundless Bio could be forced to delay, reduce, or eliminate its research and development programs or any future commercialization efforts, or even cease operations. If the Merger is not completed, Boundless Bio expects to finance its cash needs through public or private equity or debt financings or other capital sources, including potential collaborations, licenses, and other similar arrangements. In addition, Boundless Bio may seek additional capital due to favorable market conditions or strategic considerations even if it believes it has sufficient funds for its current or future operating plans. Attempting to secure additional financing may divert Boundless Bio’s management from its day-to-day activities, which may adversely affect its ability to develop its ecDTx.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currently has a “shelf” registration statement on Form S-3 effective and an existing at-the-market (“ATM”) offering program; however, its ability to raise capital under its shelf registration statement, including through the ATM offering program, may be limited by SEC rules and regulations. Based on Boundless Bio’s public float as of the filing date of this proxy statement/prospectus, as calculated pursuant to SEC rules, Boundless Bio is only permitted to utilize its shelf registration statement, including the prospectus pursuant to which its ATM offering is conducted, subject to Instruction I.B.6 of Form S-3, which is referred to as the “baby shelf” rule. Accordingly, for so long as Boundless Bio’s public float is less than $75.0 million, it generally may not sell securities registered on its shelf registration statement in a primary offering with a value exceeding more than one-third of its public float during any 12 calendar month period. Although alternative public and private transaction structures may be available to raise additional capital, these may require additional time and cost, may impose operational restrictions on Boundless Bio, and may not be available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future capital requirements are difficult to predict and will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Boundless Bio’s ecDTx that it may choose to pursue;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Boundless Bio’s ecDTx, including commercial manufacture at sufficient scale, if any of its ecDTx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obtaining raw materials for manufacturing sufficient quantities of Boundless Bio’s ecDTx or obtaining sufficient quantities of any combination agents or other materials needed for use in its clinical trials and preclinical studies;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developing diagnostics, if required, and the outcome of their regulatory review;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meetings and reviews of Boundless Bio’s ecDTx;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approval pathways;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seeking to obtain, maintain, expand, enforce, defend, and protect Boundless Bio’s patents and other intellectual property and proprietary rights, or to challenge third-party patents and other intellectual property rights, if necessary;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purchasing laboratory supplies and equipment and pharmacology supplies for Boundless Bio’s preclinical activities and clinical trials;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any variable payment obligations under Boundless Bio’s facility 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needed, to support Boundless Bio’s clinical and preclinical development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any of Boundless Bio’s ecDTx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Boundless Bio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Conducting clinical trials and preclinical studies and discovering potential ecDTx is a time-consuming, expensive, and uncertain process that takes years to complete, and Boundless Bio may never generate the necessary data or results required to obtain regulatory approval and commercialize its ecDTx. In addition, Boundless Bio’s ecDTx, if approved, may not achieve commercial success. Boundless Bio’s commercial revenue, if any, will initially be derived from sales of products that it does not expect to be commercially available for many years, if at all.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not completed and Boundless Bio continues to develop any ecDTx, Boundless Bio will need to continue to rely on additional financing to achieve its business objectives. Adequate additional financing may not be available to Boundless Bio on acceptable terms, or at all, including as a result of financial and credit market deterioration or instability, market-wide liquidity shortages, geopolitical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Boundless Bio’s stockholders, restrict its operations, or require Boundless Bio to relinquish rights to its technologies or ecDTx. </w:t>
      </w:r>
    </w:p>
    <w:p>
      <w:pPr>
        <w:pStyle w:val="TextBody"/>
        <w:bidi w:val="0"/>
        <w:spacing w:before="120" w:after="0"/>
        <w:jc w:val="left"/>
        <w:rPr>
          <w:rFonts w:ascii="Times New Roman" w:hAnsi="Times New Roman"/>
          <w:sz w:val="20"/>
        </w:rPr>
      </w:pPr>
      <w:r>
        <w:rPr>
          <w:rFonts w:ascii="Times New Roman" w:hAnsi="Times New Roman"/>
          <w:sz w:val="20"/>
        </w:rPr>
        <w:t xml:space="preserve">Until Boundless Bio can generate substantial product revenue, if ever, and if the Merger is not completed, it expects to finance its cash needs through equity offerings, debt financings, or other capital sources, including potential collaborations, licenses, and other similar arrangements. Boundless Bio does not have any committed external source of funds. To the extent that Boundless Bio raises additional capital through the sale of equity or convertible debt securities, existing stockholders’ ownership interest may be diluted, and the terms of these securities may include liquidation or other preferences that adversely affect their rights as common stockholders. Debt financing and preferred equity financing, if available, may involve agreements that include covenants limiting or restricting Boundless Bio’s ability to take specific actions, such as incurring additional debt, making capital expenditures, or declaring dividends. Such restrictions could adversely impact Boundless Bio’s ability to conduct its operations and execute its business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Boundless Bio raises additional funds through future collaborations, licenses, and other similar arrangements, Boundless Bio may be required to relinquish valuable rights to its future revenue streams or proprietary technology, or grant licenses on terms that may not be favorable to Boundless Bio and/or that may reduce the value of Boundless Bio Common Stock. If Boundless Bio is unable to raise additional funds through equity or debt financings or other arrangements when needed or on terms acceptable to it, Boundless Bio would be required to delay, limit, reduce, or terminate any product development or future commercialization efforts, or grant rights to develop and market ecDTx that it might otherwise prefer to develop and market itself, or on less favorable terms than it would otherwise choose.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Development, and Regulatory Approval of Boundless Bio’s ecDTx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Boundless Bio continues to develop any ecDTx and is unable to successfully develop, obtain regulatory approval, and ultimately commercialize any current or future ecDTx, or experiences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invested substantially all of its efforts to date in developing its ecDTx, developing a diagnostic as a potential patient selection tool, identifying other targets for therapeutic pursuit, and developing its proprietary Spyglass platform. If Boundless Bio continues to develop any ecDTx, there can be no assurance any current or future ecDTx will demonstrate acceptable or commercially viable clinical trial results. Boundless Bio’s ability to generate product revenue, which it does not expect will occur for many years, if ever, will depend heavily on the successful development and eventual commercialization of its ecDTx. The success of Boundless Bio’s ecDTx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initiation and enrollment of clinical trials, and timely completion of clinical trials and preclinical studies with favorable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allowance to proceed with clinical trials for Boundless Bio’s ecDTx under INDs by the FDA, or under similar regulatory submissions by comparable foreign regulatory authorities;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observed in clinical trials and preclinical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establishing relationships with contract research organizations (“CROs”) and clinical sites for the clinical development of Boundless Bio’s ecDTx, and ability of such CROs and clinical sites to comply with clinical trial protocols, Good Clinical Practice requirements (“GCPs”) and other applicable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demonstrating the safety and efficacy of Boundless Bio’s ecDTx to the satisfaction of applicable regulatory authorities, including by establishing a safety database of a size satisfactory to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development, validation, and regulatory approval of diagnostic tests for use in patient selection with Boundless Bio’s ecDTx, if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receipt of regulatory approvals from applicable regulatory authorities, including approvals of new drug applications (“NDAs”), from the FDA and maintaining such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relationships with Boundless Bio’s third-party manufacturers and their ability to comply with current Good Manufacturing Practice requirements (“cGMPs”) as well as making arrangements with its third-party manufacturers for, or establishing its own, commercial manufacturing capabilities at a cost and scale sufficient to support commercialization;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launching commercial sales of Boundless Bio’s products, if and when approved,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protecting, and enforcing any patent and trade secret protection, patent term extensions (if applicable), and/or regulatory exclusivity for Boundless Bio’s ecDTx;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acceptable safety profile of Boundless Bio’s products following regulatory approval, if any;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people who can develop and commercialize Boundless Bio’s products; and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Boundless Bio’s products, if approved, by patients, the medical community, and third-party payors.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Boundless Bio is unable to develop, obtain regulatory approval for, or, if approved, successfully commercialize any ecDTx, or if Boundless Bio experiences delays as a result of any of the above factors or otherwise, its business would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approach to treating cancer with oncogene amplifications by developing ecDTx directed against ecDNA is novel and unproven, and if Boundless Bio continues to develop any ecDTx, Boundless Bio does not know whether it will be able to develop any products of commercial value, or if competing approaches will limit the commercial value of its ecDTx.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Boundless Bio’s business depends primarily upon its ability to discover, develop, and commercialize products based on its scientific approach, which is focused on developing therapies that are directed against ecDNA in oncogene amplified cancers, a novel and unproven approach. While Boundless Bio has had favorable preclinical study results for certain of its ecDTx programs, Boundless Bio has not yet succeeded and may not succeed in demonstrating efficacy and safety for its ecDTx in clinical trials or in obtaining regulatory approvals from the FDA or other regulatory authorities or in commercializing such ecDTx. For example,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As an organization, Boundless Bio has not completed any clinical trials for any of its ecDTx. If Boundless Bio continues to develop any ecDTx, Boundless Bio’s research methodology and scientific approach in using its Spyglass platform may be unsuccessful in identifying and discovering additional ecDTx, and, even if successful, Boundless Bio may not be able to submit INDs and have such INDs allowed to proceed to enable it to commence clinical trials on the timelines it expects, if at all. Any ecDTx Boundless Bio does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Boundless Bio’s ecDTx. Further, because Boundless Bio’s ecDTx and all of its discovery programs are ecDNA based, adverse developments with respect to one of its programs may have a significant adverse impact on the actual or perceived likelihood of success and value of its other programs.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biotechnology and biopharmaceutical industries are characterized by rapidly advancing technologies. If Boundless Bio continues to develop any ecDTx, Boundless Bio’s future success will depend in part on its ability to maintain a competitive position with its scientific approach. If Boundless Bio fails to stay at the forefront of technological change in utilizing its approach to create and develop ecDTx and, if required, diagnostic tests, Boundless Bio may be unable to compete effectively. Boundless Bio’s competitors may render its approach obsolete or limit the commercial value of its products or ecDTx by advances in existing technological approaches or the development of new or different approaches, potentially eliminating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advantages in its drug discovery process that Boundless Bio believes it derives from its approach. By contrast, adverse developments with respect to other companies that attempt to use a similar approach to Boundless Bio’s approach may adversely impact the actual or perceived value and potential of its ecDTx.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Boundless Bio may be forced to delay, modify, or abandon its development efforts for a program or programs, which would have a material adverse effect on its business and could potentially cause Boundless Bio to cease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and preclinical development involves a lengthy and expensive process with uncertain timelines and outcomes, and the results of preclinical studies and early clinical trials are not necessarily predictive of future results. If Boundless Bio continues to develop any ecDTx, Boundless Bio’s ecDTx may not achieve favorable results in ongoing or future clinical trials or preclinical studies or receive regulatory approval on a timely basis, if at all. </w:t>
      </w:r>
    </w:p>
    <w:p>
      <w:pPr>
        <w:pStyle w:val="TextBody"/>
        <w:bidi w:val="0"/>
        <w:spacing w:before="120" w:after="0"/>
        <w:jc w:val="left"/>
        <w:rPr>
          <w:rFonts w:ascii="Times New Roman" w:hAnsi="Times New Roman"/>
          <w:sz w:val="20"/>
        </w:rPr>
      </w:pPr>
      <w:r>
        <w:rPr>
          <w:rFonts w:ascii="Times New Roman" w:hAnsi="Times New Roman"/>
          <w:sz w:val="20"/>
        </w:rPr>
        <w:t xml:space="preserve">Clinical and preclinical development is expensive and can take many years to complete, and its outcome is inherently uncertain. If Boundless Bio continues to develop any ecDTx, Boundless Bio cannot guarantee that any clinical trials or preclinical studies will be conducted as planned, including whether it is able to meet expected timeframes for data readouts, or completed on schedule, if at all, and failure can occur at any time during the trial or study process. Despite any promising preclinical or clinical results, any ecDTx can unexpectedly fail at any stage of clinical or preclinical development. The historical failure rate for product candidates in the industry is high, particularly in the earlier stages of development. For example, as discussed above, in May 2025, Boundless Bio announced that it discontinued the monotherapy arm and combination arms of BBI-355 with third-party targeted therapies in the POTENTIATE trial based on initial trial data. Boundless Bio had been continuing to investigate BBI-355 in combination with BBI-825; however, in January 2026, following a strategic portfolio review, Boundless Bio elected to cease enrollment of the POTENTIATE trial due to market considerations, clinical data, and prioritization of its BBI-940 program and will no longer invest in the development of ECHO, which is an ecDNA diagnostic clinical trial assay used in the POTENTIATE trial. In June 2026, Boundless Bio announced that based on preliminary exposure data obtained in the early dose escalation cohorts of the KOMODO-1 clinical trial, Boundless Bio believed that the observed pharmacokinetic exposure data did not support continued clinical development of BBI-940. The results from preclinical studies or clinical trials of an ecDTx or of a competitor’s product candidates in the same class may not predict the results of later clinical trials of Boundless Bio’s current or future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Boundless Bio’s current and any potential future ecDTx development programs, such results may delay or prevent the initiation of clinical trials for such ecDTx programs. </w:t>
      </w:r>
    </w:p>
    <w:p>
      <w:pPr>
        <w:pStyle w:val="TextBody"/>
        <w:bidi w:val="0"/>
        <w:spacing w:before="240" w:after="0"/>
        <w:jc w:val="left"/>
        <w:rPr>
          <w:rFonts w:ascii="Times New Roman" w:hAnsi="Times New Roman"/>
          <w:sz w:val="20"/>
        </w:rPr>
      </w:pPr>
      <w:r>
        <w:rPr>
          <w:rFonts w:ascii="Times New Roman" w:hAnsi="Times New Roman"/>
          <w:sz w:val="20"/>
        </w:rPr>
        <w:t xml:space="preserve">Moreover, preclinical and clinical data may be susceptible to varying interpretations and analyses. A number of companies in the biopharmaceutical and biotechnology industries, including Boundless Bio, as discussed above, have suffered significant setbacks in clinical development even after achieving promising results in earlier studies. Such setbacks have occurred and may occur for many reasons if Boundless Bio continues to develop any ecDTx, including, but not limited to: clinical sites and investigators may deviate from clinical trial protocols, whether due to lack of training or otherwise, and Boundless Bio may fail to detect any such deviations in a timely manner; patients may fail to adhere to any required clinical trial procedures, including any requirements for post-treatment follow-up; any current or future ecDTx may fail to demonstrate effectiveness or safety in certain patient subpopulations, which has not been observed in earlier trials due to limited sample size, lack of analysis, or otherwise; or Boundless Bio’s clinical trials may not adequately represent the patient populations it intends to treat, whether due to limitations in its trial designs or otherwise, such as where one patient subgroup is overrepresented in the clinical trial. Based upon negative or inconclusive results, Boundless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 or any future collaborator may decide, or regulators may require Boundless Bio, to conduct additional preclinical studies or clinical trials, which would cause Boundless Bio to incur additional operating expenses and delays and may not be sufficient to support regulatory approval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As a result, if Boundless Bio continues to develop any ecDTx, Boundless Bio cannot be certain that its clinical trials and preclinical studies will be successful. Any safety concerns observed in any one of Boundless Bio’s clinical trials in its targeted indications could limit the prospects for regulatory approval of its ecDTx in those and other indications, which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any difficulties or delays in the commencement or completion, or the termination or suspension, of its clinical trials or preclinical studies could result in increased costs to Boundless Bio, delay or limit its ability to generate revenue, or adversely affect its commercial prospects.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Boundless Bio’s ecDTx, Boundless Bio must conduct extensive clinical trials to demonstrate the safety and efficacy of the ecDTx in humans. Before Boundless Bio can initiate clinical trials for its preclinical ecDTx, it must submit the results of preclinical studies to the FDA or comparable foreign regulatory authorities along with other information, including information about ecDTx chemistry, manufacturing, and controls, and its proposed clinical trial protocol, as part of an IND or similar regulatory submission. The FDA or comparable foreign regulatory authorities may require Boundless Bio to conduct additional preclinical studies for any ecDTx before it allows Boundless Bio to initiate clinical trials under any IND or similar regulatory submission, which may lead to delays and increase the costs of Boundless Bio’s preclinical ecDTx programs. Moreover, even if Boundless Bio commences clinical trials, issues may arise that could cause regulatory authorities to suspend or terminate such clinical trials. Any such delays in the commencement or completion, or the termination or suspension, of Boundless Bio’s clinical trials or preclinical studies for its current and any future ecDTx could significantly affect its product development timelines and product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continues to develop any ecDTx, Boundless Bio does not know whether its clinical trials and preclinical studies will begin on time or if its ongoing or future trials or studies will be completed on schedule, if at all. The commencement, data readouts, and completion of clinical trials and preclinical studies can be delayed for a number of reasons, including delays related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animals or materials to initiate and generate sufficient preclinical, toxicology, or other </w:t>
            </w:r>
            <w:r>
              <w:rPr>
                <w:rFonts w:ascii="Times New Roman" w:hAnsi="Times New Roman"/>
                <w:i/>
                <w:sz w:val="20"/>
              </w:rPr>
              <w:t xml:space="preserve">in vivo </w:t>
            </w:r>
            <w:r>
              <w:rPr>
                <w:rFonts w:ascii="Times New Roman" w:hAnsi="Times New Roman"/>
                <w:sz w:val="20"/>
              </w:rPr>
              <w:t xml:space="preserve">or </w:t>
            </w:r>
            <w:r>
              <w:rPr>
                <w:rFonts w:ascii="Times New Roman" w:hAnsi="Times New Roman"/>
                <w:i/>
                <w:sz w:val="20"/>
              </w:rPr>
              <w:t>in vitro</w:t>
            </w:r>
            <w:r>
              <w:rPr>
                <w:rFonts w:ascii="Times New Roman" w:hAnsi="Times New Roman"/>
                <w:sz w:val="20"/>
              </w:rPr>
              <w:t xml:space="preserve"> data to support the initiation or continuation of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allowance from regulatory authorities to commence a trial or reaching a consensus with regulatory authorities on trial design;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disagreeing as to the design or implementation of Boundless Bio’s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approval from one or more institutional review boards (“IRBs”) or ethics committees (“ECs”) at clinical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IRBs/ECs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or amendments to the clinical trial protocol;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the trial protocol or dropping out of a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Boundless Bio’s CROs to perform in accordance with GCP requirements or applicable regulatory requirements or guidelines in other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raw materials for manufacturing sufficient quantities of Boundless Bio’s ecDTx or obtaining sufficient quantities of combination therapies or other materials needed for use in clinical trials and preclinical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failing to enroll or remain in Boundless Bio’s trials at the rate Boundless Bio expects, or failing to return for post-treatment follow-up, including patients failing to remain in Boundless Bio’s trials due to movement restrictions, health reasons, or otherwise resulting from any future public health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choosing alternative treatments for the indications for which Boundless Bio is developing Boundless Bio’s ecDTx, or participating in competing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any clinical trials or preclinical studies or costs being greater than Boundless Bio anticipates;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experiencing severe or serious unexpected drug-related adverse effects;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trials of the same class of agents conducted by other companies that could be considered similar to Boundless Bio’s ecDTx;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 of manufacturing processes to larger-scale facilities operated by a contract manufacturing organization (“CMO”), delays, or failure by Boundless Bio’s CMOs or Boundless Bio to make any necessary changes to such manufacturing process, or failure of Boundless Bio’s CMOs to produce clinical trial materials in accordance with cGMP regulations or other applicable requirements; and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 parties being unwilling or unable to satisfy their contractual obligations to Boundless Bio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Boundless Bio could also encounter delays if a clinical trial is suspended or terminated by Boundless Bio, by ECs or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Boundless Bio’s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Boundless Bio may need to amend clinical trial protocols to comply with these changes. Amendments may require Boundless Bio to resubmit Boundless Bio’s clinical trial protocols to ECs or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if Boundless Bio conducts clinical trials in foreign countries, this will present additional risks that may delay completion of Boundless Bio’s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Moreover, principal investigators for Boundless Bio’s clinical trials may serve as scientific advisors or consultants to Boundless Bio from time to time and receive compensation in connection with such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certain circumstances, Boundless Bio may be required to report some of these relationships to the FDA or comparable foreign regulatory authorities. The FDA or comparable foreign regulatory authority may conclude that a financial relationship between Boundless Bio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Boundless Bio’s marketing applications by the FDA or a comparable foreign regulatory authority, as the case may be, and may ultimately lead to the denial of regulatory approval of Boundless Bio’s ecDTx.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of the factors that cause, or lead to, the termination or suspension of, or a delay in the commencement or completion of, clinical trials may also ultimately lead to the denial of regulatory approval of an ecDTx. Any delays to Boundless Bio’s clinical trials that occur as a result could shorten any period during which Boundless Bio may have the exclusive right to commercialize Boundless Bio’s ecDTx. In such cases, Boundless Bio’s competitors may be able to bring products to market before Boundless Bio does, and the commercial viability of Boundless Bio’s ecDTx could be significantly reduced. Any of these occurrences may harm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Boundless Bio may find it difficult to enroll patients in any clinical trials. If Boundless Bio encounters difficulties or delays enrolling patients in Boundless Bio’s clinical trials, Boundless Bio’s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Successful and timely completion of clinical trials will require that Boundless Bio identifies and enrolls a specified number of patients for each of Boundless Bio’s clinical trials. Boundless Bio may not be able to initiate or continue clinical trials for any ecDTx if Boundless Bio is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Boundless Bio’s ability to recruit clinical trial investigators with the appropriate competencies and experience, and competing clinical trials and clinicians’ and patients’ perceptions as to the potential advantages and risks of any ecDTx being studied in relation to other available therapies, including any new products that may be approved for the indications Boundless Bio may be investigating as well as any product candidates under development. Boundless Bio will be required to identify and enroll a sufficient number of patients for each of Boundless Bio’s clinical trials and monitor such patients adequately during and after treatment. Potential patients for any planned clinical trials may not be adequately diagnosed or identified with the diseases that Boundless Bio is targeting, which could adversely impact the outcomes of Boundless Bio’s trials and could have safety concerns for the potential patients. Potential patients for any planned clinical trials may also not meet the entry criteria for such trials.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because Boundless Bio’s ecDTx are focused on patients with tumors harboring oncogene amplifications on or enabled by ecDNA, Boundless Bio’s ability to enroll eligible patients may be limited or take more time than Boundless Bio anticipates, due to the frequency of the biomarker Boundless Bio is seeking to target, or Boundless Bio’s ability to effectively identify such biomarker. Boundless Bio also may encounter difficulties in identifying and enrolling patients with the proper tumor characteristics or stage of disease appropriate for any of Boundless Bio’s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Boundless Bio’s clinical trials. The timing of Boundless Bio’s clinical trials depends, in part, on the speed at which Boundless Bio can recruit patients to participate in Boundless Bio’s trials, as well as completion of required follow-up periods. The eligibility criteria of Boundless Bio’s clinical trials, once established, may further limit the pool of available trial participants. If patients are unwilling or unable to participate in Boundless Bio’s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any reason, including the existence of concurrent clinical trials for similar target populations, the availability of approved therapies, or the fact that enrolling in Boundless Bio’s trials may prevent patients from taking a different product, or Boundless Bio otherwise has difficulty enrolling a sufficient number of patients, the timeline for recruiting patients, conducting trials, and obtaining regulatory approval of Boundless Bio’s current or future ecDTx may be delayed. Additionally, patients in Boundless Bio’s prior clinical trials are typically in the late stages of their disease and may experience disease progression independent from Boundless Bio’s ecDTx, making them unevaluable for purposes of the clinical trial and requiring additional patient enrollment. Boundless Bio’s inability to enroll a sufficient number of patients for any of Boundless Bio’s future clinical trials would result in significant delays or may require Boundless Bio to abandon one or more clinical trials altogether.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Boundless Bio continues to develop any ecDTx, Boundless Bio will continue to rely on CROs and clinical trial sites to ensure proper and timely enrollment of Boundless Bio’s clinical trials. Though Boundless Bio has entered into agreements governing their services, Boundless Bio has limited influence over their actual performance. Boundless Bio cannot assure you that Boundless Bio’s assumptions used in determining expected clinical trial timelines are correct, or that Boundless Bio will not experience delays or difficulties in enrollment, or be required by the FDA or other regulatory authorities to increase Boundless Bio’s enrollment, which would result in the delay of completion of such trials beyond Boundless Bio’s expected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Boundless Bio’s current or future ecDTx could be associated with side effects, adverse events, or other properties or safety risks, which could delay or preclude regulatory approval, cause Boundless Bio to suspend or discontinue clinical trials, cause Boundless Bio to abandon an ecDTx, limit the commercial profile of an approved label, or result in other significant negative consequences that could severely harm Boundless Bio’s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oncology drugs generally, it is likely that there may be side effects and adverse events associated with use of Boundless Bio’s ecDTx. If Boundless Bio continues to develop any ecDTx, results of Boundless Bio’s clinical trials could reveal a high and unacceptable severity and prevalence of expected or unexpected side effects or unexpected characteristics. Undesirable side effects caused by any of Boundless Bio’s ecDTx when used alone or in combination with approved or investigational drugs could cause Boundless Bio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Boundless Bio’s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Boundless Bio’s ecDTx are associated with undesirable side effects in clinical trials or demonstrate characteristics that are unexpected, Boundless Bio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 certain toxicities may be seen when Boundless Bio’s ecDTx is combined with standard of care therapies, or when used as a single agent. Boundless Bio may also be required to modify Boundless Bio’s development and clinical trial plans based on findings in Boundless Bio’s ongoing clinical trials. For example, in the now-discontinued monotherapy arm of the POTENTIATE trial, BBI-355 administered with continuous every other day dosing (“Q2D”) demonstrated a narrow therapeutic index resulting from hematological toxicity at or near doses associated with clinical activity, and in the now-discontinued combination arms with third-party targeted therapies, the combination of BBI-355 administered with Q2D dosing in combination with these therapies was not well-tolerated at the exposure levels believed to be required for robust, sustained anti-tumor activity. Many compounds that initially showed promise in early-stage testing for treating cancer have later been found to cause side effects that prevented further development of the compounds. In addition, if Boundless Bio continues to develop any ecDTx, Boundless Bio plans to study its ecDTx in combination with other therapies, which may exacerbate adverse events associated with such ecDTx.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Boundless Bio continues to develop any ecDTx and successfully completes early phase clinical studies and establishes initial clinical proof-of-concept, it is possible that as Boundless Bio tests its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Boundless Bio’s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Patients treated with Boundless Bio’s current or future ecDTx may also be undergoing surgical, radiation, and/or chemotherapy treatments, which can cause side effects or adverse events that are unrelated to Boundless Bio’s ecDTx but may still impact the success of Boundless Bio’s clinical trials. The inclusion of critically ill patients in Boundless Bio’s clinical trials may result in deaths or other adverse medical events due to other therapies or medications that such patients may be using or due to the gravity of such patients’ illnesses. For example, if Boundless Bio continues to develop any ecDTx, Boundless Bio expects that some of the patients enrolled in its clinical trials will die or experience major clinical events either during the course of Boundless Bio’s clinical trials or after participating in such trials.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Boundless Bio’s ecDTx receives regulatory approval, and Boundless Bio or others later identify undesirable side effects caused by such product, a number of potentially significant negative consequences could result,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recall a product or change the way such product is administered to patients;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additional warnings on the label, such as a “black box” warning or a contraindication;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implement a Risk Evaluation and Mitigation Strategy (“REMS”) or create a medication guide outlining the risks of such side effects for distribution to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be required to change the way a product is distributed or administered, conduct additional clinical trials, change the labeling of a product, or conduct additional post-marketing studies or surveillance;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could be sued and held liable for harm caused to patients;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or the product could become less competitive; and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Boundless Bio from achieving or maintaining market acceptance of the particular ecDTx, if approved, and could significantly harm Boundless Bio’s business,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an organization, Boundless Bio has never completed any clinical trials and may be unable to do so if Boundless Bio continues to develop any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completed any clinical trials, and if Boundless Bio continues to develop any ecDTx, Boundless Bio will need to successfully complete ongoing and later-stage and pivotal clinical trials in order to obtain FDA or comparable foreign regulatory approval to market any current or future ecDTx. Carrying out later-stage clinical trials and the submission of a successful NDA is a complicated process. As discussed above, Boundless Bio elected to cease enrollment in the POTENTIATE trial and has not yet completed any clinical trials for Boundless Bio’s ecDTx. Boundless Bio has limited experience as a company in preparing and submitting marketing applications and has not previously submitted an NDA or other comparable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submission for any ecDTx. In addition, as a company, Boundless Bio has had limited interactions with the FDA and no interaction with other comparable foreign regulatory authorities and cannot be certain how many additional clinical trials of Boundless Bio’s ecDTx will be required or how such trials should be designed. Consequently, Boundless Bio may be unable to successfully and efficiently execute and complete necessary clinical trials in a way that leads to submission and regulatory approval of Boundless Bio’s ecDTx. Boundless Bio may require more time and incur greater costs than its competitors and may not succeed in obtaining regulatory approvals of ecDTx that Boundless Bio may develop. Failure to commence or complete, or delays in, any of Boundless Bio’s clinical trials could prevent Boundless Bio from or delay Boundless Bio in submitting marketing applications, including NDAs, for and commercializing its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and is unable to successfully identify predictive biomarkers to identify patient populations most likely to benefit from Boundless Bio’s ecDTx, or develop a diagnostic to enable patient selection for Boundless Bio’s ecDTx, or if Boundless Bio experiences significant delays in doing so, Boundless Bio may not realize the full commercial potential of its ecDTx.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a key component of Boundless Bio’s strategy will continue to be its ability to identify patient populations most likely to benefit from its ecDTx by using a biomarker-driven approach. Identification of these patients will require identification of predictive biomarkers and may require the development and use of a diagnostic assay.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not be able to identify predictive biomarkers to identify patients most likely to benefit from its ecDTx. If Boundless Bio identifies predictive biomarkers, there are several risks associated with the development of a diagnostic assay to identify the biomarkers. Boundless Bio may not be able to validate a diagnostic and the related biomarkers or their functional relevance clinically. Potential biomarkers, even if validated preclinically, may not be functionally validated in human clinical trials. Any failure by Boundless Bio to successfully develop or obtain marketing authorization for a diagnostic assay, or any delays in doing so, may harm the commercial prospects of its ecDTx. Moreover, Boundless Bio may need to work with a third-party diagnostic developer to assist it in developing a diagnostic assay. For example, Boundless Bio developed an ecDNA diagnostic called ECHO as a clinical trial assay for use during its Phase 1/2 POTENTIATE clinical trial using a third-party </w:t>
      </w:r>
      <w:r>
        <w:rPr>
          <w:rFonts w:ascii="Times New Roman" w:hAnsi="Times New Roman"/>
          <w:i/>
          <w:sz w:val="20"/>
        </w:rPr>
        <w:t xml:space="preserve">in vitro </w:t>
      </w:r>
      <w:r>
        <w:rPr>
          <w:rFonts w:ascii="Times New Roman" w:hAnsi="Times New Roman"/>
          <w:sz w:val="20"/>
        </w:rPr>
        <w:t xml:space="preserve">diagnostic company, although, following its strategic portfolio review in January 2026 and its decision to cease enrollment of the POTENTIATE trial, Boundless Bio will no longer invest in the development of ECHO. In the future, Boundless Bio may have difficulty identifying or maintaining a relationship with a third-party diagnostic developer, and it may face competition from other companies in establishing these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Boundless Bio may develop its ecDTx in combination with other therapies, which exposes Boundless Bio to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develop its ecDTx for use in combination with one or more currently approved cancer therapies. Even if its ecDTx was to receive regulatory approval or be commercialized for use in combination with other existing therapies, Boundless Bio would continue to bear the risks that the FDA or similar foreign regulatory authorities could revoke approval of the therapy used in combination with its ecDTx or that safety, efficacy, manufacturing, or supply issues could arise with these existing therapies. Combination therapies are commonly used for the treatment of cancer, and Boundless Bio would be subject to similar risks if Boundless Bio develops its ecDTx for use in combination with other drugs or biologics or for indications other than cancer. Developing combination therapies using approved therapeutics, as Boundless Bio may do for its ecDTx, also exposes Boundless Bio to additional clinical risks, such as the requirement that Boundless Bio demonstrate the safety and efficacy of each active component of any combination regimen it may develop. </w:t>
      </w:r>
    </w:p>
    <w:p>
      <w:pPr>
        <w:pStyle w:val="TextBody"/>
        <w:bidi w:val="0"/>
        <w:spacing w:before="240" w:after="0"/>
        <w:jc w:val="left"/>
        <w:rPr>
          <w:rFonts w:ascii="Times New Roman" w:hAnsi="Times New Roman"/>
          <w:sz w:val="20"/>
        </w:rPr>
      </w:pPr>
      <w:r>
        <w:rPr>
          <w:rFonts w:ascii="Times New Roman" w:hAnsi="Times New Roman"/>
          <w:sz w:val="20"/>
        </w:rPr>
        <w:t xml:space="preserve">If the FDA or similar foreign regulatory authorities revoke the approval of combination agents, or if safety, efficacy, manufacturing, or supply issues arise with the drugs Boundless Bio chooses to evaluate in combination with Boundless Bio’s ecDTx, Boundless Bio may be unable to obtain approval of or market Boundless Bio’s ecDTx for combination therapy regimens.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the third-party providers of therapies or therapies in development used in combination with its ecDTx are unable to produce sufficient quantities for clinical trials or for commercialization of Boundless Bio’s ecDTx, or if the cost of combination therapies are prohibitive, Boundless Bio’s development and commercialization efforts would be impaired, which would have an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expend Boundless Bio’s limited resources to pursue a particular ecDTx or a particular indication for an ecDTx and fail to capitalize on ecDTx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Boundless Bio has limited financial and managerial resources, if Boundless Bio continues to develop any ecDTx, Boundless Bio may focus on specific ecDTx, development programs, and indications. As a result, Boundless Bio may forgo or delay pursuit of opportunities with other ecDTx that could have had greater commercial potential. Boundless Bio’s resource allocation and other decisions may cause Boundless Bio to fail to identify and capitalize on viable potential ecDTx or additional indications for its ecDTx or other profitable market opportunities. Boundless Bio’s spending on current and future research and development programs and ecDTx for specific indications may not yield any commercially viable ecDTx.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Boundless Bio does not accurately evaluate the commercial potential or target market for a particular indication or ecDTx, Boundless Bio may relinquish valuable rights to that ecDTx through collaborations, licenses, and other similar arrangements in cases in which it would have been more advantageous for Boundless Bio to retain sole development and commercialization rights to such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it may in the future conduct certain of its clinical trials for Boundless Bio’s ecDTx outside of the United States. However, the FDA and other foreign equivalents may not accept data from such trials, in which case Boundless Bio’s development plans will be delayed, which could materially harm Boundless Bio’s business.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in the future conduct one or more of Boundless Bio’s clinical trials for Boundless Bio’s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Boundless Bio’s clinical trials of its ecDTx, it would likely result in the need for additional clinical trials, which would be costly and time-consuming and delay or permanently halt Boundless Bio’s development of its ecDTx. </w:t>
      </w:r>
    </w:p>
    <w:p>
      <w:pPr>
        <w:pStyle w:val="TextBody"/>
        <w:bidi w:val="0"/>
        <w:spacing w:before="240" w:after="0"/>
        <w:jc w:val="left"/>
        <w:rPr>
          <w:rFonts w:ascii="Times New Roman" w:hAnsi="Times New Roman"/>
          <w:sz w:val="20"/>
        </w:rPr>
      </w:pPr>
      <w:r>
        <w:rPr>
          <w:rFonts w:ascii="Times New Roman" w:hAnsi="Times New Roman"/>
          <w:sz w:val="20"/>
        </w:rPr>
        <w:t xml:space="preserve">Conducting clinical trials outside the United States also exposes Boundless Bio to additional risks, including risks associated with: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foreign regulatory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foreign manufacturing, customs, shipment, and storage requirements;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inconsistent standards for reporting and evaluating clinical data and adverse events;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health concerns or political instability, civil unrest, war, or similar events that may jeopardize Boundless Bio’s ability to commence, conduct, or complete a clinical trial and evaluate resulting data.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continues to develop any ecDTx, interim, topline, and preliminary data from Boundless Bio’s clinical trials and preclinical studies that Boundless Bio announces or publishes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Boundless Bio may publicly disclose interim, topline, or preliminary data from its clinical trials and preclinical studies, which is based on a preliminary analysis of then-available data, and the results and related findings and conclusions are subject to change following a more comprehensive review of the data related to the particular study or trial. Boundless Bio also makes assumptions, estimations, calculations, and conclusions as part of Boundless Bio’s analyses of data, and Boundless Bio may not have received or had the opportunity to fully and carefully evaluate all data. As a result, the interim, topline, or preliminary results that Boundless Bio reports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Boundless Bio previously published. As a result, topline and preliminary data should be viewed with caution until the final data are available. Interim data from clinical trials that Boundless Bio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Boundless Bio’s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others, including regulatory authorities, may not accept or agree with Boundless Bio’s assumptions, estimates, calculations, conclusions, or analyses or may interpret or weigh the importance of data differently, which could impact the value of the particular program, the approvability or commercialization of the particular ecDTx or product and its company in general. Moreover, the information Boundless Bio chooses to publicly disclose regarding a particular study or clinical trial is based on what is typically extensive information, and you or others may not agree with what Boundless Bio determines is material or otherwise appropriate information to include in its disclosure, and any information Boundless Bio determines not to disclose may ultimately be deemed significant with respect to future decisions, conclusions, views, activities or otherwise regarding a particular drug, ecDTx or its business. If the interim, topline, or preliminary data that Boundless Bio report differ from actual results, or if others, including regulatory authorities, disagree with the conclusions reached, Boundless Bio’s ability to obtain approval for, and commercialize its ecDTx may be harmed, which could harm Boundless Bio’s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ecDTx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any of Boundless Bio’s current or future ecDTx progress through preclinical studies to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There can be no assurance that this or any other future manufacturing or formulation changes will achieve their intended objectives. These changes and any future changes Boundless Bio may make to its ecDTx may also cause such candidates to perform differently and affect the results of future clinical trials conducted with the altered materials. Such changes or related unfavorable clinical trial results could delay initiation or completion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clinical trials, require the conduct of bridging studies or clinical trials or the repetition of one or more studies or clinical trials, increase development costs, delay or prevent potential regulatory approval, and jeopardize Boundless Bio’s ability to commercialize its ecDTx, if approved, and generate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is required by the FDA or comparable foreign regulatory authority to obtain approval of a companion diagnostic test in connection with approval of Boundless Bio’s ecDTx, and Boundless Bio does not obtain, or face delays in obtaining, FDA or foreign approval of such companion diagnostic, Boundless Bio will not be able to commercialize Boundless Bio’s ecDTx, and Boundless Bio’s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If the FDA believes that the safe and effective use of Boundless Bio’s ecDTx depends on an in vitro diagnostic, then it may require approval or clearance of that diagnostic as a companion diagnostic at the same time that the FDA approves its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diagnostic is not commercially available in this situation, Boundless Bio may be required to complete the development of a diagnostic that would be subject to regulatory approval requirements. The process of obtaining or creating such diagnostics is time-consuming and costly. </w:t>
      </w:r>
    </w:p>
    <w:p>
      <w:pPr>
        <w:pStyle w:val="TextBody"/>
        <w:bidi w:val="0"/>
        <w:spacing w:before="240" w:after="0"/>
        <w:jc w:val="left"/>
        <w:rPr>
          <w:rFonts w:ascii="Times New Roman" w:hAnsi="Times New Roman"/>
          <w:sz w:val="20"/>
        </w:rPr>
      </w:pPr>
      <w:r>
        <w:rPr>
          <w:rFonts w:ascii="Times New Roman" w:hAnsi="Times New Roman"/>
          <w:sz w:val="20"/>
        </w:rPr>
        <w:t xml:space="preserve">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Boundless Bio expects that if it continues to develop any ecDTx, it may need to obtain approval for any diagnostic Boundless Bio may develop for use with its ecDTx. The approval or clearance of a companion diagnostic as part of the therapeutic product’s further labeling limits the use of the therapeutic product to only those patients who express the specific characteristic that the companion diagnostic was developed to detect. </w:t>
      </w:r>
    </w:p>
    <w:p>
      <w:pPr>
        <w:pStyle w:val="TextBody"/>
        <w:bidi w:val="0"/>
        <w:spacing w:before="240" w:after="0"/>
        <w:jc w:val="left"/>
        <w:rPr>
          <w:rFonts w:ascii="Times New Roman" w:hAnsi="Times New Roman"/>
          <w:sz w:val="20"/>
        </w:rPr>
      </w:pPr>
      <w:r>
        <w:rPr>
          <w:rFonts w:ascii="Times New Roman" w:hAnsi="Times New Roman"/>
          <w:sz w:val="20"/>
        </w:rPr>
        <w:t xml:space="preserve">If the FDA or a comparable foreign regulatory authority requires approval or clearance of a companion diagnostic for its ecDTx, whether before, simultaneously with, or after the ecDTx obtains regulatory approval, Boundless Bio and/or third-party developers may encounter difficulties in developing and obtaining approval or clearance for these companion diagnostics. Any delay or failure by Boundless Bio or third-party developers to develop or obtain regulatory approval or clearance of a companion diagnostic could delay or prevent approval or continued marketing of the relevant ecDTx. Boundless Bio or its third-party developers may also experience delays in developing a sustainable, reproducible, and scalable manufacturing process for the companion diagnostic or in transferring that process to commercial partners or negotiating insurance reimbursement plans, all of which may prevent Boundless Bio from completing any clinical trials or commercializing its ecDTx, if approved, on a timely or profitable basis, if at all. Following its strategic portfolio review in January 2026 and its decision to cease enrollment of the POTENTIATE trial, Boundless Bio will no longer invest in the development of ECHO, which is an ecDNA diagnostic clinical trial assay used in the POTENTIATE trial.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attempt to secure approval from the FDA through the use of the accelerated approval pathway if Boundless Bio continues to develop any ecDTx. If Boundless Bio is unable to obtain such approval, Boundless Bio may be required to conduct additional clinical trials beyond those that Boundless Bio contemplates, which could increase the expense of obtaining, and delay the receipt of, necessary regulatory approvals. Even if Boundless Bio receives accelerated approval from the FDA, if its confirmatory trials do not verify clinical benefit, or if Boundless Bio does not comply with rigorous post-marketing requirements, the FDA may seek to withdraw any accelerated approval it had obtained.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any ecDTx, Boundless Bio may in the future seek an accelerated approval for Boundless Bio’s ecDTx. Under the accelerated approval program, the FDA may grant accelerated approval to a product candidate designed to treat a serious or life-threatening condition that provides meaningful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the Food and Drug Omnibus Reform Act of 2022, among other things, provided the FDA with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approval for any ecDTx, Boundless Bio intends to seek feedback from the FDA and will otherwise evaluate its ability to seek and receive accelerated approval. There can be no assurance that after its evaluation of the feedback and other factors Boundless Bio will decide to pursue or submit an NDA for accelerated approval or obtain any other form of expedited development, review, or approval. Furthermore, if Boundless Bio decides to submit an application for accelerated approval for its ecDTx, there can be no assurance that such submission or application will be accepted or that any expedited development, review, or approval will be granted on a timely basis, or at all. The FDA could also require Boundless Bio to conduct further studies prior to considering its application or granting approval of any type. A failure to obtain accelerated approval or any other form of expedited development, review, or approval for its ecDTx would result in a longer time period to commercialization of such ecDTx, if any, could increase the cost of development of such ecDTx, and could harm its competitive position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including due to government shutdowns, other funding shortages, policy changes, leadership changes, layoffs or significant personnel turnover, or public health concerns, could impede development and potential marketing approval of Boundless Bio’s ecDTx and its ability to raise capital. </w:t>
      </w:r>
    </w:p>
    <w:p>
      <w:pPr>
        <w:pStyle w:val="TextBody"/>
        <w:bidi w:val="0"/>
        <w:spacing w:before="120" w:after="0"/>
        <w:jc w:val="left"/>
        <w:rPr>
          <w:rFonts w:ascii="Times New Roman" w:hAnsi="Times New Roman"/>
          <w:sz w:val="20"/>
        </w:rPr>
      </w:pPr>
      <w:r>
        <w:rPr>
          <w:rFonts w:ascii="Times New Roman" w:hAnsi="Times New Roman"/>
          <w:sz w:val="20"/>
        </w:rPr>
        <w:t xml:space="preserve">Over the last several years, the U.S. government has shut down several times and certain federal regulatory agencies, such as the FDA and SEC, furloughed or laid off employees and halted non-essential operations due to the failure of Congress to pass a new appropriations bill or continuing resolution to temporarily extend funding. Political polarization among lawmakers may lead to a higher frequency and longer duration of government shutdowns in the future. A federal government shutdown or other disruption to ordinary course operations could prevent or delay staff at federal agencies from performing key functions that may adversely affect Boundless Bio’s business, and the more prolonged the disruption, the greater risks it may pose to its business. In addition, considerable uncertainty exists regarding the current U.S. presidential administration’s initiatives and how these might impact federal government agencies, including the FDA, their implementation of laws, regulations, policies, and guidance, and their personnel. Alternatively, state governments may attempt to address or react to changes at the federal level with changes to their own regulatory frameworks in a manner that is adverse to Boundless Bio’s business or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FDA to review and approve new product applications or take action with respect to other regulatory matters can be affected by a variety of factors, including funding levels, ability to accept the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user fees, ability to hire and retain key personnel, and statutory, regulatory, and policy changes. Government funding of other government agencies that fund research and development activities is subject to the political process, which is inherently fluid and unpredictable. For example, the current U.S. presidential administration has issued certain policies and executive orders directed towards reducing, and subsequent reductions have occurred to, the employee headcount and costs associated with U.S. administrative agencies, including the FDA, and it remains unclear the degree to which these efforts may limit or otherwise adversely affect the FDA’s ability to conduct routine activities. Disruptions at the FDA may delay meetings and other communications with agency staff necessary to progress development of Boundless Bio’s ecDTx and may slow the time necessary for acceptance, review, and approval of applications to commence clinical studies or to market a new product in the U.S., which could also adversely affect its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If a federal government shutdown halts non-essential SEC operations for an extended period, it may negatively impact Boundless Bio’s ability to raise additional capital through registered offerings of its securities. If a prolonged U.S. government shutdown or other event or condition occurs that prevents or significantly delays the FDA, SEC or other regulatory agencies from hiring and retaining personnel and conducting their regular activities, or if an agency is restructured or experiences significant reduction in funding, leadership changes, or employee turnover, it could significantly impact the ability of these agencies to timely review and process Boundless Bio’s regulatory submissions and may impede its access to additional capital needed to maintain or expand its operations or to complete important acquisitions or other transactions, which could have a material adverse effect on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relies on third parties to conduct Boundless Bio’s clinical trials and preclinical studies. If these third parties do not successfully carry out their contractual duties, comply with applicable regulatory requirements, or meet expected deadlines, Boundless Bio’s current or future ecDTx development programs and ability to seek or obtain regulatory approval for or commercialize its ecDTx may be delayed.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and will be dependent on third parties to conduct its clinical trials and preclinical studies for development of any ecDTx. Specifically, Boundless Bio has relied on, and will continue to rely on, medical institutions, clinical investigators, CROs, and consultants to conduct its preclinical studies and clinical trials in accordance with its clinical protocols and regulatory requirements. These CROs, investigators, and other third parties play a significant role in the conduct and timing of these trials and subsequent collection and analysis of data. While Boundless Bio has and will have agreements governing the activities of its third-party contractors, Boundless Bio has limited influence over their actual performance. Nevertheless, Boundless Bio is responsible for ensuring that each of Boundless Bio’s clinical trials is conducted in accordance with the applicable protocol and legal, regulatory, and scientific standards and requirements, and Boundless Bio’s reliance on its CROs and other third parties does not relieve Boundless Bio of regulatory responsibilities. In addition, Boundless Bio and its CROs are required to comply with Good Laboratory Practice (“GLP”) requirements for certain preclinical studies, as well as GCP requirements, which are regulations and guidelines enforced by the FDA and comparable foreign regulatory authorities for clinical trials of all of its ecDTx. Regulatory authorities enforce these GCPs through periodic inspections of trial sponsors, principal investigators, and trial sites. If Boundless Bio or any of its CROs or trial sites fail to comply with applicable GLP or GCP or other requirements, the clinical data generated in Boundless Bio’s preclinical studies or clinical trials may be deemed unreliable, and the FDA or comparable foreign regulatory authorities may require Boundless Bio to perform additional preclinical studies or clinical trials before approving Boundless Bio’s marketing applications, if ever. Further, Boundless Bio’s clinical trials must be conducted with products produced in accordance with cGMP regulations. Failure to comply with these regulations may require Boundless Bio to repeat clinical trials, which would delay the regulatory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no guarantee that any of Boundless Bio’s CROs, investigators, or other third parties will devote adequate time and resources to such trials or studies or perform as contractually required. If any of these third parties fail to meet expected deadlines, adhere to Boundless Bio’s clinical protocols, or meet regulatory requirements, or otherwise perform in a substandard manner, Boundless Bio’s clinical trials may be extended, delayed, or terminated. In addition, many of the third parties with whom Boundless Bio contracts may also have relationships with other commercial entities, including its competitors, for whom they may also be conducting clinical trials or other development activities that could harm its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CROs have the right to terminate their agreements with Boundless Bio in the event of an uncured material breach and under other specified circumstances. If any of Boundless Bio’s relationships with these third parties terminate, Boundless Bio may not be able to enter into arrangements with alternative third parties on commercially reasonable terms, in a timely manner or at all. Switching or adding additional CROs, investigators, and other third parties involves additional cost and requires Boundless Bio’s management’s time and focus. In addition, there is a natural transition period when a new CRO commences work. As a result, delays occur, which can materially impact its ability to meet its desired clinical development timelines. Though Boundless Bio works to carefully manage its relationships with its CROs, investigators and other third parties, there can be no assurance that Boundless Bio will not encounter challenges or delays in the future or that these delays or challenges will not have a material adverse impact on its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and Boundless Bio continues to develop any ecDTx, Boundless Bio expects to continue to rely on third parties for the manufacture of its ecDTx for clinical and preclinical development and expects to continue to do so for the foreseeable future. This reliance on third parties increases the risk that Boundless Bio will not have sufficient quantities of its ecDTx or products or such quantities at an acceptable cost, which could delay, prevent, or impair, its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own or operate manufacturing facilities and has no plans to develop its own clinical or commercial-scale manufacturing capabilities. If Boundless Bio continues to develop any ecDTx, Boundless Bio expects to continue to rely on third parties, some of which operate outside of the U.S., for the manufacture of its ecDTx and related raw materials and to package, label, ship, store, and distribute its ecDTx for clinical and preclinical development, and Boundless Bio intends to rely on third parties for such services for its commercial products if any marketing approval is obtained. This reliance on third parties increases the risk that timely availability of clinical trial supplies of its ecDTx, and future products, if any, may be delayed, limited, or interrupted, or that their quality or cost is not satisfactory or acceptable. The facilities used by third-party manufacturers to manufacture its ecDTx must be approved for the manufacture of its ecDTx by the FDA and any comparable foreign regulatory authority pursuant to inspections that will be conducted after Boundless Bio submits an NDA to the FDA or any comparable submission to a foreign regulatory authority. Boundless Bio does not control the manufacturing process of, and is completely dependent on, third-party manufacturers for compliance with cGMP requirements for manufacture of products. If these third-party manufacturers cannot successfully manufacture material that conforms to Boundless Bio’s specifications and the strict regulatory requirements of the FDA or any comparable foreign regulatory authority, they will not be able to secure and/or maintain regulatory approval for their manufacturing facilities. In addition, Boundless Bio has no control over the ability of third-party manufacturers to maintain adequate quality control, quality assurance, and qualified personnel. If the FDA or any comparable foreign regulatory authority does not approve these facilities for the manufacture of its ecDTx or if it withdraws any such approval in the future, Boundless Bio may need to find alternative manufacturing facilities, which would significantly impact its ability to develop, obtain regulatory approval for, or market its ecDTx, if approved. Boundless Bio’s failure, or the failure of Boundless Bio’s third-party manufacturers, to comply with applicable regulations could result in sanctions being imposed on Boundless Bio, including clinical holds, fines, injunctions, civil penalties, delays, suspension or withdrawal of approvals, seizures or recalls of ecDTx or products, operating restrictions, and criminal prosecutions, any of which could significantly and adversely affect supplies of its ecDTx.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or a third party’s failure to execute on its manufacturing requirements on commercially reasonable terms, in a timely manner and in compliance with cGMP or other regulatory requirements could adversely affect Boundless Bio’s business in a number of ways, including: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initiate or continue clinical trials of its ecDTx;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in submitting regulatory applications, or receiving regulatory approvals, for its ecDTx;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cease development or to recall batches of its ecDTx; and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approval to market and commercialize its ecDTx, an inability to meet commercial demands for its ecDTx.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and may in the future rely on foreign CMOs. Such foreign CMOs may be subject to U.S. legislation, sanctions, trade restrictions, and other foreign regulatory requirements which could increase the cost or reduce the supply of material available to Boundless Bio, delay the procurement or supply of such material, or have an adverse effect on Boundless Bio’s ability to secure significant commitments from governments to purchase its potential therapies. For example, in January 2024, there was congressional activity, including the introduction of the BIOSECURE Act (“H.R. 7085”) in the House of Representatives and a substantially similar Senate bill (“S.3558”). A version of the BIOSECURE Act was passed by the U.S. House of Representatives in September 2024 (“H.R. 8333”), however, the Senate did not approve that legislation. In October 2025, both the U.S. House of Representatives and Senate passed their respective versions of the National Defense Authorization Act of 2026 (“NDAA”), each including an amendment often referred to as “BIOSECURE 2.0.” BIOSECURE 2.0 was reconciled in conference and signed into law on December 18, 2025. BIOSECURE 2.0 establishes federal government contracting, grant, and loan restrictions similar in effect to previously introduced bills. BIOSECURE 2.0 implements a process-based designation system through which biotechnology companies “of concern” are identified based on whether such companies fall within statutorily defined categories, including entities identified on the Department of Defense’s Section 1260H list of “Chinese military companies” and other entities that are subject to the administrative governance structure, direction, control, or jurisdiction of a foreign adversary’s government which pose national security risks based on specified criteria. The prohibitions of BIOSECURE 2.0 will become effective approximately three years after the enactment of BIOSECURE 2.0 (i.e., December 2028). BIOSECURE 2.0 has the potential to severely restrict the ability of U.S. biopharmaceutical companies like Boundless Bio to purchase products or services from, or otherwise collaborate with, certain Chinese biotechnology companies “of concern” without losing the ability to contract with, or otherwise receive funding from, the U.S. government. It is possible some of Boundless Bio’s Chinese CMOs and other Chinese vendors, could be impacted by this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 does not have any long-term commitments or supply agreements with its third-party manufacturers. Boundless Bio may be unable to establish any long-term supply agreements with third-party manufacturers or to do so on acceptable terms or at all, which increases the risk of failing to timely obtain sufficient quantities of its ecDTx or such quantities at an acceptable cost. Even if Boundless Bio is able to establish agreements with third-party manufacturers, reliance on third-party manufacturers entails additional risks, including: </w:t>
      </w:r>
    </w:p>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Boundless Bio’s product according to its specifications;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adequate raw materials and other materials required for manufacturing;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Boundless Bio’s product according to its schedule or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scale up manufacturing capacity, if required;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Boundless Bio’s proprietary information, including its trade secrets and know-how;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obligation to pay tariffs for products or the related raw materials imported from other countries;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heightened exposure to supply chain complexities and disruptions; and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Boundless Bio.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Bio’s ecDTx and any products that Boundless Bio may develop may compete with other product candidates and products for access to manufacturing facilities.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Boundless Bio’s existing or future manufacturers could delay clinical development or regulatory approval, and any related remedial measures may be costly or time consuming to implement. Boundless Bio does not currently have arrangements in place for redundant supply or a second source for all required raw materials used in the manufacture of Boundless Bio’s ecDTx. If Boundless Bio’s existing or future third-party manufacturers cannot perform as agreed, Boundless Bio may be required to replace such manufacturers if Boundless Bio continues to develop any ecDTx and Boundless Bio may be unable to replace them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Boundless Bio’s current and anticipated future dependence upon others for the manufacture of its ecDTx or products may adversely affect its future profit margins and Boundless Bio’s ability to commercialize any products that receive regulatory approval on a timely and competitive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reliance on third parties requires Boundless Bio to share its trade secrets, which increases the possibility that a competitor or other third party will discover them or that its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Boundless Bio will rely on third parties to manufacture its ecDTx and to perform quality testing if Boundless Bio continues to develop an ecDTx, Boundless Bio must, at times, share Boundless Bio’s proprietary technology and confidential information, including trade secrets, with them. Boundless Bio seeks to protect Boundless Bio’s proprietary technology, in part, by entering into confidentiality agreements, and, if applicable, material transfer agreements, collaborative research agreements, consulting agreements, or other similar agreements with Boundless Bio’s collaborators, advisors, employees, and consultants prior to beginning research or disclosing proprietary information. These agreements typically limit the rights of third parties to use or disclose its confidential information. Despite the contractual provisions employed when working with third parties, the need to share trade secrets and other confidential information increases the risk that such trade secrets become known by Boundless Bio’s competitors or other third parties, are intentionally or inadvertently incorporated into the technology of others, or are disclosed or used in violation of these agreements. Given that Boundless Bio’s proprietary position is based, in part, on its know-how and trade secrets and despite its efforts to protect its trade secrets, a competitor’s or other third party’s discovery of Boundless Bio’s proprietary technology and confidential information or other unauthorized use or disclosure of such technology or information would impair Boundless Bio’s competitive position and may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Boundless Bio may seek to enter into collaborations, licenses, and other similar arrangements and may not be successful in doing so, and even if Boundless Bio is successful, it may relinquish valuable rights and may not realize the benefits of such relationships.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Boundless Bio may seek to enter into collaborations, joint ventures, licenses, and other similar arrangements for the development or commercialization of its ecDTx, if approved, due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costs required to develop or commercialize the ecDTx or manufacturing constraints. Boundless Bio may not be successful in its efforts to establish or maintain such collaborations for its ecDTx because its research and development pipeline may be insufficient, its ecDTx may be deemed to be at too early of a stage of development for collaborative effort, or third parties may not view its ecDTx as having the requisite potential to demonstrate safety and efficacy or significant commercial opportunity. In addition, Boundless Bio faces significant competition in seeking appropriate strategic partners, and the negotiation process can be time-consuming and complex. Even if Boundless Bio is successful in its efforts to establish such collaborations, the terms that Boundless Bio agrees upon may not be favorable. For example, Boundless Bio may need to relinquish valuable rights to its future revenue streams, research programs, intellectual property, ecDTx or a diagnostic assay, or grant licenses on terms that may not be favorable as part of any such arrangement, and such arrangements may restrict Boundless Bio from entering into additional agreements with other potential collaborators. In addition, if Boundless Bio enter into such collaborations, it will have limited control over the amount and timing of resources that its collaborators will dedicate to the development or commercialization of its ecDTx. Boundless Bio’s ability to generate revenue from these arrangements will depend on any future collaborators’ abilities to successfully perform the functions assigned to them in these arrangements. Boundless Bio cannot be certain that, following a collaboration, license, or strategic transaction, Boundless Bio will achieve an economic benefit that justifies such transaction, and such transaction may not yield additional development or ecDTx for its pipeline. Furthermore, Boundless Bio may not be able to maintain such collaborations if, for example, the development or approval of an ecDTx is delayed, the safety of an ecDTx is questioned, or the sales of an approved ecDTx are unsatisfactory.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potential future collaborations may be terminable by Boundless Bio’s strategic partners, and Boundless Bio may not be able to adequately protect its rights under these agreements. Furthermore, strategic partners may negotiate for certain rights to control decisions regarding the development and commercialization of its ecDTx, if approved, and may not conduct those activities in the same manner as Boundless Bio does. Any termination of collaborations Boundless Bio enters into in the future, or any delay in entering into collaborations related to its ecDTx, could delay the development and commercialization of its ecDTx, if approved, and reduce its competitiveness if it reaches the market, which could have a material adverse effect on its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Boundless Bio’s ecDTx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Boundless Bio receives regulatory approval for any ecDTx, Boundless Bio will be subject to ongoing regulatory obligations and continued regulatory review, which may result in significant additional expense.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Boundless Bio may receive for its ecDTx will require the submission of reports to regulatory authorities, subject Boundless Bio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Boundless Bio’s ecDTx,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FDA or a comparable foreign regulatory authority approves Boundless Bio’s ecDTx, the manufacturing processes, labeling, packaging, distribution, adverse event reporting, storage, advertising, promotion, import, export, and recordkeeping for its products will be subject to extensive and ongoing regulatory requirements. These requirements include submissions of safety and other post-marketing information and reports, registration, as well as continued compliance with cGMPs and GCP requirements for any clinical trials that Boundless Bio conducts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Boundless Bio’s products, including adverse events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unanticipated severity or frequency, or with Boundless Bio’s third-party manufacturers or manufacturing processes, may result in,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Boundless Bio’s products, withdrawal of the product from the market or voluntary or mandatory product recalls;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Boundless Bio’s ability to conduct clinical trials, including full or partial clinical holds on ongoing or planned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restitutions, disgorgement of profits or revenue, warning letters, untitled letters, adverse publicity requirements,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or other regulatory authorities to approve pending applications or supplements to approved applications submitted by Boundless Bio or suspension or revocation of approvals;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Boundless Bio’s products; and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and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Boundless Bio’s ability to commercialize its ecDTx and generate revenue and could require Boundless Bio to expend significant time and resources in response and could generate negative publicity. </w:t>
      </w:r>
    </w:p>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marketing authorization of any ecDTx. Boundless Bio also cannot predict the likelihood, nature, or extent of government regulation that may arise from future legislation or administrative action, either in the United States or abroad. If Boundless Bio is slow or unable to adapt to changes in existing requirements or the adoption of new requirements or policies, or if Boundless Bio is not able to maintain regulatory compliance, Boundless Bio may be subject to enforcement action and Boundless Bio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agencies strictly regulate the promotional claims that may be made about prescription products, such as Boundless Bio’s ecDTx, if approved. In particular, a product may not be promoted for uses that are not approved by the FDA or such other regulatory agencies as reflected in the product’s approved labeling. If Boundless Bio receives regulatory approval for an ecDTx, physicians may nevertheless prescribe it to their patients in a manner that is inconsistent with the approved label. If Boundless Bio is found to have promoted such off-label uses, Boundless Bio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Boundless Bio cannot successfully manage the promotion of its ecDTx, if approved, Boundless Bio could become subject to significant liability, which would materially adversely affect its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commercial success of any Boundless Bio ecDTx will depend upon the degree of market acceptance of such ecDTx by physicians, patients, healthcare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Any Boundless Bio ecDTx may not be commercially successful. Even if any Boundless Bio ecDTx receives regulatory approval, it may not gain market acceptance among physicians, patients, healthcare payors,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community. The commercial success of Boundless Bio’s ecDTx will depend significantly on the broad adoption and use of the resulting product by these individuals and organizations for approved indications. The degree of market acceptance of Boundless Bio’s products will depend on a number of factors, including: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indications for which Boundless Bio’s ecDTx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of Boundless Bio’s targeted patient population and other limitations or warnings contained in any FDA-approved labeling;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cost-effectiveness of Boundless Bio’s products, as well as the cost of treatment with Boundless Bio’s products in relation to alternative treatments and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all, or a portion of, out-of-pocket costs associated with Boundless Bio’s products in the absence of sufficient third-party coverage and adequate reimbursement;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Boundless Bio’s products, and the prevalence and severity of any adverse effects;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10"/>
        <w:gridCol w:w="6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Boundless Bio’s products as well as availability, safety, and efficacy of competitive drugs;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Boundless Bio’s or any potential future collaborators’ sales and marketing strategies; and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ecDTx is approved but does not achieve an adequate level of acceptance by physicians, hospitals, healthcare payors, or patients, Boundless Bio may not generate sufficient revenue from that product and may not become or remain profitable. Boundless Bio’s efforts to educate the medical community and third-party payors regarding the benefits of Boundless Bio’s products may require significant resources and may never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successful commercialization of Boundless Bio’s ecDTx, if approved, will depend in part on the extent to which governmental authorities and health insurers establish coverage, adequate reimbursement levels, and favorable pricing policies. Failure to obtain or maintain coverage and adequate reimbursement for Boundless Bio’s ecDTx could limit its ability to market those products and decrease Boundless Bio’s ability to generate revenue. </w:t>
      </w:r>
    </w:p>
    <w:p>
      <w:pPr>
        <w:pStyle w:val="TextBody"/>
        <w:bidi w:val="0"/>
        <w:spacing w:before="120" w:after="0"/>
        <w:jc w:val="left"/>
        <w:rPr>
          <w:rFonts w:ascii="Times New Roman" w:hAnsi="Times New Roman"/>
          <w:sz w:val="20"/>
        </w:rPr>
      </w:pPr>
      <w:r>
        <w:rPr>
          <w:rFonts w:ascii="Times New Roman" w:hAnsi="Times New Roman"/>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Boundless Bio’s ecDTx, if approved. If the Merger is not completed and Boundless Bio continues to develop any ecDTx, Boundless Bio’s ability to achieve coverage and adequate levels of reimbursement for its ecDTx by third-party payors will have a material effect on its ability to successfully commercialize its ecDTx. Accordingly, Boundless Bio will need to successfully implement a coverage and reimbursement strategy for any approved ecDTx. Even if Boundless Bio obtains coverage for a given ecDTx by a third-party payor, the resulting reimbursement payment rates may not be adequate or may require co-payments that patients find unacceptably high. Reimbursement for drugs by government healthcare programs may be reduced by mandatory discounts or rebates required by such programs. Certain government healthcare programs impose ceiling prices on products of participating manufacturers.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Boundless Bio’s ecDTx as substitutable and offer to reimburse patients only for the less expensive product. Even if Boundless Bio is successful in demonstrating improved efficacy or improved convenience of administration with its ecDTx, pricing of existing drugs may limit the amount Boundless Bio will be able to charge for its ecDTx. These payors may deny or revoke the reimbursement status of a given product or establish prices for new or existing marketed products at levels that are not adequate to enable Boundless Bio to realize an appropriate return on its investment in ecDTx development. If reimbursement is not available or is available only at inadequate levels, Boundless Bio may not be able to successfully commercialize its ecDTx and may not be able to obtain a satisfactory financial return on ecDTx that Boundless Bio may develop. In addition, in the event that Boundless Bio develops companion diagnostic tests for use with its ecDTx, once approved, such diagnostic tests will require coverage and reimbursement separate and apart from the coverage and reimbursement for their companion pharmaceutical product. Similar challenges to obtaining coverage and reimbursement applicable to pharmaceutical products will apply to companion diagnostics tests.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Boundless Bio’s products.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time consuming and costly and may require Boundless Bio to provide scientific and clinical support for the use of its ecDTx to each payor separately, with no assurance that coverage and adequate reimbursement will be applied consistently or obtained in the first instance. Reimbursement practices are also subject to rules and regulations that may change frequently, and, in some cases, at short notice.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Boundless Bio believes the increasing emphasis on cost-containment initiatives in Europe and other countries has and will continue to put pressure on the pricing and usage of its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Boundless Bio is able to charge for its ecDTx. Accordingly, in markets outside the United States, the reimbursement for Boundless Bio’s products may be reduced compared with the United States and may be insufficient to generate commercially reasonable revenue and profits. </w:t>
      </w:r>
    </w:p>
    <w:p>
      <w:pPr>
        <w:pStyle w:val="TextBody"/>
        <w:bidi w:val="0"/>
        <w:spacing w:before="240" w:after="0"/>
        <w:jc w:val="left"/>
        <w:rPr>
          <w:rFonts w:ascii="Times New Roman" w:hAnsi="Times New Roman"/>
          <w:sz w:val="20"/>
        </w:rPr>
      </w:pPr>
      <w:r>
        <w:rPr>
          <w:rFonts w:ascii="Times New Roman" w:hAnsi="Times New Roman"/>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Boundless Bio’s ecDTx. Boundless Bio expects to experience pricing pressures in connection with the sale of its ecDTx due to the trend toward managed healthcare, the increasing influence of health maintenance organizations and additional legislative changes. There is increasing downward pressure on healthcare costs in general, and prescription drugs, surgical procedures, and other treatments in particular. As a result, increasingly high barriers are being erected to the entry of new products. See the section titled “</w:t>
      </w:r>
      <w:r>
        <w:rPr>
          <w:rFonts w:ascii="Times New Roman" w:hAnsi="Times New Roman"/>
          <w:i/>
          <w:sz w:val="20"/>
        </w:rPr>
        <w:t>Risk Factors — Risks Related to Boundless Bio — Risks Related to Boundless Bio’s Business Operations and Industry — Current and future healthcare reform legislation or regulation may increase the difficulty and cost for Boundless Bio to obtain coverage for and commercialize its ecDTx and may adversely affect the prices it may set</w:t>
      </w:r>
      <w:r>
        <w:rPr>
          <w:rFonts w:ascii="Times New Roman" w:hAnsi="Times New Roman"/>
          <w:sz w:val="20"/>
        </w:rPr>
        <w:t xml:space="preserve">” for additional related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 faces significant competition from entities that have developed or may develop product candidates for cancer, including companies developing novel treatments and technology platforms. If Boundless Bio’s competitors develop and commercialize their product candidates more rapidly than Boundless Bio does, or their technologies or their product candidates are more effective, safer, or less expensive than Boundless Bio’s ecDTx, Boundless Bio’s business and its ability to develop and successfully commercialize ecDTx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biopharmaceutical industry is characterized by rapid advancing technologies, intense competition, and a strong emphasis on proprietary and novel products and product candidates. Boundless Bio’s competitors have developed, are developing, or may develop products or product candidates competitive with Boundless Bio’s ecDTx. If the Merger is not completed and Boundless Bio continues to develop any ecDTx, any ecDTx that Boundless Bio successfully develops and commercializes will compete with existing therapies and new therapies that may become available in the future. Boundless Bio believes that a significant number of products are currently under development, and may become commercially available in the future, for the treatment of indications for which Boundless Bio may attempt to develop ecDTx. In particular, there is intense competition in the oncology field. Boundless Bio’s competitors include larger and better-funded pharmaceutical, biopharmaceutical, biotechnological, and therapeutics companies. Moreover, Boundless Bio may also compete with universities and other research institutions that may be active in oncology research and could be in direct competition with Boundless Bio. Boundless Bio also competes with these organizations to recruit management, scientists, and clinical development personnel, and Boundless Bio’s inability to compete successfully could negatively affect its level of expertise and its ability to execute its business plan. Boundless Bio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Bio’s ecDTx is approved, it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that are intended to treat the same indications that Boundless Bio is targeting or may target, including through approaches that may prove to be more effective, have fewer side effects, be less costly to manufacture, be more convenient to administer, or have other advantages over Boundless Bio’s ecDTx. There are numerous companies developing precision oncology medicines with which Boundless Bio may compete. In addition to competing with other therapies targeting similar indications, there are numerous other companies and academic institutions focused on similar targets as its ecDTx and/or different scientific approaches to treating the same indications. Boundless Bio faces competition from such companies in seeking any future potential collaborations to partner its ecDTx, as well as potentially competing commercially for any approved products. </w:t>
      </w:r>
    </w:p>
    <w:p>
      <w:pPr>
        <w:pStyle w:val="TextBody"/>
        <w:bidi w:val="0"/>
        <w:spacing w:before="240" w:after="0"/>
        <w:jc w:val="left"/>
        <w:rPr>
          <w:rFonts w:ascii="Times New Roman" w:hAnsi="Times New Roman"/>
          <w:sz w:val="20"/>
        </w:rPr>
      </w:pPr>
      <w:r>
        <w:rPr>
          <w:rFonts w:ascii="Times New Roman" w:hAnsi="Times New Roman"/>
          <w:sz w:val="20"/>
        </w:rPr>
        <w:t xml:space="preserve">Many of Boundless Bio’s competitors have significantly greater financial, technical, manufacturing, marketing, sales, and supply resources or experience than Boundless Bio does. If Boundless Bio successfully obtains approval for any ecDTx, Boundless Bio will face competition based on many different factors, including the safety and effectiveness of its products, the ease with which its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Boundless Bio may develop. Competitive products may make any ecDTx Boundless Bio develops obsolete or noncompetitive before Boundless Bio recovers the expense of developing and commercializing it. If Boundless Bio is unable to compete effectively, its opportunity to generate revenue from the sale of any ecDTx Boundless Bio may develop, if approved,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opportunities for Boundless Bio’s ecDTx may be limited to patients who are ineligible for or have failed prior treatments and may be small or different from Boundless Bio’s estimates. </w:t>
      </w:r>
    </w:p>
    <w:p>
      <w:pPr>
        <w:pStyle w:val="TextBody"/>
        <w:bidi w:val="0"/>
        <w:spacing w:before="120" w:after="0"/>
        <w:jc w:val="left"/>
        <w:rPr>
          <w:rFonts w:ascii="Times New Roman" w:hAnsi="Times New Roman"/>
          <w:sz w:val="20"/>
        </w:rPr>
      </w:pPr>
      <w:r>
        <w:rPr>
          <w:rFonts w:ascii="Times New Roman" w:hAnsi="Times New Roman"/>
          <w:sz w:val="20"/>
        </w:rPr>
        <w:t xml:space="preserve">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Boundless Bio’s ecDTx, even if approved, would be approved for second line or first line therapy. This could limit Boundless Bio’s potential market opportunity. In addition, Boundless Bio may have to conduct additional clinical trials prior to gaining approval for second line or first line therapy.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projections of both the number of people who have the cancers Boundless Bio is targeting, as well as the subset of people with these cancers in a position to receive later stage therapy and who have the potential to benefit from treatment with its ecDTx, are based on Boundless Bio’s beliefs and estimates. These estimates have been derived from a variety of sources, including scientific literature, publicly available clinical molecular reports, patient foundations, or market research, and may prove to be incorrect. Further, new trials or information may change the estimated incidence or prevalence of these cancers. Further, specific to Boundless Bio’s biomarker-driven strategy, data analytics, and information from databases that Boundless Bio relies on for identifying or validating some of its biomarker-target relationships may not accurately reflect potential patient populations or may be based on incorrect methodology. As ecDNA in oncogene amplified cancers is a new and novel approach, this heightens the risk that Boundless Bio’s estimates of the eligible patient population may not be accurate. The number of patients in the United States and other major markets and elsewhere may turn out to be lower than expected, patients may not be otherwise amenable to treatment with Boundless Bio’s products, or new patients may become increasingly difficult to identify or gain access to, all of which would adversely affect Boundless Bio’s results of operations and Boundless Bio’s business. Further, even if Boundless Bio obtains significant market share for its ecDTx, because some of Boundless Bio’s potential target populations are very small, it may never achieve profitability despite obtaining such significant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currently has no marketing and sales organization and have no experience as a company in commercializing products, and Boundless Bio may need to invest significant resources to develop these capabilities. If Boundless Bio is unable to establish marketing and sales capabilities or enter into agreements with third parties to market and sell its products, Boundless Bio may not be able to generate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no internal sales, marketing, or distribution capabilities, nor has Boundless Bio ever commercialized a product. If the Merger is not completed and Boundless Bio’s ecDTx ultimately receives regulatory approval, Boundless Bio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Boundless Bio’s own sales force and distribution systems or in lieu of Boundless Bio’s own sales force and distribution systems. Boundless Bio has no prior experience as a company with the marketing, sale, or distribution of biopharmaceutical products, and there are significant risks involved in the building and managing of a sales organization, including Boundless Bio’s ability to hire, retain, and incentivize qualified individuals, generate sufficient sales leads, provide adequate training to sales and marketing personnel, and effectively manage a geographically dispersed sales and marketing team. Any failure or delay in the development of Boundless Bio’s internal sales, marketing, and distribution capabilities would adversely impact the commercialization of these products. Boundless Bio may not be able to enter into collaborations or hire consultants or external service providers to assist Boundless Bio in sales, marketing, and distribution functions on acceptable financial terms, or at all. In addition, Boundless Bio’s ecDTx revenue and its profitability, if any, may be lower if Boundless Bio relies on third parties for these functions than if it were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sell, and distribute any ecDTx that Boundless Bio develops itself. Boundless Bio will likely have little control over such third parties, and any of them may fail to devote the necessary resources and attention to sell and market Boundless Bio’s ecDTx effectively. If Boundless Bio is not successful in commercializing its ecDTx, either on Boundless Bio’s own or through arrangements with one or more third parties, Boundless Bio may not be able to generate any future ecDTx revenue and Boundless Bio would incur significant additional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future growth may depend, in part, on Boundless Bio’s ability to operate in foreign markets, where Boundless Bio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future growth may depend, in part, on Boundless Bio’s ability to develop and commercialize its ecDTx in foreign markets. Boundless Bio is not permitted to market or promote Boundless Bio’s ecDTx before Boundless Bio receives regulatory approval from applicable regulatory authorities in foreign markets, and Boundless Bio may never receive such regulatory approvals for its ecDTx. To obtain separate regulatory approval in many other countries Boundless Bio must comply with numerous and varying regulatory requirements regarding safety and efficacy and governing, among other things, clinical trials, commercial sales, pricing, and distribution of Boundless Bio’s ecDTx. Approval procedures may be more onerous than those in the United States and may require that Boundless Bio conducts additional preclinical studies or clinical trials. If Boundless Bio obtains regulatory approval of its ecDTx and ultimately commercialize its ecDTx in foreign markets, Boundless Bio would be subject to additional risks and uncertainties, including: </w:t>
      </w:r>
    </w:p>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regulatory requirements for approval of drugs in foreign countries;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third-party patent rights of potential relevance to Boundless Bio’s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export control and import laws and regulations and unexpected changes in tariffs, trade barriers, and regulatory requirements;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foreign economies and markets;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 and other obligations incident to doing business in another country;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reimbursement, pricing, and insurance regimes;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public health pandemics or epidemics, or natural disasters including earthquakes, typhoons, floods, and fires.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Bio’s Business Operations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Bio’s operating results may fluctuate significantly, which makes its future operating results difficult to predict and could cause its operating results to fall below expectations or any guidance Boundless Bio may provide.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quarterly and annual operating results may fluctuate significantly, which makes it difficult for Boundless Bio to predict its future operating results. These fluctuations may occur due to a variety of factors, many of which are outside of its control,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research, development, regulatory approval, and commercialization activities relating to Boundless Bio’s ecDTx, which may change from time to time, including the need to conduct unanticipated clinical trials or trials that are larger or more complex than anticipated;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enroll patients in clinical trials and the timing of enrollment;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or failure of preclinical studies or clinical trials for Boundless Bio’s ecDTx or competing products, or any other change in the competitive landscape of Boundless Bio’s industry, including consolidation among Boundless Bio’s competitors or partners;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policies with respect to Boundless Bio’s ecDTx, if approved, and potential future drugs that compete with Boundless Bio’s ecDTx;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Boundless Bio’s ecDTx, which may vary depending on the quantity of production and the terms of Boundless Bio’s agreements with third-party manufacturers;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expenditures that Boundless Bio may incur to acquire, develop, or commercialize additional ecDTx and technologies;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level of demand for any approved ecDTx, which may vary significantly and be difficult to predict;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establish and maintain collaborations, licensing, or other arrangements;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unforeseen business disruptions that increase Boundless Bio’s costs or expenses;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Boundless Bio’s accounting policies;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payable by Boundless Bio or due to Boundless Bio under any collaboration, licensing, or other similar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cumulative effects of these factors could result in large fluctuations and unpredictability in Boundless Bio’s quarterly and annual operating results. As a result, comparing Boundless Bio’s operating results on a period-to-period basis may not be meaningful. Investors should not rely on Boundless Bio’s past results as an indication of Boundless Bio’s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variability and unpredictability could also result in Boundless Bio’s failing to meet the expectations of industry or financial analysts or investors for any period. If Boundless Bio’s revenue or operating results fall below the expectations of analysts or investors or below any forecasts Boundless Bio may provide to the market, or if the forecasts Boundless Bio provides to the market are below the expectations of analysts or investors, the price of Boundless Bio Common Stock could decline substantially. Such a stock price decline could occur even when Boundless Bio has met any previously publicly stated revenue or earnings guidance Boundless Bio may provide.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has a relatively small number of employees which may constrain its ability to accomplish its business objectives. If the Merger is not completed, Boundless Bio’s long-term success is dependent on its ability to retain and attract highly qualified management and other clinical and scientific personnel.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 had 15 employees, all of whom were full-time employees. Due to Boundless Bio’s relatively small workforce, Boundless Bio may experience constraints that impede the achievement of its business objectives. Further, if multiple employees were to become unable to work for a prolonged period, or if they were to resign at roughly the same time, Boundless Bio’s ability to effectively manage and operate its business could become significantly impaired.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Boundless Bio’s long-term success depends in part on its ability to attract, recruit, retain, manage, and motivate highly qualified management, clinical, and scientific personnel, and Boundless Bio faces significant competition for experienced personnel. Boundless Bio is highly dependent upon its senior management and other members of Boundless Bio’s management team. The loss of services of any of these individuals could delay or prevent the successful development of Boundless Bio’s product pipeline, initiation or completion of any clinical trials and preclinical studies, regulatory approvals, or the commercialization of its ecDTx. Although Boundless Bio has executed employment agreements or offer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each member of its senior management team, these agreements are terminable at will with or without notice and, therefore, Boundless Bio may not be able to retain their services as expected. For example, in connection with the Merger, the employment of Boundless Bio’s President and Chief Executive Officer terminated in July 2026 and the employment of Boundless Bio’s Chief Business Officer previously terminated in January 2025. Boundless Bio does not currently maintain “key person” life insurance on the lives of its executives or any of its employees. This lack of insurance means that Boundless Bio may not have adequate compensation for the loss of the services of these individuals.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employment candidates and existing employees often consider the value of the stock awards they receive in connection with their employment. If the perceived benefits of Boundless Bio’s stock awards decline, either due to the trading price of its stock or for other reasons, it may harm Boundless Bio’s ability to recruit and retain highly skilled employees. Boundless Bio’s ability to retain highly skilled employees may be negatively impacted by any significant appreciation or depreciation in its stock price relative to the exercise price of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if the Merger is not completed and Boundless Bio continues to develop any ecDTx, Boundless Bio will need to expand and effectively manage its managerial, operational, financial, and other resources in order to successfully pursue any clinical development and commercialization efforts. Boundless Bio may not be successful in maintaining its unique company culture and continuing to attract or retain qualified management, clinical, and scientific personnel in the future due to the intense competition for qualified personnel among biopharmaceutical, biotechnology, and other businesses. If Boundless Bio is not able to attract, integrate, retain, and motivate necessary personnel to accomplish its business objectives, Boundless Bio may experience constraints that will significantly impede the achievement of its development objectives, its ability to raise additional capital, and its ability to implement its business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encounter difficulties in managing its growth and expanding its operations successfully.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continues to develop an ecDTx, Boundless Bio will need to expand its financial, development, regulatory, manufacturing, information technology, marketing, and sales capabilities or contract with third parties to provide these capabilities for Boundless Bio. If Boundless Bio’s operations expand, Boundless Bio expects that it will need to manage additional relationships with various strategic partners, suppliers, and other third parties, and it may not be successful in doing so. Boundless Bio’s future financial performance and its ability to develop and commercialize its ecDTx and to compete effectively will depend, in part, on its ability to manage any future growth effectively.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subject to various U.S. federal, state, and foreign healthcare laws and regulations, which could increase compliance costs, and Boundless Bio’s failure to comply with these laws and regulations could harm its reputation, subject Boundless Bio to significant fines and liability, or otherwise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business operations and current and future arrangements with investigators, healthcare professionals, consultants, third-party payors, patient organizations, and customers expose Boundless Bio to broadly applicable foreign, federal, and state fraud and abuse and other healthcare laws and regulations. These laws may constrain the business or financial arrangements and relationships through which Boundless Bio conducts its operations, including how Boundless Bio researches, markets, sells, and distributes any products for which Boundless Bio obtains regulatory approval. Such laws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be made, in whole or in part, under a federal healthcare program such as Medicare and Medicaid. A person or entity does not need to have actual knowledge of the federal Anti-Kickback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claims laws, including the civil False Claims Act (“FCA”),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The government can bring claims directly or through a civil whistleblower or </w:t>
            </w:r>
            <w:r>
              <w:rPr>
                <w:rFonts w:ascii="Times New Roman" w:hAnsi="Times New Roman"/>
                <w:i/>
                <w:sz w:val="20"/>
              </w:rPr>
              <w:t>qui tam</w:t>
            </w:r>
            <w:r>
              <w:rPr>
                <w:rFonts w:ascii="Times New Roman" w:hAnsi="Times New Roman"/>
                <w:sz w:val="20"/>
              </w:rPr>
              <w:t xml:space="preserve"> action, and potential liability includes mandatory treble damages and significant per-claim penalties.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 In addition, the government may assert that a claim including items or services resulting from a violation of the federal Anti-Kickback Statute constitutes a false or fraudulent claim for purposes of the civil False Claims Act.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HIPAA, as amended by the Health Information Technology for Economic and Clinical Health Act of 2009 (“HITECH”) and their respective implementing regulations, which impose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Similar to the federal Anti-Kickback Statute and federal false claims laws,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Boundless Bio’s current and future business arrangements with third parties will comply with applicable healthcare and privacy laws and regulations will involve ongoing substantial costs. It is possible that governmental authorities will conclude that Boundless Bio’s business practices, including certain consulting agreements and advisory board agreements Boundless Bio has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Boundless Bio’s current or future practices might be challenged under one or more of these laws. If Boundless Bio’s operations are found to be in violation of any of these laws or any other governmental regulations that may apply to Boundless Bio, Boundless Bio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Boundless Bio’s operations. Defending against any such actions can be costly and time-consuming and may require significant financial and personnel resources. Therefore, even if Boundless Bio is successful in defending against any such actions that may be brought against Boundless Bio, its business may be impaired. Further, if any of the physicians or other healthcare providers or entities with whom Boundless Bio expects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Boundless Bio to obtain coverage for and commercialize any ecDTx and may adversely affect the prices Boundless Bio may set.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Boundless Bio expects there will continue to be, a number of legislative and regulatory changes to the healthcare system, including cost-containment measures, that may reduce or limit coverage and reimbursement for newly approved drugs and affect Boundless Bio’s ability to profitably sell any ecDTx for which Boundless Bio obtains regulatory approval. In particular, there have been and continue to be a number of initiatives at the U.S. federal and state levels that seek to reduce healthcare costs and improve the quality of healthcare.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The current U.S. presidential administration has made several changes to how the ACA is implemented. For example, in January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President Trump issued Executive Order 14148, which revoked Executive Order 14009 issued by President Biden in January 2021, that had initiated a special enrollment period for purposes of obtaining health insurance coverage through the ACA marketplace. It is possible that the ACA will be subject to further judicial or Congressional challenges in the future. It is unclear what healthcare reform measures will be implemented by the current presidential administration going forward, but further changes are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In July 2025, the annual reconciliation bill, the “One Big Beautiful Bill Act” (“OBBBA”), was signed into law which is expected to reduce Medicaid spending and enrollment by shortening the open enrollment period, disqualifying Deferred Action for Childhood Arrivals (“DACA”) recipients, implementing work requirements for some beneficiaries, capping state-directed payments, reducing federal funding, and limiting provider taxes used to fund the program. OBBBA also narrows access to ACA marketplace exchange enrollment and declined to extend the ACA’s enhanced advanced premium tax credits, which expired in 2025, and these changes, among other provisions in the law, are anticipated to reduce the number of Americans with health insurance. Additionally, under the sequestration required by the Budget Control Act of 2011, beginning April 1, 2013, Medicare payments to providers were reduced, which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assistance programs, and reform government program reimbursement methodologies for products. Most significantly, in August 2022, the Inflation Reduction Act of 2022 (“IRA”) was enacted. This statute marks the most significant action by Congress with respect to the pharmaceutical industry since adoption of the ACA in 2010. Among other things, the IRA requires manufacturers of certain drugs to engage in price negotiations with Medicare to establish a “maximum fair price” for a fixed number of pharmaceutical and biological products covered under Medicare Parts B and D;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published the negotiated maximum prices for the initial ten drugs that were subject to the IRA’s negotiation process, which are effective in 2026, and published the negotiated maximum prices for the subsequent 15 drugs to be effective in 2027.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In December 2023, the National Institute of Standards and Technology published for comment a Draft Interagency Guidance Framework for Considering the Exercise of March-In Rights, which, under the Bayh-Dole Act, gives the federal government authority to “march in” and grant compulsory patent licenses to third parties in some circumstances. Under the draft guidance, march-in rights include the price of a product as one factor an agency can use when deciding to exercise march-in rights. While march-in rights have not previously been exercised, it is uncertain if that will continue under the new framework. The impact of the IRA on the pharmaceutical industry cannot yet be fully determined but is likely to be significant. Further, there is uncertainty surrounding this program with the current U.S. presidential administration, especially in light of the administration’s budget cuts which impact an agency’s ability to regulate through guidance. Further, it is unclear how the new leadership of HHS, CMS, etc. will approach the issue of drug pricing. Additional drug pricing proposals could appear in future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Legally mandated price controls on payment amounts by third-party payors or other restrictions could harm Boundless Bio’s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Boundless Bio’s ecDTx, if approved, or put pressure on Boundless Bio’s product pricing, which could negatively affect Boundless Bio’s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future course of federal or state healthcare legislation and regulation in the U.S. directed at broadening the availability of healthcare and containing or lowering the cost of healthcare, is subject to considerable uncertainty. The current presidential administration is pursuing policies to reduce regulations and expenditures across the federal government, including at HHS, the FDA, the CMS, and related agencies. These actions, presently directed by executive orders or memoranda from the Office of Management and Budget, may propose policy changes that create additional uncertainty for the pharmaceutical industry and Boundless Bio’s business. These actions and proposals include, for example, (a) reducing agency workforce and cutting programs; (b) rescinding a prior presidential administration’s executive order tasking the Center for Medicare and Medicaid Innovation to consider new payment and healthcare models to limit drug spending; (c) directing HHS and other agencies to lower prescription drug costs through a variety of initiatives, including by improving upon the Medicare Drug Price Negotiation Program and establishing most-favored-nation pricing for pharmaceutical products; (d) imposing tariffs of imported pharmaceutical products; and (e) directing certain federal agencies to enforce existing law regarding hospital and price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Boundless Bio’s operations, including those issued by the FDA. The U.S. Congress may introduce and ultimately pass healthcare related legislation that could, among others, impact the drug approval process and make changes to modify the Medicare Drug Price Negotiation Program created under the IRA.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Boundless Bio continues to develop any ecDTx, Boundless Bio expects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Boundless Bio receives for any approved product. In addition, Boundless Bio expects to experience pricing pressures in connection with the sale of Boundless Bio’s product candidates due to the trend toward managed healthcare, the increasing influence of health maintenance organizations and additional legislative changes. Any reduction in reimbursement from Medicare or other government programs may result in a similar reduction in payments from private payors. The implementation of cost containment measures or other healthcare reforms may prevent Boundless Bio from being able to generate revenue, attain profitability, or commercialize its ecDTx,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Boundless Bio, it may incur substantial liabilities and may be required to limit, delay, or cease commercialization of any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faces an inherent risk of product liability as a result of any clinical trials of Boundless Bio’s ecDTx and will face an even greater risk if Boundless Bio commercializes any ecDTx, if approved.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may be sued if any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Boundless Bio by clinical trial participants, patients or others using, administering, or selling products that may be approved in the future. Claims could also be asserted under state consumer protection acts.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cannot successfully defend itself against product liability claims, Boundless Bio may incur substantial liabilities or be required to limit, delay, or cease the commercialization of its products. Even a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Boundless Bio’s ecDTx;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Boundless Bio’s reputation and significant negative media attention;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Boundless Bio’s management’s time and Boundless Bio’s resources;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product recipients;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or withdrawals, and labeling, marketing, or promotional restrictions;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10"/>
        <w:gridCol w:w="60"/>
        <w:gridCol w:w="3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negative financial impact;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Boundless Bio’s ecDTx; and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decline in Boundless Bio’s stock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currently holds approximately $10.0 million in product liability insurance coverage in the aggregate. Boundless Bio may need to increase its insurance coverage if Boundless Bio continues to develop any ecDTx and Boundless Bio expands its clinical trials or if Boundless Bio commences commercialization of its ecDTx. Insurance coverage is increasingly expensive. Boundless Bio’s inability to obtain and retain sufficient product liability insurance at an acceptable cost to protect against potential product liability claims could prevent or inhibit the commercialization of Boundless Bio’s ecDTx. Although Boundless Bio will maintain such insurance, any claim that may be brought against it could result in a court judgment or settlement in an amount that is not covered, in whole or in part, by its insurance or that is in excess of the limits of Boundless Bio’s insurance coverage. Boundless Bio’s insurance policies will also have various exclusions, and Boundless Bio may be subject to a product liability claim for which it has no coverage. Boundless Bio may have to pay any amounts awarded by a court or negotiated in a settlement that exceed its coverage limitations or that are not covered by its insurance, and Boundless Bio may not have, or be able to obtain, sufficient capital to pay such amounts.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insurance policies are expensive and protect Boundless Bio from only some business risks, which will leave Boundless Bio exposed to significant uninsured liabilities.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carry insurance for all categories of risk that Boundless Bio’s business may encounter. Some of the policies Boundless Bio currently maintains include property, general liability, employee benefits liability, business automobile, workers’ compensation, products/clinical trial liability, cyber liability, clinical trials, and directors’ and officers’, and employment practices insurance. Boundless Bio does not know, however, if Boundless Bio will be able to maintain insurance with adequate levels of coverage. No assurance can be given that an insurance carrier will not seek to cancel or deny coverage after a claim has occurred. Any significant uninsured liability may require Boundless Bio to pay substantial amounts, which would adversely affect Boundless Bio’s financial position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 and its service providers may be subject to a variety of data protection, privacy, and security obligations, including laws, regulations, standards, and contractual provisions, which could increase compliance costs, and Boundless Bio’s actual or perceived failure to comply with such laws and obligations could subject Boundless Bio to potentially significant liability, fines, or penalties and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its service providers may maintain a large quantity of sensitive information, including confidential business and patient health information, in connection with any clinical trials, and are subject to laws and regulations governing the privacy and security of such information. The global data protection landscape is rapidly evolving, and Boundless Bio and its service providers may be affected by or subject to existing, amended, or new laws and regulations in the future, including as its operations continue to expand or if Boundless Bio operates in foreign jurisdictions. These laws and regulations may be subject to differing interpretations, thus creating potentially complex compliance issues for Boundless Bio and its service providers, strategic partners, and future customers. The cost of compliance with these laws, regulations, and standards is high and is likely to increase in the future. Any failure or perceived failure by Boundless Bio to comply with federal, state, or foreign laws or regulations, its internal policies and procedures or its contracts governing Boundless Bio’s processing of personal information could result in negative publicity, government investigations and enforcement actions, claims by third parties, and damage to Boundless Bio’s reputation, any of which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continues to develop any ecDTx and Boundless Bio’s operations and business grow, Boundless Bio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Boundless Bio’s operations or the operations of Boundless Bio’s collaborators and third-party providers. In addition, Boundless Bio may obtain health information from third parties (including research institutions from which Boundless Bio obtains clinical trial data) that are subject to privacy and security requirements under HIPAA, as amended by HITECH. Consequently, depending on the facts and circumstances, Boundless Bio could be subject to significant penalties if Boundless Bio knowingly receive individually identifiable health information from a HIPAA-covered healthcare provider or research institution that has not satisfied HIPAA’s requirements for disclosure of individually identifiable health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Boundless Bio is subject to or affected by HIPAA, the CCPA, or other domestic privacy and data protection laws, any liability from failure to comply with the requirements of these laws could adversely affect Boundless Bio’s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state comprehensive data privacy laws, recent years have brought substantial changes to the federal and state treatment of non-HIPAA consumer health information. The Federal Trade Commission (“FTC”) and many state Attorneys General continue to enforce federal and state consumer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companies for online collection, use, dissemination, and security practices that appear to be unfair or deceptive. The FTC brought three enforcement actions in 2023 against a range of companies that handle electronic health information relating to collection and disclosure of non-HIPAA covered consumer health information under Section 5 of the FTC Act, two of which included allegations made under the FTC’s Health Breach Notification Rule (“HBNR”). The FTC’s focus on health information continued in 2024 with changes to the HBNR that clarified its scope and emphasized applicability to non-HIPAA healthcare providers as well as three additional enforcement actions against companies for their use of health information for advertising purposes. At the state level, Washington and Nevada have adopted significant new legislation addressing businesses treatment of consumer health information, and Connecticut added more stringent protections for health information to its existing comprehensive state privacy law. In both Washington’s and Nevada’s laws, there are restrictive provisions limiting collection and disclosure of consumer health information, and Washington’s law provides a separate private right of action for violations.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privacy laws in other countries that may impact Boundless Bio’s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 cease or change Boundless Bio’s data processing activities, enforcement notices, assessment notices (for a compulsory audit), and/or civil claims (including class actions). </w:t>
      </w:r>
    </w:p>
    <w:p>
      <w:pPr>
        <w:pStyle w:val="TextBody"/>
        <w:bidi w:val="0"/>
        <w:spacing w:before="240" w:after="0"/>
        <w:jc w:val="left"/>
        <w:rPr>
          <w:rFonts w:ascii="Times New Roman" w:hAnsi="Times New Roman"/>
          <w:sz w:val="20"/>
        </w:rPr>
      </w:pPr>
      <w:r>
        <w:rPr>
          <w:rFonts w:ascii="Times New Roman" w:hAnsi="Times New Roman"/>
          <w:sz w:val="20"/>
        </w:rPr>
        <w:t xml:space="preserve">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Boundless Bio expects the existing legal complexity and uncertainty regarding international personal data transfers to continue. In particular, Boundless Bio expects the DPF Adequacy Decision to be challenged, and international transfers to the United States and to other jurisdictions more generally to continue to be subject to enhanced scrutiny by regulators. As a result, Boundless Bio may have to make certain operational changes and Boundless Bio will have to implement revised standard contractual clauses and other relevant documentation for existing data transfers within required time frames. </w:t>
      </w:r>
    </w:p>
    <w:p>
      <w:pPr>
        <w:pStyle w:val="TextBody"/>
        <w:bidi w:val="0"/>
        <w:spacing w:before="240" w:after="0"/>
        <w:jc w:val="left"/>
        <w:rPr>
          <w:rFonts w:ascii="Times New Roman" w:hAnsi="Times New Roman"/>
          <w:sz w:val="20"/>
        </w:rPr>
      </w:pPr>
      <w:r>
        <w:rPr>
          <w:rFonts w:ascii="Times New Roman" w:hAnsi="Times New Roman"/>
          <w:sz w:val="20"/>
        </w:rPr>
        <w:t xml:space="preserve">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€20 million/£17 million or 4% of global turnover. On October 12, 2023, the UK Extension to the DPF came into effect (as approved by the UK Government), as a data transfer mechanism from the UK to U.S. entities self-certified under the DPF. If Boundless Bio expands into other foreign countries and jurisdictions, Boundless Bio may be subject to additional laws and regulations that may affect how Boundless Bio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Boundless Bio to take on more onerous obligations in its contracts, restrict its ability to collect, store, use, transfer, disclose,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process data, update its data privacy and security policies and procedures, or in some cases, impact its ability to operate in certain jurisdictions. Failure or perceived failure by Boundless Bio or its collaborators and its service providers to comply with U.S. and international data protection laws and regulations could result in government enforcement actions (which could include civil or criminal penalties), private litigation, and/or adverse publicity and could negatively affect Boundless Bio’s operating results and business. Moreover, clinical trial subjects about whom Boundless Bio or its potential collaborators obtain information, as well as the providers who share this information with Boundless Bio, may contractually limit Boundless Bio’s ability to use and disclose such information. Claims that Boundless Bio has violated individuals’ privacy rights, failed to comply with data protection laws, or breached its contractual obligations, even if Boundless Bio is not found liable, could be expensive and time consuming to defend, could result in adverse publicity, and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information technology systems, or those of any of Boundless Bio’s service providers, may fail or suffer security incidents and other disruptions, which could result in a material disruption of its ecDTx development programs if Boundless Bio continues to develop any ecDTx, compromise sensitive information related to Boundless Bio’s business, or prevent Boundless Bio from accessing critical information, potentially exposing Boundless Bio to liability, or otherwise adversely affecting Boundless Bio’s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Boundless Bio collects, stores, and transmits confidential information including but not limited to intellectual property, clinical trial data, proprietary and confidential business information, and personal information of Boundless Bio’s employees and contractors (collectively, “Confidential Information”). Boundless Bio’s information technology systems and those of Boundless Bio’s third-party service providers, strategic partners, and other contractors or consultants are vulnerable to attack, damage, and interruption from computer viruses and malware (e.g. ransomware), malicious code, misconfigurations, “bugs” or other vulnerabilities,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Boundless Bio may be unable to anticipate these techniques or implement adequate preventative measures. Boundless Bio may also experience security incidents that may remain undetected for an extended period. Even if identified, Boundless Bio may be unable to adequately investigate or remediate incidents or breaches due to attackers increasingly using tools and techniques that are designed to circumvent controls, to avoid detection, and to remove or obfuscate forensic evidence. There can also be no assurance that Boundless Bio’s and its third-party service providers’, strategic partners’, contractors’, or consultants’ cybersecurity risk management program and processes, including policies, controls, or procedures, will be fully implemented, complied with or effective in protecting Boundless Bio’s systems, networks, and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certain of Boundless Bio’s service providers are from time to time subject to cyberattacks and security incidents. If any such event, whether actual or perceived, were to occur, it could impact Boundless Bio’s reputation and/or operations, cause Boundless Bio to incur significant costs, including legal expenses, harm customer confidence, hurt Boundless Bio’s expansion into new markets, cause Boundless Bio to incur remediation costs, or cause Boundless Bio to lose existing customers. For example, any loss of clinical trial data from clinical trials could result in delays in Boundless Bio’s regulatory approval efforts and significantly increase Boundless Bio’s costs to recover or reproduce the data. Boundless Bio also relies on a third party to manufacture its ecDTx, and similar events relating to their computer systems could also have a material adverse effect on Boundless Bio’s business. To the extent that any actual or perceived disruption or security incident affects Boundless Bio’s systems (or those of its third-party collaborators, service providers, contractors or consultants) or were to result in a loss of or accidental, unlawful, or unauthorized access to, use of, release of, or other processing of Confidential Information, Boundless Bio could incur liability, the further development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its ecDTx could be delayed, and Boundless Bio could be subject to significant fines, penalties or liabilities for any noncompliance to certain privacy and security laws.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also outsourced elements of its information technology infrastructure, and as a result a number of third-party vendors may or could have access to Boundless Bio’s Confidential Information. If Boundless Bio’s third-party vendors fail to protect their information technology systems and Boundless Bio’s Confidential Information, Boundless Bio may be vulnerable to disruptions in service and unauthorized access to its Confidential Information and Boundless Bio could incur liability and reputational damage. If the information technology systems of Boundless Bio’s third-party vendors and other contractors and consultants become subject to disruptions or security breaches, Boundless Bio may have insufficient recourse against such third parties and Boundless Bio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Boundless Bio or by Boundless Bio’s vendors, contractors, or organizations with which Boundless Bio has formed strategic relationships. Any adverse impact to the availability, integrity, or confidentiality of Boundless Bio’s or third-party systems or Confidential Information can result in legal claims or proceedings (such as class actions), regulatory investigations and enforcement actions, fines, and penalties. Boundless Bio’s contracts may not contain limitations of liability, and even where they do, there can be no assurance that limitations of liability in Boundless Bio’s contracts are sufficient to protect Boundless Bio from liabilities, damages, or claims related to Boundless Bio’s data privacy and security obligations. Although Boundless Bio currently holds cybersecurity insurance, the costs related to significant security breaches or disruptions could be material and cause Boundless Bio to incur significant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business is subject to risks arising from pandemic and epidemic diseases. </w:t>
      </w:r>
    </w:p>
    <w:p>
      <w:pPr>
        <w:pStyle w:val="TextBody"/>
        <w:bidi w:val="0"/>
        <w:spacing w:before="120" w:after="0"/>
        <w:jc w:val="left"/>
        <w:rPr>
          <w:rFonts w:ascii="Times New Roman" w:hAnsi="Times New Roman"/>
          <w:sz w:val="20"/>
        </w:rPr>
      </w:pPr>
      <w:r>
        <w:rPr>
          <w:rFonts w:ascii="Times New Roman" w:hAnsi="Times New Roman"/>
          <w:sz w:val="20"/>
        </w:rPr>
        <w:t xml:space="preserve">The COVID-19 worldwide pandemic presented substantial public health and economic challenges and affected Boundless Bio’s employees, patients, physicians and other healthcare providers, communities, and business operations, as well as the U.S. and global economies and financial markets. If Boundless Bio continues to develop any ecDTx, any future pandemic or epidemic disease outbreaks could disrupt the supply chain and the manufacture or shipment of drug substances and finished drug products for Boundless Bio’s ecDTx for use in its clinical trials and research and preclinical studies and, delay, limit or prevent its employees and CROs from continuing research and development activities, impede its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Boundless Bio’s preclinical studies and clinical trials and increase Boundless Bio’s development costs, and have a material adverse effect on Boundless Bio’s business, financial condition, and results of operations. Any future pandemic or epidemic disease outbreak could also potentially further affect the business of the FDA, the European Medicines Agency (“EMA”), or other regulatory authorities, which could result in delays in meetings related to any of Boundless Bio’s clinical trials, as well have an adverse impact on global economic conditions, which could have an adverse effect on Boundless Bio’s business and financial condition, including impairing its ability to raise capital when needed.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business could be affected by litigation, government investigations, and enforcement actions.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operates in a number of jurisdictions in a highly regulated industry, and Boundless Bio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Boundless Bio’s business. Any determination that Boundless Bio’s operations or activities are not in compliance with existing laws or regulations could result in the imposition of fines, civil and criminal penalties, equitable remedies,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disgorgement, injunctive relief, and/or other sanctions against Boundless Bio, and remediation of any such findings could have an adverse effect on Boundless Bio’s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Boundless Bio’s business practices, which could have a material adverse effect on Boundless Bio’s business and results of operations. Even if such a proceeding, investigation, or enforcement action is ultimately decided in Boundless Bio’s favor, the investigation and defense thereof could require substantial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employees and independent contractors, including principal investigators, CROs, consultants,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exposed to the risk that Boundless Bio’s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Boundless Bio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Boundless Bio’s preclinical studies or clinical trials, or illegal misappropriation of drug product, which could result in regulatory sanctions and cause serious harm to Boundless Bio’s reputation. It is not always possible to identify and deter misconduct by employees and other third parties, and the precautions Boundless Bio takes to detect and prevent this activity may not be effective in controlling unknown or unmanaged risks or losses or in protecting Boundless Bio from governmental investigations or other actions or lawsuits stemming from a failure to be in compliance with such laws or regulations. In addition, Boundless Bio is subject to the risk that a person or government could allege such fraud or other misconduct, even if none occurred. If any such actions are instituted against Boundless Bio, and it is not successful in defending itself or asserting Boundless Bio’s rights, those actions could have a significant impact on Boundless Bio’s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Boundless Bio becomes subject to a corporate integrity agreement or similar agreement to resolve allegations of non-compliance with these laws, and curtailment of Boundless Bio’s operations, any of which could adversely affect Boundless Bio’s ability to operate Boundless Bio’s business and Boundless Bio’s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Boundless Bio may engage in strategic transactions that could impact Boundless Bio’s liquidity, increase Boundless Bio’s expenses, and present significant distractions to Boundless Bio’s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from time to time, Boundless Bio may consider strategic transactions, such as acquisitions of companies, asset purchases, and out-licensing or in-licensing of intellectual property, products, or technologies. Additional potential transactions that Boundless Bio may consider in the future if the Merger is not completed include a variety of business arrangements, including spin-offs, strategic partnerships, joint ventures, restructurings, divestitures, business combinations, and investments. Any future transactions could increase Boundless Bio’s near and long-term expenditures, result in potentially dilutive issuances of its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including Boundless Bio Common Stock, or the incurrence of debt, contingent liabilities, amortization expenses or acquired in-process research and development expenses, any of which could affect Boundless Bio’s financial condition, liquidity, and results of operations. Future acquisitions may also require Boundless Bio to obtain additional financing, which may not be available on favorable terms or at all. These transactions may never be successful and may require significant time and attention of Boundless Bio’s management. In addition, the integration of any business that Boundless Bio may acquire in the future may disrupt Boundless Bio’s existing business and may be a complex, risky, and costly endeavor for which Boundless Bio may never realize the full benefits. Furthermore, Boundless Bio may experience losses related to investments in other companies, including as a result of failure to realize expected benefits or the materialization of unexpected liabilities or risks, which could have a material negative effect on Boundless Bio’s results of operations and financial condition. Accordingly, although there can be no assurance that Boundless Bio will undertake or successfully complete any additional transactions of the nature described above, any additional transactions that Boundless Bio does complete could have a material adverse effect on Boundless Bio’s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ability to use net operating loss carryforwards and other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incurred substantial losses during Boundless Bio’s history, does not expect to become profitable in the near future, and may never achieve profitability. To the extent that Boundless Bio continues to generate taxable losses, unused losses will carry forward to offset future taxable income, if any (subject to limitations), until such unused losses expire (if at all). As of December 31, 2025, Boundless Bio had net operating loss (“NOL”) carryforwards of approximately $161.4 million for federal income tax purposes and $231.3 million for state income tax purposes, which may be available to offset Boundless Bio’s future taxable income, if any. Boundless Bio’s federal NOL carryforwards will not expire but may generally be used to offset only 80% of taxable income, which may require Boundless Bio to pay federal income taxes in future years despite having additional federal NOL carryforwards to utilize. Boundless Bio’s state NOL carryforwards begin to expire in various amounts in 2038. As of December 31, 2025, Boundless Bio had federal and state research and development tax credit carryforwards of approximately $9.3 million and $5.9 million, respectively. Boundless Bio’s NOL carryforwards and other tax attributes are subject to review and possible adjustment by the Internal Revenue Service (“IRS”) and state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Section 382 of the Code, Boundless Bio’s federal NOL carryforwards may be or become subject to an annual limitation in the event Boundless Bio has had or has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Boundless Bio has not determined the amount of the cumulative change in Boundless Bio’s ownership resulting from Boundless Bio’s IPO, the Merger or other transactions, or any resulting limitations on Boundless Bio’s ability to utilize Boundless Bio’s NOL carryforwards and other tax attributes. However, Boundless Bio believes that its ability to utilize Boundless Bio’s NOL carryforwards and other tax attributes to offset future taxable income or tax liabilities may be limited as a result of ownership changes, including potential changes in connection with Boundless Bio’s IPO or the Merger. If Boundless Bio earns taxable income, such limitations could result in increased future income tax liability to Boundless Bio, and its future cash flows could be adversely affected. Boundless Bio has recorded a full valuation allowance related to Boundless Bio’s NOL carryforwards and other deferred tax assets due to the uncertainty of the ultimate realization of the future benefits of those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could adversely affect Boundless Bio’s business and results of operation. </w:t>
      </w:r>
    </w:p>
    <w:p>
      <w:pPr>
        <w:pStyle w:val="TextBody"/>
        <w:bidi w:val="0"/>
        <w:spacing w:before="120" w:after="0"/>
        <w:jc w:val="left"/>
        <w:rPr>
          <w:rFonts w:ascii="Times New Roman" w:hAnsi="Times New Roman"/>
          <w:sz w:val="20"/>
        </w:rPr>
      </w:pPr>
      <w:r>
        <w:rPr>
          <w:rFonts w:ascii="Times New Roman" w:hAnsi="Times New Roman"/>
          <w:sz w:val="20"/>
        </w:rPr>
        <w:t xml:space="preserve">While inflation in the United States has been relatively low in recent years, the economy in the United States encountered a material level of inflation since 2021. Although inflation eased somewhat in 2024, it has raised Boundless Bio’s costs for commodities, labor, materials, and services and other costs required to grow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operate its business, and failure to secure these on reasonable terms may adversely impact Boundless Bio’s financial condition. Additionally, increases in inflation, along with public health concerns, geopolitical developments, and global supply chain disruptions, have caused, and may in the future cause, global economic uncertainty, and uncertainty about the interest rate environment, which may make it more difficult, costly, or dilutive for Boundless Bio to secure additional financing. A failure to adequately respond to these risks could have a material adverse impact on Boundless Bio’s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Boundless Bio’s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Boundless Bio is unable to obtain, maintain, defend, and enforce patent or other intellectual property protection for its ecDTx, diagnostic, or technology, or if the scope of the patent or other intellectual property protection obtained is not sufficiently broad, Boundless Bio’s competitors or other third parties could develop and commercialize products similar or identical to Boundless Bio’s, and Boundless Bio’s ability to successfully commercialize any ecDTx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relies upon a combination of patent, trade secret, and trademark protection for its ecDTx, its diagnostic, and proprietary technologies to prevent third parties from exploiting its achievements, thus eroding Boundless Bio’s competitive position in its market. These legal measures afford only limited protection, and competitors or others may gain access to or use Boundless Bio’s intellectual property and proprietary information. Boundless Bio’s success depends in large part on its ability to obtain, maintain, expand, enforce, and defend the scope of Boundless Bio’s intellectual property protection in the United States and other countries with respect to its ecDTx, its diagnostic, and other proprietary technologies Boundless Bio may develop. Boundless Bio generally seeks to protect its proprietary position, in part, by filing patent applications in the United States and abroad relating to its ecDTx and diagnostics, manufacturing processes, and methods of use. Boundless Bio may also seek to protect its proprietary position by acquiring or in-licensing relevant issued patents or pending patent applications from third parties. If Boundless Bio is unable to obtain, maintain, expand, enforce, and defend the scope of its intellectual property protection, Boundless Bio’s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Changes in either the patent laws or their interpretation in the United States and other jurisdictions may diminish Boundless Bio’s ability to protect its intellectual property, obtain, maintain, expand, enforce, and defend Boundless Bio’s intellectual property rights and, more generally, could affect the value of Boundless Bio’s intellectual property or narrow the scope of its protection. Boundless Bio cannot predict whether the patent applications Boundless Bio currently or may in the future pursue or may in-license will issue as patents in any particular jurisdiction, whether the claims of any issued patents will provide sufficient protection against competitors or other third parties, or if these patents are challenged by Boundless Bio’s competitors, whether the patents will be found to be invalid, unenforceable, or not infringed.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Boundless Bio may not be able to file, prosecute, maintain, enforce, defend, or license all necessary or desirable patent applications or patents at a reasonable cost or in a timely manner or in all jurisdictions. If Boundless Bio is unable to adequately fund its patent prosecution and maintenance, or if the costs of defending its patents against third-party challenges become prohibitive, Boundless Bio’s competitive position could be weakened. Additionally, recent reforms and changes at government agencies of the United States and those of non-U.S. jurisdictions could increase the uncertainties and costs surrounding the prosecution or maintenance of Boundless Bio’s patent applications, and the maintenance, enforcement, or defense of Boundless Bio’s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Boundless Bio’s ability to timely and adequately prosecute or maintain Boundless Bio’s patent applications, and Boundless Bio’s ability to timely and adequately maintain, enforce, or defend Boundless Bio’s issued patents. It is also possible that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fail to identify patentable aspects of Boundless Bio’s research and development output in time to obtain patent protection. Although Boundless Bio enters into non-disclosure and confidentiality agreements with parties who have access to confidential or patentable aspects of Boundless Bio’s research and development output, such as Boundless Bio’s employees, third-party collaborators, CROs, contract manufacturers, consultants, advisors, and other third parties, any of these parties may breach the agreements and disclose such output before a patent application is filed, thereby jeopardizing Boundless Bio’s ability to seek patent protection. Consequently, Boundless Bio may not be able to prevent any third party from using any of Boundless Bio’s technology that is in the public domain to compete with its ecDTx or technologies. In addition, Boundless Bio’s ability to obtain and maintain valid and enforceable patents depends on whether the differences between Boundless Bio’s inventions and the prior art allow Boundless Bio’s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Boundless Bio cannot be certain that it was the first to invent the inventions claimed in any of Boundless Bio’s owned patents or pending patent applications, or that Boundless Bio or any future licensors were the first to file for patent protection of such inventions. If a third party can establish that Boundless Bio was not the first to make or the first to file for patent protection of such inventions, Boundless Bio’s patents and patent applications may not issue as patents and even if issued, may be challenged and invalidated or rendered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Boundless Bio’s patent rights are highly uncertain. Boundless Bio’s current and future patent applications may not result in patents being issued. </w:t>
      </w:r>
    </w:p>
    <w:p>
      <w:pPr>
        <w:pStyle w:val="TextBody"/>
        <w:bidi w:val="0"/>
        <w:spacing w:before="240" w:after="0"/>
        <w:jc w:val="left"/>
        <w:rPr>
          <w:rFonts w:ascii="Times New Roman" w:hAnsi="Times New Roman"/>
          <w:sz w:val="20"/>
        </w:rPr>
      </w:pPr>
      <w:r>
        <w:rPr>
          <w:rFonts w:ascii="Times New Roman" w:hAnsi="Times New Roman"/>
          <w:sz w:val="20"/>
        </w:rPr>
        <w:t xml:space="preserve">Any issued patents may not afford sufficient protection of Boundless Bio’s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Boundless Bio’s patent protection depends on compliance with various procedural, document submission, fee payment, and other requirements imposed by governmental patent agencies, and Boundless Bio’s patent protection could be reduced or eliminated if Boundless Bio fails to comply with these requirements. In the event Boundless Bio experiences noncompliance events that cannot be corrected and Boundless Bio loses its patent rights, competitors could enter the market, which would have a material adverse effect on Boundless Bio’s business. Further, any issued patents that Boundless Bio owns or may license in the future covering Boundless Bio’s ecDTx could be narrowed or found invalid or unenforceable if challenged in court or before administrative bodies in the United States or other countries, including the USPTO. Also, patent terms, including any extensions or adjustments that may or may not be available to Boundless Bio, may be inadequate to protect Boundless Bio’s competitive position on its ecDTx for an adequate amount of time, and Boundless Bio may be subject to claims challenging the inventorship, validity, or enforceability of Boundless Bio’s patents and/or other intellectual property. Changes in United States patent law, or laws in other countries, could diminish the value of patents in general, thereby impairing Boundless Bio’s ability to protect its ecDTx. Further, if Boundless Bio encounters delays in Boundless Bio’s development and testing of any ecDTx, clinical trials, or regulatory review and approval of its ecDTx, the period of time during which Boundless Bio could market Boundless Bio’s ecDTx under patent protection may be reduced (i.e., patents protecting the ecDTx might expire before or shortly after such ecDTx are commercialized). Thus, Boundless Bio’s patents may not provide Boundless Bio with sufficient rights to exclude others from commercializing products similar or identical to Boundless Bio’s or afford Boundless Bio any meaningful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Moreover, the claim coverage in a patent application can be significantly reduced before the corresponding patent is granted. Even if patent applications issue as patents, they may not issue in a form that will provide Boundless Bio with any meaningful protection, prevent competitors or other third parties from competing with Boundless Bio, or otherwise provide Boundless Bio with any competitive advantage. Any patents issuing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owned and any future in-licensed patent applications may be challenged, narrowed, circumvented, or invalidated by third parties. Consequently, Boundless Bio does not know whether Boundless Bio’s ecDTx and other proprietary technology will be protectable or remain protected by valid and enforceable patents. Even if a patent is granted, Boundless Bio’s competitors or other third parties may be able to circumvent the patent by developing similar or alternative technologies or products in a non-infringing manner, which could materially adversely affect Boundless Bio’s business, financial condition, results of operations, and prospects. Furthermore, Boundless Bio’s competitors or other third parties may avail themselves of safe harbors under the Drug Price Competition and Patent Term Restoration Act of 1984 (“Hatch-Waxman Amendments”) to conduct research and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Boundless Bio’s patent rights may be challenged in the courts or patent offices in the United States and abroad. Boundless Bio may be subject to a third-party post-issuance submission of prior art to the USPTO challenging the validity of one or more claims of Boundless Bio’s patents or patents Boundless Bio may license in the future. Third-party submissions may also be made prior to a patent’s issuance, precluding the granting of a patent based on Boundless Bio’s pending patent application or patent application Boundless Bio may license in the future. A third party may also claim that Boundless Bio’s patent rights are invalid or unenforceable in a litigation. The outcome following legal assertions of invalidity and unenforceability is unpredictable. In addition, Boundless Bio may become involved in opposition, derivation, revocation, reexamination, reissue, post-grant, proceedings, inter partes review, interference proceedings, or other similar proceedings in the United States and/or foreign jurisdictions challenging Boundless Bio’s patent rights. An adverse determination in any such submission, proceeding, or litigation could reduce the scope of, or invalidate or render unenforceable, Boundless Bio’s patent rights, and may allow third parties, including generic drug companies, to commercialize its ecDTx and other proprietary technologies Boundless Bio may develop and compete directly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Boundless Bio’s patent rights may in the future be co-owned with third parties. In the United States, each co-owner has the freedom to license and exploit the technology. If Boundless Bio is unable to obtain an exclusive license to any such third-party co-owners’ interest in such patent rights, such co-owners may be able to license their rights to other third parties, including Boundless Bio’s competitors, and Boundless Bio’s competitors could market competing products and technology. In addition, Boundless Bio may need the cooperation of any such co-owners of such patent rights in order to enforce such patent rights against third parties, and such cooperation may not be provided to Boundless Bio. Any of the foregoing could have a material adverse effect on Boundless Bio’s competitive position, business, financial conditions,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be able to protect its intellectual property and proprietary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maintaining, enforcing, and defending patents on Boundless Bio’s ecDTx in all countries throughout the world is expensive, and the laws of foreign countries may not protect Boundless Bio’s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Boundless Bio may not be able to prevent third parties from practicing its inventions in all countries outside the United States, or from selling or importing products made using its intellectual property in and into the United States or other jurisdictions. Competitors may use Boundless Bio’s intellectual property in jurisdictions where Boundless Bio has not pursued and obtained patent protection to develop their own products and, further, may export otherwise infringing products to territories where Boundless Bio has patent protection, but enforcement is not as strong as that in the United States. These products may compete with Boundless Bio’s products, and Boundless Bio’s patents or patents Boundless Bio may license in the future or other intellectual property rights may not be effective or sufficient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Boundless Bio to stop the infringement of its patents or marketing of competing products in violation of its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Boundless Bio may not be able to obtain sufficient patent protection in certain jurisdictions even though the same or similar patent protection can be secured in the United States and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Boundless Bio’s intellectual property and proprietary rights in foreign jurisdictions could result in substantial costs and divert Boundless Bio’s efforts and attention from other aspects of its business, could put Boundless Bio’s patents and any patents Boundless Bio may license in the future at risk of being invalidated or interpreted narrowly, could put Boundless Bio’s patent applications and any patent applications Boundless Bio may license in the future at risk of not issuing, and could provoke third parties to assert claims against Boundless Bio. Boundless Bio may not prevail in any lawsuits that it initiates, and the damages or other remedies awarded, if any, may not be commercially meaningful. Accordingly, Boundless Bio’s efforts to enforce its intellectual property and proprietary rights around the world may be inadequate to obtain a significant commercial advantage from the intellectual property that Boundless Bio develops.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Boundless Bio is forced to grant a license to third parties with respect to any patents relevant to its business, its competitive position may be impaired, and its business, financial condition, results of operations, and prospects may be adversely affected. In addition, geopolitical actions in the United States and in foreign countries (such as the geopolitical conflicts in and around Ukraine and the Middle East; retaliatory measures by foreign countries in response to actions by the U.S., in particular, tariffs) could increase the uncertainties and costs surrounding the prosecution or maintenance of Boundless Bio’s patent applications or those of any future licensors and the maintenance, enforcement, or defense of its issued patents, which could impair its competitive intellectual property position. Many foreign countries could threaten to impose retaliatory measures that may adversely impact Boundless Bio’s intellectual property rights in those countries. For example, government actions may prevent filing, prosecution, and maintenance of issued patents in various jurisdictions experiencing geopolitical conflict. These actions could result in abandonment or lapse of Boundless Bio’s patents or patent applications, resulting in partial or complete loss of patent rights in such jurisdictions. In addition, jurisdictions outside of the U.S. could also permit Boundless Bio’s patents to be exploited without consent or compensation. For example, on March 14, 2025, Brazil enacted Law No. 15.122/2025 (known as the Economic Reciprocity Law), which provides a framework that allows for the suspension of obligations related to foreign entity’s intellectual property rights. In such circumstances Boundless Bio would not be able to prevent third parties from practicing its inventions or from selling or importing products made using its inventions in and into such jurisdictions. Accordingly, its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Boundless Bio’s patent protection depends on compliance with various procedural, document submission, fee payment, and other requirements imposed by government patent agencies, and its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non-U.S. government agencies require compliance with several procedural, documentary, fee payment, and other similar provisions during the patent application process. In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Boundless Bio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Boundless Bio’s patents and applications. In certain circumstances, Boundless Bio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Boundless Bio’s business, financial condition, results of operations, and prospects. Boundless Bio would also be dependent on any future licensors to take the necessary actions to comply with these requirements with respect to any intellectual property Boundless Bio may 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Public health pandemics (such as the COVID-19 pandemic), geopolitical instability (war and terrorism), natural disasters, or similar events may impair Boundless Bio’s and its licensors’ ability to comply with these procedural, document submission, fee payment, and other requirements imposed by government patent agencies, which may materially and adversely affect Boundless Bio’s ability to obtain or maintain patent protection for its products and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laws or their interpretations could diminish the value of patents in general, thereby impairing Boundless Bio’s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Boundless Bio or its licensors could therefore be awarded a patent covering an invention of Boundless Bio’s or its licensors even if Boundless Bio or its licensors had made the invention before it was made by such third party. This requires Boundless Bio to be cognizant of the time from invention to filing of a patent application. Since patent applications in the United States and most other countries are confidential for a period of time after filing or until issuance, Boundless Bio cannot be certain that it or its licensors are the first to either (i) file any patent application related to its ecDTx and other proprietary technologies Boundless Bio may develop or (ii) invent any of the inventions claimed in its patents or patent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Boundless Bio’s patent claims or any patent claims Boundless Bio may license in the future that would not have been invalidated if first challenged by the third party as a defendant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Boundless Bio cannot predict how decisions by the courts, the U.S. Congress or the USPTO may impact the value of its patent rights. For example, the U.S. Supreme Court held in </w:t>
      </w:r>
      <w:r>
        <w:rPr>
          <w:rFonts w:ascii="Times New Roman" w:hAnsi="Times New Roman"/>
          <w:i/>
          <w:sz w:val="20"/>
        </w:rPr>
        <w:t>Amgen v. Sanofi (2023)</w:t>
      </w:r>
      <w:r>
        <w:rPr>
          <w:rFonts w:ascii="Times New Roman" w:hAnsi="Times New Roman"/>
          <w:sz w:val="20"/>
        </w:rPr>
        <w:t xml:space="preserve"> that a functionally claimed genus was invalid for failing to comply with the enablement requirement of the Patent Act. As such, Boundless Bio’s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Boundless Bio’s existing patent portfolio and its ability to protect and enforce its intellectual property in the future. Similarly, changes in patent law and regulations in other countries or jurisdictions or changes in the governmental bodies that enforce them or changes in how the relevant governmental authority enforces patent laws or regulations may weaken Boundless Bio’s ability to obtain new patents or to enforce patents that Boundless Bio has or may obtain or 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Boundless Bio’s European patent applications, if issued, could be challenged in the UPC. During the first seven years of the UPC’s existence, the UPC legislation allows a patent owner to opt its European patents out of the jurisdiction of the UPC. Boundless Bio may decide to opt out its future European patents from the UPC, but doing so may preclude Boundless Bio from realizing the benefits of the UPC. Moreover, if Boundless Bio does not meet all of the formalities and requirements for opt-out under the UPC, its future European patents could remain under the jurisdiction of the UPC. The UPC will provide Boundless Bio’s competitors with a new forum to centrally revoke its European patent, and allow for the possibility of a competitor to obtain pan-European injunction. Such a loss of patent protection could have a material adverse impact on Boundless Bio’s business and its ability to commercialize its technology and ecDTx due to increased competition and, resultantly, on its business, financial condition, results of operations, and prospects. The UPC and Unitary Patent are significant changes in European patent practice. As the UPC is a new court system, there is limited precedent for the court, increasing the uncertainty of any litigation in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Boundless Bio’s ecDTx could be found invalid or unenforceable if challenged in court or before administrative bodies in the United States or abroad.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Boundless Bio’s core business, including distracting its management and scientific personnel from their normal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responsibilities and generally harm its business. If Boundless Bio or any future licensors are unsuccessful in any of these proceedings, such patents and patent applications may be narrowed, invalidated, or held unenforceable. Any of the foregoing could have a material adverse effect on Boundless 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initiates legal proceedings against a third party to enforce a patent covering its ecDTx,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Boundless Bio’s patent rights or any patent rights Boundless Bio may obtain or license in the future in such a way that they no longer cover Boundless Bio’s ecDTx or prevent third parties from competing with Boundless Bio’s ecDTx. The outcome following legal assertions of invalidity and unenforceability is unpredictable. With respect to the validity question, for example, Boundless Bio cannot be certain that there is no invalidating prior art, of which Boundless Bio and the patent examiner were unaware during prosecution. If a third party were to prevail on a legal assertion of invalidity or unenforceability, Boundless Bio would lose at least part, and perhaps all, of the patent protection for Boundless Bio’s ecDTx. Such a loss of patent protection would have a material adverse impact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the competitive position of Boundless Bio’s ecDTx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Boundless Bio’s ecDTx are obtained, once the patent has expired, Boundless Bio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Boundless Bio’s intellectual property may not provide it with sufficient rights to exclude others from commercializing products similar or identical to Boundless Bio’s. If Boundless Bio does not have sufficient patent life to protect its products, its business, financial condition, results of operations, and prospects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does not obtain patent term extension and equivalent extensions outside of the United States for its ecDTx, Boundless Bio’s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regulatory approval of Boundless Bio’s ecDTx, one or more of its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Boundless Bio may not be granted an extension for various reasons, including failing to exercise due diligence during the testing phase or regulatory review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failing to apply within applicable deadlines, failing to apply prior to expiration of relevant patents, or failing to satisfy other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or the scope of patent protection afforded could be less than Boundless Bio projects or requests. In addition, to the extent Boundless Bio wishes to pursue patent term extension based on a patent that it may license from a third party in the future, Boundless Bio may need the cooperation of that third party. If Boundless Bio is unable to obtain patent term extension, or the foreign equivalent, or if the term of any such extension is less than Boundless Bio projects or requests, its competitors may obtain approval of competing products following its patent expiration, and its business, financial condition, results of operations, and prospects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 subject to claims challenging the inventorship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may be subject to claims that former employees, consultants, collaborators, or other third parties have an interest in its patent rights, trade secrets, or other intellectual property as an inventor, co-inventor, or owner of trade secrets. For example, Boundless Bio may have inventorship disputes arise from conflicting obligations of consultants or others who are involved in developing its ecDTx and other proprietary technologies it may develop. Litigation may be necessary to defend against these and other claims challenging inventorship or Boundless Bio’s patent rights, trade secrets, or other intellectual property. If Boundless Bio fails in defending any such claims, in addition to paying monetary damages, it may lose valuable intellectual property rights, such as exclusive ownership of, or the right to use intellectual property that is important to its ecDTx and other proprietary technologies it may develop. Even if Boundless Bio is successful in defending against such claims, litigation could result in substantial costs and be a distraction to its management and other employees. Any of the foregoing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is unable to protect the confidentiality of its trade secrets, its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 protection for Boundless Bio’s ecDTx and proprietary technologies, Boundless Bio may rely on trade secret protection and confidentiality agreements to protect its unpatented know-how, technology, and other proprietary information and to maintain its competitive position. Boundless Bio seeks to protect these trade secrets and other proprietary technology, in part, by entering into non-disclosure and confidentiality agreements with parties who have access to them, such as its employees, third-party collaborators, CROs, contract manufacturers, consultants, advisors, and other third parties. Boundless Bio also enters into confidentiality and invention or patent assignment agreements with its employees and consultants. Trade secrets and know-how can be difficult to protect. Boundless Bio cannot guarantee that it has entered into applicable agreements with each party that may have or have had access to its trade secrets or proprietary technology and processes. Despite these efforts, any of these parties may breach the agreements and disclose Boundless Bio’s proprietary information, including its trade secrets, and Boundless Bio may not be able to obtain adequate remedies for such breaches. Monitoring unauthorized uses and disclosures is difficult, and Boundless Bio does not know whether the steps it has taken to protect its proprietary technologies will be effective. Boundless Bio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Boundless Bio’s trade secrets were to be lawfully obtained or independently developed by a competitor or other third party, Boundless Bio would have no right to prevent them from using that technology or information to compete with it. Furthermore, others may independently discover similar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secrets and proprietary information. If any of Boundless Bio’s trade secrets were to be disclosed or misappropriated or if any such information were to be independently developed by a competitor or other third party, Boundless Bio’s competitive position would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be subject to claims that third parties have an ownership interest in its trade secrets. For example, Boundless Bio may have disputes arise from conflicting obligations of its employees, consultants, or others who are involved in developing any ecDTx. Litigation may be necessary to defend against these and other claims challenging ownership of Boundless Bio’s trade secrets. If Boundless Bio fails in defending any such claims, in addition to paying monetary damages, it may lose valuable trade secret rights, such as exclusive ownership of, or right to use, trade secrets that are important to its ecDTx and other proprietary technologies it may develop. Such an outcome could have a material adverse effect on Boundless Bio’s business. Even if Boundless Bio is successful in defending against such claims, litigation could result in substantial costs and be a distraction to its management and other employees. Any of the foregoing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 subject to claims that its employees, consultants, or advisors have wrongfully used or disclosed alleged trade secrets of their current or former employers or claims asserting ownership of what Boundless Bio regards as its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Some of Boundless Bio’s employees, consultants, and advisors are currently or were previously employed at universities or other biotechnology or pharmaceutical companies, including Boundless Bio’s competitors or potential competitors. Although Boundless Bio tries to ensure that its employees, consultants, and advisors do not use the proprietary information or know-how of others in their work for Boundless Bio, Boundless Bio may be subject to claims that it or these individuals have used or disclosed intellectual property, including trade secrets or other proprietary information, of any such individual’s current or former employer. Litigation may be necessary to defend against these claims. If Boundless Bio fails in defending any such claims, in addition to paying monetary damages, it may lose valuable intellectual property rights or personnel. Even if Boundless Bio is successful in defending against such claims, litigation could result in substantial costs and be a distraction to its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Boundless Bio’s policy to require its employees and contractors who may be involved in the conception or development of intellectual property to execute agreements assigning such intellectual property to Boundless Bio, Boundless Bio may be unsuccessful in executing such an agreement with each party who, in fact, conceives or develops intellectual property that Boundless Bio regards as its own. The assignment of intellectual property rights may not be self-executing, or the assignment agreements may be breached, and Boundless Bio may be forced to bring claims against third parties, or defend claims that they may bring against it, to determine the ownership of what Boundless Bio regards as its intellectual property. Such claims could have a material adverse effect on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identify relevant third-party patents or may incorrectly interpret the relevance, scope, or expiration of a third-party patent, which might adversely affect its ability to develop and market its products and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cannot guarantee that any of its patent searches or analyses, including the identification of relevant patents, the scope of patent claims, or the expiration of relevant patents, are or will be complete or thorough, nor can Boundless Bio be certain that it has identified or will identify each and every third-party patent and pending patent application in the United States and abroad that is relevant to or necessary for the commercialization of its current and future ecDTx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Boundless Bio’s ecDTx could have been filed by others without its knowledge. The scope of a patent claim is determined by the interpretation of the law, the words of a patent claim, the written disclosure in a patent, and the patent’s prosecution history. Boundless Bio’s interpretation of the relevance or the scope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 or a pending patent application may be incorrect, which may negatively impact its ability to market its products. Boundless Bio may incorrectly determine that its products or ecDTx are not covered by a third-party patent or may incorrectly predict whether a third party’s pending patent application will issue with claims of relevant scope. Boundless Bio’s determination of the expiration date of any patent in the United States or abroad that it considers relevant may be incorrect, and Boundless Bio may incorrectly conclude that a third-party patent is invalid and unenforceable or not infringed. Boundless Bio’s failure to identify and correctly interpret relevant patents may negatively impact its ability to develop and market its ecDTx. If Boundless Bio fails to identify and correctly interpret relevant patents, it may be subject to infringement claims. Also, because the claims of published patent applications can change between publication and patent grant, there may be published patent applications that may ultimately issue with claims that Boundless Bio infringes.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Boundless Bio may receive threatening letters, notices or “invitations to license,” or may be the subject of claims that its products and business operations infringe or violate the intellectual property rights of others. Boundless Bio cannot guarantee that it will be able to successfully settle or otherwise resolve such infringement claims. If Boundless Bio fails in any such dispute, in addition to being forced to pay damages, it may be temporarily or permanently prohibited from commercializing its ecDTx that is held to be infringing. Boundless Bio might, if possible, also be forced to redesign ecDTx or services so that it no longer infringes the third-party intellectual property rights. Any of these events, even if Boundless Bio were ultimately to prevail, could require it to divert substantial financial and management resources that it would otherwise be able to devote to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misappropriation, or other violations against Boundless Bio or its collaborators could be expensive and time consuming and may prevent or delay the development and commercialization of its ecDTx.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commercial success depends in part on its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Numerous U.S. and foreign-issued patents and pending patent applications owned by third parties exist in the fields in which Boundless Bio plans to commercialize its therapeutic and diagnostic programs and in which Boundless Bio is developing other proprietary technologies. As the biotechnology and pharmaceutical industries expand and more patents are issued, and as Boundless Bio gains greater visibility and market exposure as a public company, the risk increases that its ecDTx and diagnostic programs and commercializing activities may give rise to claims of infringement of the patent rights of others. Boundless Bio cannot assure that its ecDTx and diagnostic programs and other proprietary technologies it develops will not infringe existing or future patents owned by third parties. Boundless Bio may not be aware of patents that have already been issued for which a third party, such as a competitor in the fields in which Boundless Bio could develop its ecDTx and diagnostic programs, might assert as infringed by Boundless Bio. It is also possible that patents owned by third parties of which Boundless Bio is aware, but which Boundless Bio does not believe it infringes or that Boundless Bio believes it has valid defenses to any claims of patent infringement, could be found to be infringed by Boundless Bio. It is not unusual that corresponding patents issued in different countries have different scopes of coverage, such that in one country a third-party patent does not pose a material risk, but in another country, the corresponding third-party patent may pose a material risk to Boundless Bio’s ecDTx. As such, Boundless Bio monitors third-party patents in the relevant pharmaceutical markets. In addition, because patent applications can take many years to issue, there may be currently pending patent applications that may later result in issued patents that Boundless Bio may infringe. For example, pending patent applications that have been published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limitations, be later amended in a manner that could cover Boundless Bio’s ecDTx or the use of its ecDTx. While Boundless Bio believes it has valid defenses to claims of patent infringement, Boundless Bio cannot be certain that it would prevail in any dispute, and it cannot be certain how an adverse determination would affect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third-party claims that Boundless Bio infringes their patents or that Boundless Bio is otherwise employing their proprietary technology without authorization and initiates litigation against Boundless Bio, even if Boundless Bio believes such claims are without merit, a court of competent jurisdiction could hold that such patents are valid, enforceable, and infringed by Boundless Bio. Defense of infringement claims, regardless of their merit, would involve substantial litigation expense and would be a substantial diversion of management and other employee resources from Boundless Bio’s business, and may impact its reputation. In the event of a successful claim of infringement against Boundless Bio, Boundless Bio may be enjoined from further developing or commercializing the infringing products or technologies. In addition, Boundless Bio may be required to pay substantial damages, including treble damages and attorneys’ fees for willful infringement, obtain one or more licenses from third parties, pay royalties, and/or redesign its infringing products or technologies, which may be impossible or require substantial time and monetary expenditure. Such licenses may not be available on commercially reasonable terms or at all. Even if Boundless Bio is able to obtain a license, the license would likely obligate Boundless Bio to pay license fees or royalties or both, and the rights granted to Boundless Bio might be nonexclusive, which could result in its competitors gaining access to the same intellectual property. If Boundless Bio is unable to obtain a necessary license to a third-party patent on commercially reasonable terms or at all, Boundless Bio may be unable to commercialize the infringing products or technologies or such commercialization efforts may be significantly delayed, which could in turn significantly harm its business. In addition, Boundless Bio may in the future pursue patent challenges with respect to third-party patents, including as a defense against the foregoing infringement claims. The outcome of such challenges is unpredictable.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Boundless Bio’s favor, the foregoing proceedings could be very expensive, particularly for a company of Boundless Bio’s size, and time-consuming. Such proceedings could substantially increase Boundless Bio’s operating losses and reduce the resources available for development activities or any future sales, marketing, or distribution activities. Boundless Bio may not have sufficient financial or other resources to conduct such proceedings adequately. Some of Boundless Bio’s competitors may be able to sustain the costs of litigation or administrative proceedings more effectively than Boundless Bio can because of greater financial resources. Such proceedings may also absorb significant time of Boundless Bio’s technical and management personnel and distract them from their normal responsibilities. Uncertainties resulting from such proceedings could impair Boundless Bio’s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The occurrence of any of the foregoing could have a material adverse effect on Boundless Bio’s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in the future pursue invalidity proceedings with respect to third-party patents. The outcome following legal assertions of invalidity is unpredictable. Additionally, Boundless Bio may be subject to claims of patent infringement during those proceedings, and delays caused by the federal agencies may increase the time period that Boundless Bio is subject to such claims. For example, administrative changes, including reduced staff and budgets experienced by the Patent and Trial Appeal Board, could further delay Boundless Bio’s ability to timely challenge any such patents. Even if resolved in Boundless Bio’s favor, these legal proceedings may cause Boundless Bio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Such proceedings could substantially increase Boundless Bio’s operating losses and reduce the resources available for development activities or any future sales, marketing, or distribution activities. Boundless Bio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have sufficient financial or other resources to conduct such proceedings adequately. Some of these third parties may be able to sustain the costs of such proceedings more effectively than Boundless Bio can because of their greater financial resources. Uncertainties resulting from the initiation and continuation of patent proceedings could compromise Boundless Bio’s ability to compete in the marketplace. For example, recent shifts in USPTO policy and increased discretionary denials may restrict Boundless Bio’s ability to challenge third-party patents, increasing its litigation risk and costs. Boundless Bio’s ability to use </w:t>
      </w:r>
      <w:r>
        <w:rPr>
          <w:rFonts w:ascii="Times New Roman" w:hAnsi="Times New Roman"/>
          <w:i/>
          <w:sz w:val="20"/>
        </w:rPr>
        <w:t>inter partes</w:t>
      </w:r>
      <w:r>
        <w:rPr>
          <w:rFonts w:ascii="Times New Roman" w:hAnsi="Times New Roman"/>
          <w:sz w:val="20"/>
        </w:rPr>
        <w:t xml:space="preserve"> review (“IPR”) and other post-grant proceedings to challenge the validity of third-party patents is subject to evolving procedural rules and increased administrative discretion. If Boundless Bio is unable to use the Patent Trial and Appeal Board to invalidate questionable patents, Boundless Bio may face increased litigation expenses in slower and more costly district court venues. These policy shifts could result in infringement liability, licensing fees, or injunctions that could adversely affect Boundless Bio’s product development timelines, market share, and overall financial condition. If Boundless Bio does not prevail in the patent proceedings, third parties may assert a claim of patent infringement directed at its ecDTx.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become involved in lawsuits to protect or enforce its patents and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Third parties, such as a competitor, may infringe Boundless Bio’s patent rights. In an infringement proceeding, a court may decide that a patent Boundless Bio owns or a patent Boundless Bio may license in the future is invalid or unenforceable or may refuse to stop the other party from using the invention at issue. In addition, Boundless Bio’s patent rights may become involved in inventorship, ownership, priority, enforceability, or validity disputes. To counter or defend against such claims can be expensive and time-consuming. An adverse result in any litigation proceeding could put Boundless Bio’s patent rights at risk of being invalidated, held unenforceable or interpreted narrowly. Furthermore, because of the substantial amount of discovery required in connection with intellectual property litigation and proceedings, there is a risk that some of Boundless Bio’s confidential information could be compromised by disclosure during such litigation and proceedings.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Boundless Bio’s favor, litigation or other legal proceedings relating to intellectual property claims may cause Boundless Bio to incur significant expenses and could distract its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Boundless Bio Common Stock. Such litigation or proceedings could substantially increase Boundless Bio’s operating losses and reduce the resources available for development activities or any future sales, marketing, or distribution activities. Boundless Bio may not have sufficient financial or other resources to conduct such litigation or proceedings adequately. Some of Boundless Bio’s competitors may be able to sustain the costs of such litigation or proceedings more effectively than Boundless Bio can because of their greater financial resources and more mature and developed intellectual property portfolios. Uncertainties resulting from the initiation and continuation of patent litigation or other proceedings could have a material adverse effect on Boundless Bio’s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Bio’s trademarks and trade names are not adequately protected, then Boundless Bio may not be able to build name recognition in its markets of interest, and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registered or unregistered trademarks or trade names may be challenged, infringed, diluted, circumvented, or declared generic or determined to be infringing, misappropriating, or violating other marks. Boundless Bio may not be able to protect its rights to these trademarks and trade names, which Boundless Bio needs to build name recognition among potential partners or customers in the markets of interest. During trademark registration proceedings, Boundless Bio may receive rejections of its applications by the USPTO or in other foreign jurisdictions. Although Boundless Bio is given an opportunity to respond to such rejections, Boundless Bio may be unable to overcome them. In the event that Boundless Bio’s trademarks are successfully challenged or determined to be infringing, misappropriating, or violating other marks, Boundless Bio could be forced to rebrand its products, which could result in loss of brand recognition, and could require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Boundless Bio’s trademarks, which may not survive such proceedings. Moreover, any name Boundless Bio may propose to use with its ecDTx in the United States must be approved by the FDA, regardless of whether Boundless Bio has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Boundless Bio’s proposed proprietary product names, Boundless Bio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may not be able to obtain, protect, or enforce its rights to these trademarks and trade names, which Boundless Bio needs to build name recognition among potential partners or customers in its markets of interest. At times, competitors or other third parties may adopt trade names or trademarks similar to Boundless Bio’s, thereby impeding its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Boundless Bio’s registered or unregistered trademarks or trade names. Over the long term, if Boundless Bio is unable to establish name recognition based on its trademarks and trade names, then Boundless Bio may not be able to compete effectively, and its business may be adversely affected. Boundless Bio’s efforts to obtain, enforce, or protect its proprietary rights related to trademarks, trade names, domain names, or other intellectual property may be ineffective and could result in substantial costs and diversion of resources and could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Boundless Bio’s intellectual property rights is uncertain because intellectual property rights have limitations and may not adequately protect Boundless Bio’s business or permit Boundless Bio to maintain its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Boundless Bio’s ecDTx or utilize similar technology but that are not covered by the claims of the patents that Boundless Bio owns or may license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or its licensors or collaborators might not have been the first to make the inventions covered by its current or future patent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or its licensors or collaborators might not have been the first to file patent applications covering Boundless Bio’s or their inventions;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Boundless Bio’s technologies without infringing its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Boundless Bio’s pending and future patent applications that it owns or may license will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issued patent that Boundless Bio owns or licenses in the future may be held invalid or unenforceable, including as a result of legal challenges by its competitors or other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have access to the same intellectual property rights licensed to Boundless Bio in the future on a non-exclusive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competitors or other third parties might conduct research and development activities in countries where Boundless Bio or its licensors do not have patent rights and then use the information learned from such activities to develop competitive products for sale in its major commercial markets;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not develop additional proprietary technologies that are patentable;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fail to identify potential patentable subject matter and/or may fail to file on it;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or other intellectual property rights of others may harm Boundless Bio’s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may choose not to file for patent protection in order to maintain certain trade secrets or know-how, and a third party may subsequently file a patent application covering such intellectual property or disclose information resulting in a loss of protection for such trade secret.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 foregoing occur, it could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may not be successful in obtaining or maintaining necessary rights to product components and processes for its development pipeline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The growth of Boundless Bio’s business if the Merger is not completed and Boundless Bio continues to develop any ecDTx may depend in part on its ability to acquire, in-license, or use third-party intellectual property and proprietary rights. For example, Boundless Bio’s ecDTx may require specific formulations to work effectively and efficiently, Boundless Bio may develop ecDTx containing its compounds and pre-existing pharmaceutical compounds, or Boundless Bio may be required by the FDA or comparable foreign regulatory authorities to provide a diagnostic test or tests with its ecDTx, any of which could require Boundless Bio to obtain rights to use intellectual property held by third parties. In addition, with respect to any patent or other intellectual property rights Boundless Bio may co-own with third parties, Boundless Bio may require licenses to such co-owners’ interest to such patents. Boundless Bio may be unable to acquire or in-license any compositions, methods of use, processes, or other third-party intellectual property rights from third parties that Boundless Bio identifies as necessary or important to its business operations. In addition, Boundless Bio may fail to obtain any of these licenses at a reasonable cost or on reasonable terms, if at all. Were that to happen, Boundless Bio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Boundless Bio were able to develop such alternatives, which may not be feasible. Even if Boundless Bio is able to obtain a license, it may be non-exclusive, which means that Boundless Bio’s competitors may also receive access to the same technologies licensed to it. In that event, Boundless Bio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Boundless Bio may collaborate with academic institutions to accelerate its research and development under written agreements with these institutions. In certain cases, these institutions provide Boundless Bio with an option to negotiate a license to any of the institution’s rights in technology resulting from the collaboration. Even if Boundless Bio holds such an option, Boundless Bio may be unable to negotiate a license from the institution within the specified timeframe or under terms that are acceptable to Boundless Bio. If Boundless Bio is unable to do so, the institution may offer the intellectual property rights to others, potentially blocking Boundless Bio’s ability to pursue its program. Even if Boundless Bio is able to obtain a license, it may be non-exclusive, and its competitors may also receive access to the same technologies licensed to it.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that may be more established or have greater resources than Boundless Bio may also be pursuing strategies to license or acquire third-party intellectual property rights that Boundless Bio may consider necessary or attractive in order to commercialize its ecDTx. More established companies may have a competitive advantage over Boundless Bio due to their size, cash resources, or greater clinical development and commercialization capabilities. In addition, companies that perceive Boundless Bio to be a competitor may be unwilling to assign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 rights to it. There can be no assurance that Boundless Bio will be able to successfully complete these types of negotiations and ultimately acquire the rights to the intellectual property surrounding the additional ecDTx that Boundless Bio may seek to develop or market. If Boundless Bio is unable to successfully obtain rights to required third-party intellectual property or to maintain the existing intellectual property rights it has, Boundless Bio may have to abandon development of certain programs and its business financial condition, results of operations, and prospects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Boundless Bio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An active, liquid, and orderly market for Boundless Bio Common Stock may not be sustained, or Boundless Bio may in the future fail to satisfy the continued listing requirements of Nasdaq. </w:t>
      </w:r>
    </w:p>
    <w:p>
      <w:pPr>
        <w:pStyle w:val="TextBody"/>
        <w:bidi w:val="0"/>
        <w:spacing w:before="120" w:after="0"/>
        <w:jc w:val="left"/>
        <w:rPr>
          <w:rFonts w:ascii="Times New Roman" w:hAnsi="Times New Roman"/>
          <w:sz w:val="20"/>
        </w:rPr>
      </w:pPr>
      <w:r>
        <w:rPr>
          <w:rFonts w:ascii="Times New Roman" w:hAnsi="Times New Roman"/>
          <w:sz w:val="20"/>
        </w:rPr>
        <w:t xml:space="preserve">Prior to Boundless Bio’s IPO, there was no public market for Boundless Bio Common Stock. Boundless Bio Common Stock began trading on Nasdaq in late March 2024, and Boundless Bio can provide no assurance that an active trading market for Boundless Bio Common Stock will be sustained. If an active market for Boundless Bio Common Stock is not sustained, it may impair your ability to sell shares at the time you wish to sell them or at a price that you consider reasonable. An inactive market may also impair Boundless Bio’s ability to raise capital by selling shares and may impair its ability to acquire other businesses or technologies using its shares as consideration, which, in turn, could materially adversely affect Boundless Bio’s business.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fails to satisfy the continued listing requirements of Nasdaq, such as the corporate governance requirements or the minimum closing bid price requirement, Nasdaq may take steps to delist Boundless Bio Common Stock. Such a delisting would likely have a negative effect on the price of Boundless Bio Common Stock and would impair your ability to sell or purchase Boundless Bio Common Stock when you wish to do so. In the event of a delisting, Boundless Bio can provide no assurance that any action taken by it to restore compliance with listing requirements would allow Boundless Bio Common Stock to become listed again, stabilize the market price or improve the liquidity of Boundless Bio Common Stock, prevent Boundless Bio Common Stock from dropping below the Nasdaq minimum bid price requirement, or prevent future non-compliance with the listing requirements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Boundless Bio Common Stock could be highly volatile, and purchasers of Boundless Bio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shares of Boundless Bio Common Stock at or above the price they paid to purchase them. The market price for Boundless Bio Common Stock may be influenced by those factors discussed in this “Risk Factors” section and many others,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Boundless Bio’s clinical trials and preclinical studies, and the results of trials of its competitors or those of other companies in its market sector;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enroll patients in its future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obtain and maintain regulatory approval of its ecDTx or additional indications thereof, or limitations to specific label indications or patient populations for their use, or changes or delays in the regulatory review process;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foreign countries;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or failure of Boundless Bio’s efforts to develop, acquire, or license additional ecDTx;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innovations, clinical trial results, product approvals, and other developments regarding Boundless Bio’s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Boundless Bio or its competitors of significant acquisitions, strategic partnerships, joint ventures, or capital commitments;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supply, or distribution delays or shortages;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Boundless Bio’s relationship with any manufacturers, suppliers, collaborators, or other strategic partners;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achievement of expected product sales and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variations in Boundless Bio’s financial results or development timelines or those of companies that are perceived to be similar to Boundless Bio, including variations from expectations of securities analysts or investors;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biopharmaceutical sector and issuance of securities analysts’ reports or recommendations;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Boundless Bio Common Stock;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Boundless Bio’s stock by Boundless Bio, its insiders, or its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geopolitical, and market conditions, such as military conflict or war, inflation and financial institution instability, or pandemic or epidemic disease outbreaks, many of which are beyond Boundless Bio’s control;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senior management, directors, or key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product liability, or other litigation against Boundless Bio or its inability to enforce its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Boundless Bio’s capital structure, such as future issuances of securities and the incurrence of additional debt; and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the past, stockholders have initiated class action lawsuits against biopharmaceutical companies following periods of volatility in the market prices of these companies’ stock. Such litigation, if instituted against Boundless Bio, could cause Boundless Bio to incur substantial costs, divert its management’s attention and resources, and damage its reputation, which could have a material adverse effect on Boundless Bio’s business, financial condition and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Bio’s executive officers, directors, and principal stockholders, if they choose to act together, have the ability to significantly influence all matters submitted to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Bio’s executive officers, directors, greater than 5% stockholders, and their respective affiliates, in the aggregate, owned approximately 52.4% of Boundless Bio’s outstanding common stock. As a result, such persons, acting together, have the ability to significantly influence all matters submitted to Boundless Bio’s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combinations involving Boundless Bio, or discouraging a potential acquiror from making a tender offer or otherwise attempting to obtain control of Boundless Bio’s business, even if such a transaction would benefit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than the Pre-Closing Dividend in connection with the Merger, Boundless Bio does not currently intend to pay dividends on Boundless Bio Common Stock, so any returns on your investment will be limited to the value of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never declared or paid any cash dividend on Boundless Bio Common Stock. If the Merger is not completed and Boundless Bio determines to develop any current or future ecDTx,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anticipates that it will retain future earnings for the development, operation, and expansion of its business and does not anticipate declaring or paying any cash dividends for the foreseeable future. In addition, any future debt agreements may preclude Boundless Bio from paying dividends. Any return to stockholders will therefore be limited to the appreciation of Boundless Bio Common Stock. There is no guarantee that shares of Boundless Bio Common Stock will appreciate in value or even maintain the price at which stockholders have purchased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Boundless Bio Common Stock by its existing stockholders in the public market could cause its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653,579 shares of Boundless Bio’s outstanding common stock, or 2.9%, were held by its directors, executive officers, and other affiliates. Such shares may be sold under Rule 144 under the Securities Act, subject to volume limitations. Sales of a substantial number of shares of Boundless Bio Common Stock in the public market or the perception that these sales might occur could significantly reduce the market price of Boundless Bio Common Stock and impair Boundless Bio’s ability to raise adequate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of Boundless Bio’s outstanding common stock may have registration rights that entitle such holders to require Boundless Bio to register their shares for resale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also significantly reduce the market price of Boundless Bio Common Stock and impair Boundless Bio’s ability to raise adequate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Boundless Bio may issue additional shares of common stock, or other equity or debt securities convertible into common stock, in connection with the Merger as discussed above or if the Merger is not completed, in connection with a financing, acquisition, employee arrangement, or otherwise. For example, in April 2025, Boundless Bio entered into an Open Market Sale AgreementSM with Jefferies LLC under which Boundless Bio may sell shares of Boundless Bio Common Stock in ATM offerings through or to Jefferies, as sales agent or principal, and pursuant to the prospectus for the ATM offering, Boundless Bio may sell shares from time to time having an aggregate offering price of up to $14.5 million. Any such issuance could result in substantial dilution to Boundless Bio’s existing stockholders and could cause the price of Boundless Bio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an emerging growth company and a smaller reporting company, and the reduced disclosure requirements applicable to emerging growth companies and smaller reporting companies may make Boundless Bio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an emerging growth company, as defined in the Jumpstart Our Business Startups Act of 2012 (“JOBS Act”), and may remain an emerging growth company until the last day of the fiscal year following the fifth anniversary of its IPO, or December 31, 2029. However, if certain events occur prior to the end of such five-year period, including if Boundless Bio becomes a “large accelerated filer”, as defined under the Exchange Act, its annual gross revenue exceeds $1.235 billion, or Boundless Bio issues more than $1.0 billion of non-convertible debt in any three-year period, Boundless Bio will cease to be an emerging growth company prior to December 31, 2029. For so long as Boundless Bio remains an emerging growth company, Boundless Bio is permitted and intends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Boundless Bio’s internal control over financial reporting pursuant to the Sarbanes-Oxley Act of 2002 (“Sarbanes-Oxley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has taken advantage of reduced reporting burdens in Boundless Bio’s Annual Report on Form 10-K for the year ended December 31, 2025 (“Boundless Bio’s 2025 Annual Report”) and other filings with the SEC, as well as in this proxy statement/prospectus. In particular, in Boundless Bio’s 2025 Annual Report and this proxy statement/prospectus, Boundless Bio provided only two years of audited financial statements and did not include all of the executive compensation-related information that would be required if Boundless Bio were not an emerging growth company. Investors may find Boundless Bio Common Stock less attractive because Boundless Bio relies on these exemptions. If some investors find Boundless Bio Common Stock less attractive as a result, there may be a less active trading market for Boundless Bio Common Stock and its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Boundless Bio has elected to avail itself of this exemption and, therefore, Boundless Bio may not be subject to new or revised accounting standards at the same time that they become applicable to public companies that are not emerging growth companies. Boundless Bio intends to rely on other exemptions provided by the JOBS Act, including without limitation, not being required to comply with the auditor attestation requirements of Section 404(b)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also a smaller reporting company as defined in Rule 12b-2 under the Exchange Act. Boundless Bio may continue to be a smaller reporting company even after it is no longer an emerging growth company. Boundless Bio may take advantage of certain of the scaled disclosures available to smaller reporting companies and will be able to take advantage of these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Boundless Bio Charter and Boundless Bio Bylaws and under Delaware law could discourage a takeover that stockholders may consider favorable and may lead to entrenchment of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and Boundless Bio Bylaws contain provisions that could significantly reduce the value of its shares to a potential acquiror or delay or prevent changes in control or changes in Boundless Bio’s management without the consent of the Boundless Bio Board of Directors. The provisions in the Boundless Bio Charter and Boundless Bio Bylaws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classified board of directors with three-year staggered terms, which may delay the ability of stockholders to change the membership of a majority of the Boundless Bio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the total number of directors on the Boundless Bio Board of Directors is established by the Boundless Bio Board of Directors, which may delay the ability of stockholders to change the composition of a majority of the Boundless Bio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exclusive right of the Boundless Bio Board of Directors to fill any vacancy on the Boundless Bio Board of Directors however occurring, which prevents stockholders from being able to fill vacancies on the Boundless Bio Board of Directors, subject to any special rights of the holders of any series of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director may be removed from office except for cause and, in addition to any other vote required by law, upon the approval of at least 66-2/3% of the voting power of all of Boundless Bio’s then outstanding shares of voting stock entitled to vote at an election of directors, subject to any special rights of the holders of any then outstanding series of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amend or repeal the Boundless Bio Bylaws without obtaining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required approval of at least 66-2/3% of the then outstanding shares entitled to vote to adopt, amend, or repeal the Boundless Bio Bylaws or repeal the provisions of the Boundless Bio Charter regarding the election and removal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Boundless Bio’s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exclusive forum provision providing that the Court of Chancery of the State of Delaware will be the exclusive forum for certain actions and proceedings;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a special meeting of stockholders may be called only by or at the direction of the Boundless Bio Board of Directors, the chair of the Boundless Bio Board of Directors, its chief executive officer, or its president, which may delay the ability of Boundless Bio’s stockholders to force consideration of a proposal or to take action, including the removal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that stockholders must comply with in order to nominate candidates to the Boundless Bio Board of Directors or to propose matters to be acted upon at a stockholders’ meeting, which may discourage or deter a potential acquiror from conducting a solicitation of proxies to elect the acquiror’s own slate of directors or otherwise attempting to obtain control of Boundless Bio.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is also subject to the anti-takeover provisions contained in Section 203 of the DGCL, under which a corporation may not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Boundless Bio Charter provides that the Court of Chancery of the State of Delaware is the exclusive forum for substantially all disputes between Boundless Bio and its stockholders and that the federal district courts are the exclusive forum for the resolution of any complaint asserting a cause of action arising under the Securities Act, which could limit its stockholders’ ability to obtain a favorable judicial forum for disputes with Boundless Bio or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the Court of Chancery of the State of Delaware is the exclusive forum for any derivative action or proceeding brought on its behalf, any action asserting a breach of fiduciary duty, any action asserting a claim against Boundless Bio arising pursuant to the DGCL, Boundless Bio Charter or Boundless Bio Bylaws, or any action asserting a claim against Boundless Bio that is governed by the internal affairs doctrine; provided, that, this provision would not apply to suits brought to enforce a duty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created by the Exchange Act or any other claim for which the federal courts have exclusive jurisdiction. Boundless Bio’s Charter also provides that unless Boundless Bio consents in writing to the selection of an alternative forum, the federal district courts of the United States are the exclusive forum for the resolution of any complaint asserting a cause of action arising under the Securities Act. These choice of forum provisions may limit a stockholder’s ability to bring a claim in a judicial forum that it finds favorable for disputes with Boundless Bio or its directors, officers, or other employees, which may discourage such lawsuits against Boundless Bio and its directors, officers, and other employees and result in increased costs for investors to bring a claim. By agreeing to this provision, however, stockholders will not be deemed to have waived Boundless Bio’s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the Boundless Bio Charter to be inapplicable or unenforceable in an action, Boundless Bio may incur additional costs associated with resolving such action in other jurisdictions, which could adversely affect its business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Boundless Bio incurs significant costs as a result of operating as a public company, and its management is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Boundless Bio incurs significant legal, accounting, and other expenses that it did not incur as a private company. Boundless Bio is subject to the reporting requirements of the Exchange Act, which require, among other things, that it file with the SEC annual, quarterly, and current reports with respect to its business and financial condition. In addition, the Sarbanes-Oxley Act, as well as rules subsequently adopted by the SEC and Nasdaq to implement provisions of the Sarbanes-Oxley Act, impose significant requirements on Delaware general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Boundless Bio when it ceases to be an emerging growth company. Stockholder activism, the current political environment and the current high level of government intervention and regulatory reform may lead to substantial new regulations and disclosure obligations, and the application of existing laws, regulations, and standards may evolve over time as they are subject to varying interpretations and new guidance is provided by regulatory and governing bodies. This may lead to additional compliance costs and impact the manner in which Boundless Bio operates its business in ways it cannot currently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The rules and regulations applicable to public companies substantially increase Boundless Bio’s legal and financial compliance costs and make some activities more time consuming and costly. The increased costs decrease Boundless Bio’s net income or increase its net loss, and may require Boundless Bio to reduce expenditures in other areas of its business. For example, these rules and regulations make it more difficult and more expensive for Boundless Bio to obtain director and officer liability insurance, and Boundless Bio incurs substantial costs to maintain the same or similar coverage. The impact of these requirements could also make it more difficult for Boundless Bio to attract and retain qualified persons to serve on the Boundless Bio Board of Directors, its board committees, or as executive officers. If these requirements divert the attention of Boundless Bio’s management and personnel from other business concerns, they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is subject to U.S. and certain foreign export and import controls, sanctions, embargoes, anti-corruption laws, and anti-money laundering laws and regulations. Boundless Bio could face criminal liability and other serious consequences for violations, which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subject to export control and import laws and regulations, including the U.S. Export Administration Regulations, U.S. Customs regulations, and various economic and trade sanctions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Boundless Bio conducts or may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Boundless Bio may engage third parties for clinical trials outside of the United States, to sell its products abroad if and when Boundless Bio enters a commercialization phase, and/or to obtain necessary permits, licenses, patent registrations, and other regulatory approvals. Boundless Bio has direct or indirect interactions with officials and employees of government agencies or government-affiliated hospitals, universities, and other organizations. Boundless Bio can be held liable for the corrupt or other illegal activities of its employees, agents, CROs, contractors, and other collaborators and partners, even if Boundless Bio does not explicitly authorize or have actual knowledge of such activities, and any training or compliance programs or other initiatives Boundless Bio undertakes to prevent such activities may not be effective. </w:t>
      </w:r>
    </w:p>
    <w:p>
      <w:pPr>
        <w:pStyle w:val="TextBody"/>
        <w:bidi w:val="0"/>
        <w:spacing w:before="240" w:after="0"/>
        <w:jc w:val="left"/>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Boundless Bio’s ability to continue activities at future clinical trial sites within regions covered by such sanctions. If Boundless Bio fails to comply with export and import regulations and such economic sanctions, penalties could be imposed, including fines and/or denial of certain export privileges. These export and import controls and economic sanctions could also adversely affect Boundless Bio’s supply chain.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any of its third-party manufacturers or suppliers may use potent chemical agents and hazardous materials, and any claims relating to improper handling, storage, or disposal of these materials could be time-consuming or costly.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any of its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Boundless Bio’s operations and the operations of its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Boundless Bio’s product development efforts. In addition, neither Boundless Bio nor its third-party manufacturers and suppliers can eliminate the risk of accidental injury or contamination from these materials or wastes. Boundless Bio does not carry specific biological or hazardous waste insurance coverage, and its property, casualty and general liability insurance policies specifically exclude coverage for damages and fines arising from biological or hazardous waste exposure or contamination. In the event of contamination or injury at Boundless Bio’s or its manufacturers’ or suppliers’ sites, Boundless Bio could be held liable for damages or be penalized with fines in an amount exceeding its resources, and its clinical trials or regulatory approvals could be suspended. Although Boundless Bio maintains workers’ compensation insurance for certain costs and expenses, Boundless Bio may incur due to injuries to its employees resulting from work-related injuries, this insurance may not provide adequate coverage against potential liabilities. Boundless Bio does not maintain insurance for toxic tort claims that may be asserted against Boundless Bio in connection with the storage or disposal of biologic, hazardous, or radioactive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Boundless Bio may incur substantial costs in order to comply with current or future environmental, health, and safety laws and regulations, which have tended to become more stringent over time. These current or future laws and regulations may impair Boundless Bio’s research, development, or production efforts. Failure to comply with these laws and regulations also may result in substantial fines, penalties or other sanctions or liabilities, which could materially adversely affect Boundless 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Boundless Bio’s future revenue and financial condition and increase its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operations and the operations of its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Boundless Bio is predominantly self-insured. If Boundless Bio continues to develop any ecDTx, Boundless Bio expects to rely on third-party manufacturers or suppliers to produce its ecDTx and its components and on CROs and clinical sites to conduct its clinical trials, and does not have a redundant source of supply for all components of its ecDTx. Boundless Bio’s ability to obtain clinical or, if approved, commercial, supplies of its ecDTx could be disrupted if the operations of these suppliers were affected by a man-made or natural disaster or other business interruption, and its ability to commence, conduct or complete its clinical trials in a timely manner could be similarly adversely affected by any of the foregoing. In addition, Boundless Bio’s corporate headquarters is located in La Jolla, California near major earthquake faults and fire zones, and the ultimate impact on Boundless Bio of being located near major earthquake faults and fire zones and being consolidated in a certain geographical area is unknown. The occurrence of any of these business disruptions could seriously harm Boundless Bio’s operations and financial condition and increase its costs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and adverse developments with respect to financial institutions and associated liquidity risk may have serious adverse consequences on Boundless Bio’s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including changes related to the U.S. and foreign governments in tariffs and trade policies affecting trade between the United States and other countries. The financial markets and the global economy may also be adversely affected by the current or anticipated impact of military conflict, including geopolitical conflict in and around Ukraine and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Boundless Bio’s general business strategy may be adversely affected by any such economic downturn, liquidity shortages, volatile business environment, changes in tariffs and trade policies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favorable terms could have a material adverse effect on Boundless Bio’s growth strategy, financial performance and stock price and could require Boundless Bio to delay or abandon clinical development plans. In addition, there is a risk that one or more of Boundless Bio’s current service providers, financial institutions, manufacturers, and other partners may be adversely affected by the foregoing risks, which could directly affect Boundless Bio’s ability to attain its operating goals on schedule and on budget.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trade policies, including tariffs, sanctions, and trade barriers may adversely affect Boundless Bio’s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operates in a global economy, which includes utilizing third-party suppliers in countries outside the United States. There is inherent risk, based on the complex relationships among the U.S. and the countries in which Boundless Bio conducts its business, that political, diplomatic, and national security factors can lead to global trade restrictions and changes in trade policies and export regulations that may adversely affect Boundless Bio’s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Boundless Bio’s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own or operate manufacturing facilities and has no plans to develop its own clinical or commercial-scale manufacturing capabilities. If the Merger is not completed and Boundless Bio continues to develop any ecDTx, Boundless Bio expects to continue to rely on third parties for the manufacture of its ecDTx and related raw materials and to package, label, ship, store, and distribute its ecDTx for clinical and preclinical development, and Boundless Bio intends to rely on third parties for such services for its commercial products if its ecDTx receives regulatory approval. Boundless Bio expects to work with some suppliers located outside of the United States if Boundless Bio continues to develop any ecDTx. Boundless Bio also may rely on specialized laboratory equipment, supplies and materials, all or part of which Boundless Bio believes may be ultimately sourced from multiple countries outside the United States, to advance its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Current or future tariffs could result in increased research and development expenses, including with respect to increased costs associated with active pharmaceutical ingredients, raw materials, laboratory equipment, and other research materials and components. In addition, such tariffs could increase Boundless Bio’s supply chain complexity and could also potentially disrupt its existing supply chain. Trade restrictions affecting the import of materials necessary for clinical trials could result in delays to Boundless Bio’s development timelines. Increased development costs and extended development timelines could place Boundless Bio at a competitive disadvantage compared to companies operating entirely domestically or in regions with more favorable trade relationships and could reduce investor confidence, negatively impacting its ability to secure additional financing on favorable terms or at all. In addition, if Boundless Bio advances toward commercialization in the future, tariffs and trade restrictions could hinder its ability to establish cost-effective production capabilities, negatively impacting its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complexity of announced or future tariffs may also increase the risk that Boundless Bio or its suppliers or future customers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Boundless Bio’s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 restrictions or trade barriers, which could restrict Boundless Bio from doing business directly or indirectly in or with certain countries or parties and may impose additional costs and complexity to Boundless Bio’s business. </w:t>
      </w:r>
    </w:p>
    <w:p>
      <w:pPr>
        <w:pStyle w:val="TextBody"/>
        <w:bidi w:val="0"/>
        <w:spacing w:before="240" w:after="0"/>
        <w:jc w:val="left"/>
        <w:rPr>
          <w:rFonts w:ascii="Times New Roman" w:hAnsi="Times New Roman"/>
          <w:sz w:val="20"/>
        </w:rPr>
      </w:pPr>
      <w:r>
        <w:rPr>
          <w:rFonts w:ascii="Times New Roman" w:hAnsi="Times New Roman"/>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Boundless Bio’s business, financial condition, results of operations and prospects. While Boundless Bio actively monitors these risks, any prolonged economic downturn, escalation in trade tensions, or deterioration in international perception of U.S.-based companies could materially and adversely affect Boundless Bio’s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may materially adversely affect Boundless Bio’s financial condition, results of operations and cash flows, or adversely impact the value of an investment in Boundless 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or interpreted, changed, modified, or applied adversely to Boundless Bio, any of which could adversely affect its business operations and financial performance. For example, in July 2025, the U.S. government enacted the OBBBA, which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IRS and other tax authorities with respect to any legislation may affect Boundless Bio, and certain aspects of such legislation could be repealed or modified in future legislation. In addition, it is uncertain if and to what extent various states will conform to federal tax legislation. Changes in corporate tax rates, the realization of net deferred tax assets relating to Boundless Bio’s operations, and the deductibility of expenses, or future reform legislation could have a material impact on the value of Boundless Bio’s deferred tax assets, could result in significant one-time charges, and could increase Boundless Bio’s future U.S.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or publish unfavorable research or reports about Boundless Bio’s business,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Boundless Bio Common Stock depends in part on the research and reports that securities or industry analysts publish about Boundless Bio, its business, its market, or its competitors. If one or more of the analysts who covers Boundless Bio downgrades its stock, or if Boundless Bio fails to meet the expectations of one or more of these analysts, its stock price would likely decline. If one or more of these analysts ceases to cover Boundless Bio or fails to regularly publish reports on Boundless Bio, interest in its stock could decrease, which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Boundless Bio fails to maintain proper and effective internal control over financial reporting, its ability to produce accurate and timely financial statements could be impaired, investors may lose confidence in Boundless Bio’s financial reporting, and the trading price of Boundless Bio Common Stock may decline.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404 of the Sarbanes-Oxley Act, Boundless Bio’s management is required to report upon the effectiveness of its internal control over financial reporting, and when Boundless Bio loses its status as an “emerging growth company” and does not qualify as a non-accelerated filer, its independent registered public accounting firm will be required to attest to the effectiveness of its internal control over financial reporting. The rules governing the standards that must be met for Boundless Bio’s management to assess its internal control over financial reporting are complex and require significant documentation, testing, and possible remediation.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or, if required, its auditors are unable to conclude that its internal control over financial reporting is effective, investors may lose confidence in Boundless Bio’s financial reporting and the trading price of Boundless Bio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cannot assure you that there will not be material weaknesses or significant deficiencies in its internal control over financial reporting in the future. Any failure to maintain internal control over financial reporting could severely inhibit Boundless Bio’s ability to accurately report its financial condition, results of operations or cash flows. If Boundless Bio is unable to conclude that its internal control over financial reporting is effective, or if its independent registered public accounting firm determines Boundless Bio has a material weakness or significant deficiency in its internal control over financial reporting once that firm begins its Section 404 reviews, investors may lose confidence in the accuracy and completeness of Boundless Bio’s financial reports, the market price of Boundless Bio Common Stock could decline, and Boundless Bio could be subject to legal proceedings or sanctions or investigations by Nasdaq, the SEC, or other regulatory authorities. Failure to remedy any material weakness in Boundless Bio’s internal control over financial reporting, or to implement or maintain other effective control systems required of public companies, could also restrict its future access to the capital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Boundless Bio because biotechnology and biopharmaceutical companies have experienced significant stock price volatility in recent years. If Boundless Bio faces such litigation, even if ultimately decided in its favor, it could result in substantial costs and a diversion of its management’s attention and resources, which could harm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Serapha’s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is a clinical-stage genetic medicines company with a limited operating history on which to assess its business; Serapha has not completed any clinical trials, and it has no products approved for commercial sale, which may make it difficult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with limited operating history. Since its inception, Serapha has incurred operating losses with no corresponding revenue and has utilized substantially all of its resources to identify, license and develop its only product candidate, organize and staff its company and provide other general and administrative support for its operations. Serapha has no significant experience as a company in initiating, conducting or completing preclinical studies or clinical trials. In part because of this lack of experience, Serapha cannot be certain that its clinical trials and any future preclinical studies will begin or be completed on time, if at all. In addition, Serapha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Serapha’s future success or viability may not be as accurate as they could be if Serapha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Serapha’s business grows, Serapha may encounter unforeseen expenses, restrictions, difficulties, complications, delays and other known and unknown factors. Serapha will need to transition at some point from a company with an early-stage clinical development focus to a company capable of supporting larger scale clinical trials and eventually commercial activities. Serapha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the Serapha Pre-Closing Financing are successful, Serapha will require substantial additional capital to finance its operations in the future. If Serapha is unable to raise such capital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needed, or on acceptable terms, Serapha may be forced to delay, reduce and/or discontinue development of SERP-01 or its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Serapha expects its expenses to increase in connection with its ongoing activities, particularly as Serapha conducts clinical trials of, and seeks regulatory approval for, SERP-01, conducts any future preclinical studies, advances discovery efforts with respect to future product candidates, and advances any future programs and product candidates that Serapha may license. Even if one or more of the product candidates that Serapha develops is approved for commercial sale, Serapha anticipates incurring significant costs associated with sales, marketing, manufacturing and distribution activities to launch any such product. Serapha’s expenses could increase beyond expectations if Serapha is required by the FDA or other regulatory agencies to perform preclinical studies or clinical trials in addition to or more expansive than those that Serapha currently anticipates. Because the design and outcome of Serapha’s planned and anticipated clinical trials are highly uncertain, Serapha cannot reasonably estimate the actual amount of funding that will be necessary to successfully complete the development and commercialization of any product candidate Serapha develops. Serapha’s future capital requirements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design, progress, results and costs of clinical development for SERP-01 and any discovery or preclinical and clinical development of future product candidates;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clinical and commercial-scale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defending and enforcing Serapha’s intellectual property and proprietary rights, and defending intellectual property-related claims, including claims of infringement, misappropriation or other violations of third-party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the regulatory review of Serapha’s product candidates and obtaining the requisite regulatory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Serapha’s future commercialization activities, either on its own or in collaboration with others, including product sales, marketing, manufacturing, and distribution for any product candidate for which Serapha receives regulatory approval;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product candidates for which Serapha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Serapha’s current or future collaborations, including its collaboration with Shanghai Yaotang Biotechnology Co., Ltd. (also known as YolTech Therapeutics Co., Ltd.) (“YolTech”) pursuant to the Exclusive License Agreement (the “YolTech License Agreement”) with YolTech and other parties thereto;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ability to establish and maintain additional collaborations on favorable terms, if at all;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Serapha acquires or in-licenses products, intellectual property and technologies;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operational, financial and management information systems and associated personnel; and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Serapha will require substantial additional funding to continue its operations. As of June 30, 2026, Serapha had cash of $138.0 million ($53.0 million after giving effect to the payment to YolTech for the upfront YolTech License Agreement fee of $85.0 million). Serapha’s existing cash balance, excluding the Serapha Pre-Closing Financing, will not be sufficient to sustain planned operations through at least twelve months from the issuance date of this proxy statement/prospectus. However, Serapha estimates that the net proceeds from the Serapha Pre-Closing Financing, together with its existing cash as of the date of this proxy statement/prospectus, will be sufficient to enable Serapha to fund its operating expenses and capital expenditure requirements into      . Even if the Merger and the Serapha Pre-Closing Financing are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will still need to raise additional capital to continue to fund its operations in the future. If Serapha is unable to raise additional capital when needed, that could raise substantial doubt about Serapha’s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Serapha may be required to seek additional funds sooner than planned through public or private equity offerings, debt financings, collaborations and licensing arrangements or other sources, and adequate additional financing may not be available to Serapha on acceptable terms, or at all. Such financing may dilute Serapha’s stockholders, or the failure to obtain such financing may restrict Serapha’s operating activities. Any additional fundraising efforts may divert Serapha’s management from their day-to-day activities, which may adversely affect Serapha’s business. To the extent that Serapha raises additional capital through the sale of equity or convertible debt securities, the ownership interest of Serapha’s stockholders will be diluted, and the terms may include liquidation or other preferences and anti-dilution protections that adversely affect the rights of Serapha’s stockholders. Debt financing may result in the imposition of debt covenants, increased fixed payment obligations or other restrictions that may affect Serapha’s business. If Serapha raises additional funds through upfront payments or milestone payments pursuant to current or future collaborations with third parties, Serapha may have to relinquish valuable rights to Serapha’s product candidates, or grant licenses on terms that are not favorable to Serapha. Serapha’s ability to raise additional capital may be adversely impacted by global macroeconomic conditions, including geopolitical instability and changes in trade policy and tariffs, and volatility in the credit and financial markets in the United States and worldwide. Serapha’s failure to raise capital as and when needed or on acceptable terms would have a negative impact on Serapha’s financial condition and Serapha’s ability to pursue its business strategy, and Serapha may have to delay, reduce the scope of, suspend or eliminate one or more of its product candidates, clinical trials or future commercialization efforts or cease Serapha’s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expects to continue to incur losses for the foreseeable future and may not be able to achieve or sustain profitability in the future. Serapha has no products approved for sale, has not generated any revenue from its product candidates and may never generate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Serapha has no products approved for commercial sale, has not generated any revenue from product sales to date, and continues to incur significant research and development and other expenses related to Serapha’s ongoing operations. Serapha does not expect to generate product revenue unless or until Serapha successfully completes preclinical and clinical development and obtains regulatory approval of, and then successfully commercializes, at least one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may never succeed in these activities and, even if it does, may never generate revenues that are significant or large enough to achieve profitability. If Serapha is unable to raise sufficient additional capital to advance a product candidate to commercialization or generate sufficient revenue through the sale of any approved products, Serapha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Serapha has incurred significant net losses in each period since it commenced operations in April 2026. Serapha generated net losses of $170.1 million for the period from April 2, 2026 (inception) to June 30, 2026. As of June 30, 2026, Serapha had an accumulated deficit of $170.1 million. Serapha expects to continue to incur losses for the foreseeable future. Serapha’s operating expenses and net losses may fluctuate significantly from quarter to quarter and year to year. Serapha anticipates that its expenses will increase substantially if and as Serapha: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any future product candidates through preclinical and clinical development;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product candidates;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Serapha’s intellectual property portfolio;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75"/>
        <w:gridCol w:w="110"/>
        <w:gridCol w:w="60"/>
        <w:gridCol w:w="6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Serapha’s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payments to YolTech under the YolTech License Agreement, and under any additional future collaboration or license agreements that Serapha enters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drug products for which Serapha may obtain regulatory approval, either on its own or in collaboration with others;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Serapha receives regulatory approval, if any;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personnel, including personnel to support Serapha’s product development;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clinical and commercial-scale current good manufacturing practice (“cGMP”) capabilities through third parties or Serapha’s own manufacturing facility; and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Serapha’s expenses will increase if, among other things, it is required by the FDA or other regulatory authorities to perform clinical trials or studies in addition to, or different than, those that Serapha currently anticipates, there are any delays in completing Serapha’s clinical trials or the development of any of its product candidates, or there are any third-party challenges to Serapha’s intellectual property or Serapha needs to defend against any intellectual property-related claim. </w:t>
      </w:r>
    </w:p>
    <w:p>
      <w:pPr>
        <w:pStyle w:val="TextBody"/>
        <w:bidi w:val="0"/>
        <w:spacing w:before="240" w:after="0"/>
        <w:jc w:val="left"/>
        <w:rPr>
          <w:rFonts w:ascii="Times New Roman" w:hAnsi="Times New Roman"/>
          <w:sz w:val="20"/>
        </w:rPr>
      </w:pPr>
      <w:r>
        <w:rPr>
          <w:rFonts w:ascii="Times New Roman" w:hAnsi="Times New Roman"/>
          <w:sz w:val="20"/>
        </w:rPr>
        <w:t xml:space="preserve">Even if Serapha obtains regulatory approval for, and is successful in commercializing, one or more of Serapha’s product candidates, Serapha expects to incur substantial additional research and development and other expenditures to develop and market additional product candidates and/or to expand the approved indications of any marketed product. Serapha may encounter unforeseen expenses, difficulties, complications, delays and other unknown factors that may adversely affect its business. The size of Serapha’s future net losses will depend, in part, on the rate of future growth of Serapha’s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Serapha’s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Serapha’s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faces competition from entities that have developed or may develop product candidates for the diseases addressed by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drugs is highly competitive, particularly in the field of genetic medicines and in the treatment of alpha-1 antitrypsin deficiency (“AATD”). SERP-01, if approved, will face significant competition and Serapha’s failure to effectively compete may prevent Serapha from achieving significant market penetration. Serapha competes with a variety of multinational biopharmaceutical companies, specialized biotechnology companies and emerging biotechnology companies, including companies that market approved augmentation therapies for AATD, such as Grifols, S.A., Takeda Pharmaceutical Company Limited and CSL Behring, companies developing genetic medicines for AATD, such as Beam Therapeutics Inc., CRISPR Therapeutics AG, Prime Medicine, Inc. and Tessera Therapeutics, Inc. (in collaboration with Regeneron Pharmaceuticals, Inc.), companies pursuing RNA-based approaches, such as Wave Life Sciences Ltd. and Arrowhead Pharmaceuticals, Inc. (in collaboration with Takeda Pharmaceutical Company Limited),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academic institutions, governmental agencies, and public and private research institutions, among others. Many of the companies with which Serapha is currently competing or will compete against in the future have significantly greater financial resources and expertise in research and development, manufacturing, preclinical testing, conducting clinical trials, obtaining regulatory approvals, and regulatory-approved products than Serapha does, and are further along in the clinical development and/or commercialization process. Mergers and acquisitions in the pharmaceutical and biotechnology industry may result in even more resources being concentrated among a smaller number of Serapha’s competitors. Smaller or early-stage companies may also prove to be significant competitors, particularly through collaborative arrangements with large and established companies. For example, several of Serapha’s competitors are collaborations between larger pharmaceutical companies and genetic-medicines companies, including the collaborations between Regeneron Pharmaceuticals, Inc. and Tessera Therapeutics, Inc., and between Takeda Pharmaceutical Company Limited and Arrowhead Pharmaceuticals, Inc. These competitors also compete with Serapha in recruiting and retaining qualified scientific and management personnel, establishing clinical trial sites, raising capital, patient registration for clinical trials, establishing and defending rights to intellectual property, as well as in acquiring technologies complementary to, or necessary for, Serapha’s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Serapha’s competitors have developed or are developing, and may in the future develop, product candidates or products competitive with Serapha’s product candidates. Competitive therapeutic treatments include those that have already been approved and accepted by the medical community and any potential new treatments, including those currently under clinical development. Serapha’s success will depend partially on its ability to develop and commercialize products that have a competitive safety, efficacy, dosing and/or presentation profile. Serapha’s commercial opportunity and success will be reduced or eliminated if competing products are safer, more effective, have a more attractive dosing profile or presentation or are less expensive than the products Serapha develops, or if Serapha’s competitors develop competing products or biosimilars that enter the market more quickly than Serapha does and are able to gain market acceptance. Conversely, the lack of commercial success of other competing therapies may raise concerns about the financial viability of Serapha’s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the competitive landscape for genetic diseases, including AATD, Serapha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Serapha’s product candidates. An increase in the number of approved products for the indications Serapha is targeting with its product candidates will likely further exacerbate this competition. Serapha’s inability to enroll a sufficient number of patients could, among other impacts, delay Serapha’s development timeline, which may further harm Serapha’s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SERP-01 is in the clinical stages of development and SERP-01 and Serapha’s future product candidates may fail in development or suffer delays that materially and adversely affect Serapha’s viability. If Serapha or its current or future collaborators are unable to complete development of or commercialize Serapha’s product candidates, or experience significant delays in doing so, Serapha’s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Serapha has no commercially approved products. SERP-01 is in the clinical stages of development, and Serapha has not completed any clinical trials. As a result, Serapha expects it will be many years before Serapha commercializes any product candidate, if ever. Serapha’s ability to achieve and sustain profitability depends on obtaining regulatory approvals for, and successfully commercializing, Serapha’s product candidates, either alone or with third parties, and Serapha cannot guarantee you that it will ever obtain regulatory approval for any of its product candidates. Serapha has not yet demonstrated its ability to complete any clinical trials, obtain regulatory approvals, manufacture a commercial-scale product or arrange for a third party to do so on Serapha’s behalf, or conduct sales and marketing activities necessary for successful product commercialization. Before obtaining regulatory approval for the commercial distribution of any product candidate, Serapha or an existing or future collaborator must conduct extensive preclinical tests and clinical trials to demonstrate the safety and efficacy in humans of the product candidate.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or its collaborators may experience delays in initiating or completing preclinical studies or clinical trials. Serapha or its collaborators also may experience numerous unforeseen events during, or as a result of, any future preclinical studies or clinical trials that Serapha could conduct that could delay or prevent Serapha’s ability to receive regulatory approval or commercialize its product candidates,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such as the FDA, institutional review boards (“IRBs”) or comparable foreign regulatory authorities, may not authorize Serapha or its investigators to commence a clinical trial or conduct a clinical trial at a prospective trial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deviate from the trial protocol, fail to conduct trials in a compliant manner or drop out of a trial, which may require that Serapha add new clinical trial sites or investigators or otherwise negatively impact the timing or integrity of Serapha’s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 may fail to show safety or efficacy, or may produce negative or inconclusive results and Serapha may decide, or regulators may require Serapha, to conduct additional preclinical studies or clinical trials or Serapha may decide to abandon a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product candidates may be larger than Serapha anticipates, enrollment in these clinical trials may be slower than Serapha anticipates or subjects may drop out of these clinical trials or fail to return for post-treatment follow-up at a higher rate than Serapha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third-party contractors may fail to comply with regulatory requirements or meet their contractual obligations to Serapha in a timely manner, or at all, or may deviate from the clinical trial protocol or suffer other quality or performance issues that negatively impact the timing or integrity of Serapha’s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may elect to, or regulators, IRBs or ethics committees may require, that Serapha or its investigators, suspend or terminate clinical research or trials for various reasons, including noncompliance with regulatory requirements or a finding that the participants in Serapha’s clinical trials are being exposed to unacceptable health risks;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Serapha’s product candidates may be greater than Serapha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Serapha’s product candidates or other materials necessary to conduct clinical trials of Serapha’s product candidates may be inadequate to initiate or successfully complete a given clinical trial;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may be unable to manufacture sufficient quantities of its product candidates for use in clinical trials;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concerns about Serapha’s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may fail to establish an appropriate safety profile for a product candidate based on clinical or preclinical data for such product candidates as well as data emerging from other therapies in the same class as Serapha’s product candidates;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Serapha to submit additional data, such as long-term toxicology studies, or impose other requirements before permitting Serapha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investigational new drug application (“IND”) and finalizing the trial design based on discussions with the FDA. Commencing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Serapha to complete additional preclinical studies or Serapha is required to satisfy other FDA or foreign regulatory authority requests prior to commencing clinical trials, the start of Serapha’s first clinical trial for a product candidate may be delayed. Although the FDA has cleared the IND permitting the initiation of the U.S. Phase 2/3 clinical trial of SERP-01, the FDA may impose a clinical hold or require additional information, studies or protocol modifications before or after the trial commences. Even after Serapha receives and incorporates guidance from these regulatory authorities, the FDA or other regulatory authorities could disagree as to whether Serapha has satisfied their requirements to commence any clinical trial or change their position on the acceptability of Serapha’s trial design or the clinical endpoints selected, which may require Serapha to complete additional preclinical studies or clinical trials, delay the enrollment of Serapha’s clinical trials or impose stricter approval conditions than Serapha currently expects. There are analogous processes and risks applicable to clinical trial applications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Serapha may not have the financial resources to continue development of its product candidates if Serapha experiences any issues that delay or prevent regulatory approval of, or Serapha’s ability to commercialize, its product candidates. Serapha or its current or future collaborators’ inability to complete development of, or commercialize, Serapha’s product candidates, or significant delays in doing so, could have a material and adverse effect on Serapha’s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substantially dependent on the success of SERP-01, and Serapha’s anticipated future clinical trials of such product candidate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Serapha’s future success is substantially dependent on its ability to timely obtain regulatory approval for, and then successfully commercialize, SERP-01. Serapha is initially investing a majority of its efforts and financial resources into the research and development of this product candidate. Serapha intends to initiate a U.S. Phase 2/3 clinical trial of SERP-01 in patients with AATD, building on the ongoing investigator-initiated trial of SERP-01 being conducted at Renji Hospital in Shanghai, China, in collaboration with Hannover Medical School in Hanover, Germany. In March 2026, the FDA cleared the IND for SERP-01 submitted by YolTech, permitting the U.S. Phase 2/3 clinical trial of SERP-01. In August 2026, pursuant to the YolTech License Agreement, YolTech transferred sponsorship of the IND to Serapha, and Serapha currently expects to initiate that trial in late 2026 or early 2027. Clearance of an IND does not mean that the FDA has agreed with Serapha’s proposed trial design, dose selection or endpoints, that the trial will be initiated or completed on Serapha’s anticipated timeline, or that any resulting data will be adequate to support registration. The success of SERP-01 is dependent on SERP-01 achieving a precise, durable correction of the SERPINA1 E342K (Z) mutation in hepatocytes that restores production of functional M-AAT and reduces misfolded Z-AAT, with an acceptable safety and tolerability profile. To the extent Serapha does not observe adequate and durable restoration of functional serum AAT, or does not observe an acceptable safety, tolerability, pharmacokinetic and pharmacodynamic profile, in Serapha’s planned clinical trials of SERP-01 or in additional clinical trials, it would significantly and adversely affect the clinical and commercial potential of SERP-01. </w:t>
      </w:r>
    </w:p>
    <w:p>
      <w:pPr>
        <w:pStyle w:val="TextBody"/>
        <w:bidi w:val="0"/>
        <w:spacing w:before="240" w:after="0"/>
        <w:jc w:val="left"/>
        <w:rPr>
          <w:rFonts w:ascii="Times New Roman" w:hAnsi="Times New Roman"/>
          <w:sz w:val="20"/>
        </w:rPr>
      </w:pPr>
      <w:r>
        <w:rPr>
          <w:rFonts w:ascii="Times New Roman" w:hAnsi="Times New Roman"/>
          <w:sz w:val="20"/>
        </w:rPr>
        <w:t xml:space="preserve">Serapha’s product candidates will require additional clinical development, evaluation of clinical, preclinical and manufacturing activities, regulatory approval in multiple jurisdictions, substantial investment and significant marketing efforts before Serapha generates any revenues from product sales. Serapha is not permitted to market or promote these product candidates, or any other product candidates, before Serapha receives regulatory approval from the FDA and comparable foreign regulatory authorities, and Serapha may never receive such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Serapha’s product candidates will depend on a variety of factors. Serapha does not have complete control over many of these factors, including certain aspects of clinical development and the regulatory submission process, potential threats to Serapha’s intellectual property rights, potential threats from the intellectual property rights of third parties and the manufacturing, marketing, distribution and sales efforts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or future collaborator. Accordingly, Serapha cannot assure you that it will ever be able to generate revenue through the sale of these product candidates, even if approved. If Serapha is not successful in obtaining regulatory approval and commercializing SERP-01 or future product candidates, or is significantly delayed in doing so, Serapha’s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SERP-01 is based on a novel base-editing technology, and few genome-editing products have been approved, which makes the likelihood, timing and cost of successful development, regulatory approval and commercialization uncertain. </w:t>
      </w:r>
    </w:p>
    <w:p>
      <w:pPr>
        <w:pStyle w:val="TextBody"/>
        <w:bidi w:val="0"/>
        <w:spacing w:before="120" w:after="0"/>
        <w:jc w:val="left"/>
        <w:rPr>
          <w:rFonts w:ascii="Times New Roman" w:hAnsi="Times New Roman"/>
          <w:sz w:val="20"/>
        </w:rPr>
      </w:pPr>
      <w:r>
        <w:rPr>
          <w:rFonts w:ascii="Times New Roman" w:hAnsi="Times New Roman"/>
          <w:sz w:val="20"/>
        </w:rPr>
        <w:t xml:space="preserve">SERP-01 uses </w:t>
      </w:r>
      <w:r>
        <w:rPr>
          <w:rFonts w:ascii="Times New Roman" w:hAnsi="Times New Roman"/>
          <w:i/>
          <w:sz w:val="20"/>
        </w:rPr>
        <w:t>in vivo</w:t>
      </w:r>
      <w:r>
        <w:rPr>
          <w:rFonts w:ascii="Times New Roman" w:hAnsi="Times New Roman"/>
          <w:sz w:val="20"/>
        </w:rPr>
        <w:t xml:space="preserve"> adenine base editing, a novel form of genome editing, to make a permanent change to a patient’s DNA. Genome editing is a relatively new technology, and only a limited number of genome-editing or gene therapy products have been approved by the FDA or comparable foreign regulatory authorities to date. As a result, there is limited long-term clinical experience with, and an evolving regulatory framework for, products of this kind, and the FDA and comparable foreign regulatory authorities may apply new or additional requirements, or lengthy and unpredictable review processes, to SERP-01. Adverse developments, clinical setbacks, safety concerns or negative regulatory determinations involving other companies’ genome-editing or gene therapy product candidates, even if unrelated to SERP-01, could adversely affect the perception and regulatory treatment of SERP-01, increase regulatory scrutiny of Serapha’s programs, and harm Serapha’s ability to develop and commercialize SERP-01.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SERP-01 is designed to make a permanent, one-time edit to a patient’s genome that cannot be reversed, and any adverse effects may be irreversible and could persist for the life of the patient. </w:t>
      </w:r>
    </w:p>
    <w:p>
      <w:pPr>
        <w:pStyle w:val="TextBody"/>
        <w:bidi w:val="0"/>
        <w:spacing w:before="120" w:after="0"/>
        <w:jc w:val="left"/>
        <w:rPr>
          <w:rFonts w:ascii="Times New Roman" w:hAnsi="Times New Roman"/>
          <w:sz w:val="20"/>
        </w:rPr>
      </w:pPr>
      <w:r>
        <w:rPr>
          <w:rFonts w:ascii="Times New Roman" w:hAnsi="Times New Roman"/>
          <w:sz w:val="20"/>
        </w:rPr>
        <w:t xml:space="preserve">SERP-01 is administered as a single, one-time intravenous course of treatment and is designed to make a permanent change to the SERPINA1 gene in a patient’s hepatocytes. Unlike therapies that are administered on a chronic basis and can be discontinued if a patient experiences adverse effects, the genomic changes made by SERP-01 cannot be removed, corrected or reversed once they have occurred. If unexpected, serious or long-term adverse effects emerge, whether from the intended edit, from unintended edits, from the base-editing machinery or from the delivery system, Serapha may be unable to reverse or mitigate those effects, and affected patients could suffer serious harm that persists for the remainder of their lives. The irreversible nature of SERP-01 may also make patients, clinicians, institutional review boards and regulators more cautious about initiating clinical trials or adopting the product, if approved, and could increase Serapha’s exposure to product liability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does not achieve its projected development objectives in the time frames Serapha announces and expects, the commercialization of its product candidates may be delayed, which may harm Serapha’s reputation and prospects, increase its expenses and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Serapha estimates the timing of the anticipated accomplishment of various scientific, clinical, regulatory and other product development goals, which Serapha sometimes refers to as milestones. These milestones may include the commencement or completion of scientific studies and clinical trials, such as the expected timing for the initiation of Serapha’s U.S. Phase 2/3 clinical trial of SERP-01 in patients with AATD, which Serapha currently expects to initiate in late 2026 or early 2027, the timing for receipt of clinical data from Serapha’s clinical trials of SERP-01 and the timing for the submission of regulatory filings. From time to time, Serapha may publicly announce the expected timing of some of these milestones. All of these milestones are and will be based on numerous assumptions. The actual timing of these milestones can vary dramatically compared to Serapha’s estimates, in many cases for reasons beyond Serapha’s control. If Serapha does not meet these milestones as publicly announced, or at all, Serapha’s prospects and reputation may be adversely affected and the Combined Company’s stock price may decline. Additionally, delays relative to Serapha’s projected timelines are likely to cause overall expenses to increase, which may require Serapha to raise additional capital sooner than expected and prior to achieving targeted development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Serapha’s projections regarding the market opportunities for its product candidates may not be accurate, and the actual market for Serapha’s products may be smaller than Serapha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precise incidence and prevalence for all the conditions Serapha aims to address with its product candidates are unknown. Serapha’s projections of both the number of people who have these diseases, as well as the subset of people with these diseases who have the potential to benefit from treatment with Serapha’s product candidates, are based on Serapha’s beliefs and estimates. These estimates have been derived from a variety of sources, including sales of Serapha’s competitors, scientific literature, surveys of clinics, patient foundations or market research, and may prove to be incorrect in general, or as to their applicability to Serapha. Further, new trials may change the estimated incidence or prevalence of these diseases. The total addressable market across all of Serapha’s product candidates will ultimately depend upon, among other things, the diagnosis criteria included in the final labeling for each of Serapha’s product candidates approved for sale for these indications, the ability of Serapha’s product candidates to improve on the safety, convenience, cost and efficacy of competing therapies or therapies in development, acceptance by the medical community and patients, drug pricing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Serapha intends to initially seek regulatory approval of SERP-01 as a treatment for patients with the severe, PiZZ form of AATD. The number of patients in the United States and other major markets may turn out to be lower than expected, patients may not be otherwise amenable to treatment with Serapha’s product candidates or new patients may become increasingly difficult to identify or gain access to, all of which would adversely affect Serapha’s business, financial condition, results of operations and prospects. Serapha may be unable to penetrate the existing AATD market and successfully commercialize its product candidates, if approved. Further, even if Serapha obtains significant market share for Serapha’s product candidates, because some of its potential target populations are very small, Serapha may never achieve profitability despite obtaining such significant market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market for AATD therapies may fail to continue its growth, or may shrink, which could affect the commercial viability of Serapha’s product candidates and could negatively impact revenues from any approved products. For example, the market for existing augmentation therapies may contract, and this could cause Serapha’s business to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involves a lengthy and expensive process that is subject to delays and with uncertain outcomes, and results of earlier studies and trials may not be predictive of future clinical trial results. If Serapha’s clinical trials and any future preclinical studies are not sufficient to support regulatory approval of any of its product candidates, Serapha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 from regulatory authorities for the sale of any product candidate, Serapha must conduct extensive clinical trials to demonstrate the safety and efficacy of Serapha’s product candidate in humans. Serapha’s clinical trials may not be conducted as planned or completed on schedule, if at all, and failure can occur at any time during the preclinical study or clinical trial process.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cannot be sure that the FDA or comparable foreign regulatory authorities will agree with Serapha’s clinical development plans. If the FDA or comparable foreign regulatory authorities require Serapha to conduct additional trials or enroll additional patients, Serapha’s development timelines may be delayed. Although the FDA cleared the IND for SERP-01 permitting initiation of a U.S. Phase 2/3 clinical trial, Serapha cannot be sure that other submissions of an IND, or clearance of an IND, or similar foreign applications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 xml:space="preserve">in vivo </w:t>
      </w:r>
      <w:r>
        <w:rPr>
          <w:rFonts w:ascii="Times New Roman" w:hAnsi="Times New Roman"/>
          <w:sz w:val="20"/>
        </w:rPr>
        <w:t xml:space="preserve">or </w:t>
      </w:r>
      <w:r>
        <w:rPr>
          <w:rFonts w:ascii="Times New Roman" w:hAnsi="Times New Roman"/>
          <w:i/>
          <w:sz w:val="20"/>
        </w:rPr>
        <w:t xml:space="preserve">in vitro </w:t>
      </w:r>
      <w:r>
        <w:rPr>
          <w:rFonts w:ascii="Times New Roman" w:hAnsi="Times New Roman"/>
          <w:sz w:val="20"/>
        </w:rPr>
        <w:t xml:space="preserve">data to support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Serapha’s product candidates for use in clinical trials or the inability to do any of the foregoing; failure by Serapha’s CROs, other third parties or Serapha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Serapha’s contract development manufacturing organizations (“CDMOs”) or Serapha to make any necessary changes to such manufacturing process; and third parties being unwilling or unable to satisfy their contractual obligations to Serapha. </w:t>
      </w:r>
    </w:p>
    <w:p>
      <w:pPr>
        <w:pStyle w:val="TextBody"/>
        <w:bidi w:val="0"/>
        <w:spacing w:before="240" w:after="0"/>
        <w:jc w:val="left"/>
        <w:rPr>
          <w:rFonts w:ascii="Times New Roman" w:hAnsi="Times New Roman"/>
          <w:sz w:val="20"/>
        </w:rPr>
      </w:pPr>
      <w:r>
        <w:rPr>
          <w:rFonts w:ascii="Times New Roman" w:hAnsi="Times New Roman"/>
          <w:sz w:val="20"/>
        </w:rPr>
        <w:t xml:space="preserve">Serapha could also encounter delays if a clinical trial is suspended or terminated by Serapha,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Serapha’s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Serapha is required to conduct additional clinical trials or other testing of its product candidates beyond those that Serapha currently contemplates, if Serapha is unable to successfully complete clinical trials of its product candidates, if the results of these trials are not positive or are only moderately positive or if there are safety concerns, Serapha’s business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find it difficult to enroll and maintain patients in its clinical trials, in part due to the limited number of patients and significant competition for patients who have the diseases for which SERP-01 is being developed. If Serapha encounters difficulties enrolling patients in its expected clinical trial of SERP-01 or other future clinical trials, Serapha’s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Serapha may experience difficulties in patient enrollment in its future clinical trials for a variety of reasons. The timely completion of clinical trials in accordance with their protocols depends, among other things, on Serapha’s ability to enroll a sufficient number of patients who remain in the trial until its conclusion. In particular, because Serapha is initially focused on developing product candidates for indications for which there is significant competition for recruiting patients, Serapha may encounter challenges for patient enrollment when Serapha commences clinical trials for its product candidates. Further, plasma-derived augmentation therapy is the current approved treatment option directed at the underlying AAT deficiency, other genetic-medicine and RNA-based product candidates for AATD are in clinical development, and patients may decide, or physicians may recommend, to use approved treatments or to enroll in competitors’ clinical trials instead of enrolling in Serapha’s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enrollment of patients in future trials for any of Serapha’s product candidates will depend on many factors, including: </w:t>
      </w:r>
    </w:p>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efficacy of approved drugs for the disease under investigation;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eligibility and exclusion criteria for the trial in question;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and clinicians’ perceived risks and benefits of the product candidate under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patients choose to enroll in clinical trials, rather than using approved products, or if Serapha’s competitors have ongoing clinical trials for product candidates that are under development for the same indications as Serapha’s product candidates, and patients instead enroll in such clinical trials;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and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prospective patients by clinical trial sites.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number of patients required for clinical trials of Serapha’s product candidates may be larger than Serapha anticipates. Even if Serapha is able to enroll a sufficient number of patients for its future clinical trials, Serapha may have difficulty maintaining patients in its clinical trials. Serapha’s inability to enroll or maintain a sufficient number of patients would result in significant delays in completing clinical trials or receipt of regulatory approvals and increased development costs or may require Serapha to abandon one or more clinical trials altogether, which could cause Serapha’s value to decline, limit its ability to obtain additional financing and otherwise harm Serapha’s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Serapha’s clinical trials that Serapha announces or publishes from time to time may change as more patient data become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Serapha may publicly disclose preliminary or topline data from its future preclinical studies and clinical trials, which are based on a preliminary analysis of then-available data. The results and related findings and conclusions are subject to change following a more comprehensive review of the data. Serapha also makes assumptions, estimations, calculations and conclusions as part of its analyses of these data without the opportunity to fully and carefully evaluate complete data. As a result, the preliminary or topline results that Serapha reports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preliminary or topline data should be viewed with caution until the final data are available. From time to time, Serapha may also disclose interim data from its future preclinical studies and clinical trials. Interim data are subject to the risk that one or more of the clinical outcomes may materially change as patient enrollment continues and more patient data become available or as patients from Serapha’s clinical trials continue other treatments. Further, others, including regulatory authorities, may not accept or agree with Serapha’s assumptions, estimates, calculations, conclusions or analyses or may interpret or weigh the importance of data differently, which could impact the value of the particular product candidate, the approvability or commercialization of the particular product candidate and of Serapha as a company. In addition, the information Serapha chooses to publicly disclose regarding a particular preclinical study or clinical trial is based on what is typically extensive information, and you or others may not agree with what Serapha determines is material or otherwise appropriate information to include in Serapha’s disclosure. As a result, you or others may have reached different conclusions based on such extensive information in comparison to Serapha’s publicly disclosed conclusion regarding a particular preclinical study or clinical trial. If the preliminary, topline or interim data that Serapha reports differ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actual results, or if others, including regulatory authorities, disagree with the conclusions reached, Serapha’s ability to obtain approval for, and commercialize, Serapha’s product candidates may be harmed, which could harm Serapha’s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future clinical trials or those of its current or future collaborators may reveal significant adverse events or undesirable side effects not observed in previously conducted preclinical studies or clinical trials and may result in a safety profile that could halt clinical development, inhibit regulatory approval or limit commercial potential or market acceptance of any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of Serapha’s clinical trials could reveal a high or unacceptable severity and prevalence of side effects, adverse events or unexpected characteristics. Serapha has not yet completed any clinical trials in humans. If significant adverse events or other side effects are observed in any of Serapha’s future clinical trials, Serapha may have difficulty recruiting patients to such trials, patients may drop out of Serapha’s trials, or Serapha may be required to abandon the trials or Serapha’s development efforts of one or more product candidates altogether. For example, clinical trials of LNP-delivered base-editing product candidates have reported adverse events following dosing, including transient elevations in liver enzymes, some of which have been severe, and it is possible that patients in Serapha’s future clinical trials could exhibit hepatic or other adverse events, including adverse events attributable to the base-editing mechanism, the lipid nanoparticle delivery system or unintended off-target or bystander edits, that were not observed in the small number of patients dosed to date. Serapha,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SERP-01’s tolerability versus other therapies. Treatment-emergent adverse events could also affect patient recruitment or the ability of enrolled subjects to complete Serapha’s clinical trials or could result in potential product liability claims. Potential side effects associated with Serapha’s product candidates may not be appropriately recognized or managed by the treating medical staff, as toxicities resulting from Serapha’s product candidates may not be normally encountered in the general patient population and by medical personnel. Any of these occurrences could harm Serapha’s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Serapha successfully advances its product candidates or any future product candidate through clinical trials, such trials will only include a limited number of patients and limited duration of exposure to Serapha’s product candidates. As a result, Serapha cannot be assured that adverse effects of Serapha’s product candidates will not be uncovered when a significantly larger number of patients are exposed to the product candidate after approval. Further, any clinical trials may not be sufficient to determine the effect and safety consequences of using Serapha’s product candidates over a multi-year period. </w:t>
      </w:r>
    </w:p>
    <w:p>
      <w:pPr>
        <w:pStyle w:val="TextBody"/>
        <w:bidi w:val="0"/>
        <w:spacing w:before="240" w:after="0"/>
        <w:jc w:val="left"/>
        <w:rPr>
          <w:rFonts w:ascii="Times New Roman" w:hAnsi="Times New Roman"/>
          <w:sz w:val="20"/>
        </w:rPr>
      </w:pPr>
      <w:r>
        <w:rPr>
          <w:rFonts w:ascii="Times New Roman" w:hAnsi="Times New Roman"/>
          <w:sz w:val="20"/>
        </w:rPr>
        <w:t xml:space="preserve">If any of the foregoing events occur or if one or more of Serapha’s product candidates prove to be unsafe, Serapha’s entire pipeline could be affected, any of which would have a material adverse effect on Serapha’s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expend its limited resources to pursue a particular product candidate and fail to capitalize on product candidates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Serapha has limited financial and managerial resources, Serapha is focusing its research and development efforts on its only product candidate, SERP-01. As a result, Serapha may forgo or delay pursuit of opportunities with other product candidates that later prove to have greater commercial potential. Serapha’s resource allocation decisions may cause Serapha to fail to capitalize on viable commercial products or profitable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opportunities. Serapha’s spending on current and future research and development product candidates for specific indications may not yield any commercially viable product candidates. If Serapha does not accurately evaluate the commercial potential or target market for a particular product candidate, Serapha may relinquish valuable rights to that product candidate through collaboration, licensing or other royalty arrangements in cases in which it would have been more advantageous for Serapha to retain sole development and commercialization rights to such product candidate. In addition, Serapha may select product candidates amongst a variety of potential product candidates, and the product candidates Serapha selects may fail to be viable commercial products or the product candidates Serapha does not select may have a greater likelihood of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SERP-01 or any future product candidates are approved, such products may not achieve adequate market acceptance among clinicians, patients, healthcare third-party payors and others in the medical community necessary for commercial success and Serapha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SERP-01 or one of Serapha’s future product candidates, Serapha may not gain market acceptance among physicians, healthcare professionals, patients, healthcare payors or the medical community. Serapha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Serapha’s control. The only approved therapies directed at the underlying AAT deficiency are plasma-derived augmentation therapies, and a number of companies are developing genetic medicines and RNA-based product candidates for AATD, several of which are more advanced in clinical development than SERP-01. SERP-01 is a novel, one-time, </w:t>
      </w:r>
      <w:r>
        <w:rPr>
          <w:rFonts w:ascii="Times New Roman" w:hAnsi="Times New Roman"/>
          <w:i/>
          <w:sz w:val="20"/>
        </w:rPr>
        <w:t>in vivo</w:t>
      </w:r>
      <w:r>
        <w:rPr>
          <w:rFonts w:ascii="Times New Roman" w:hAnsi="Times New Roman"/>
          <w:sz w:val="20"/>
        </w:rPr>
        <w:t xml:space="preserve"> genome-editing therapy that makes a permanent change to a patient’s DNA, and market participants with significant influence over acceptance of new treatments, such as clinicians and third-party payors, may be hesitant to adopt a permanent, irreversible genome-editing therapy, or may prefer chronic therapies that can be discontinued, for Serapha’s targeted indication, and Serapha may not be able to convince the medical community and third-party payors to accept and use, or to provide favorable reimbursement for, any product candidates developed by Serapha or its existing or future collaborators. Market acceptance of Serapha’s product candidates may be negatively impacted by potential poor performance of Serapha’s competitors, including the occurrence of serious adverse events in such competitors’ clinical trials or failure by such competitors to obtain and maintain regulatory approval for their product candidates. Additionally, Serapha’s predictions regarding market acceptance or competitive profile with respect to SERP-01 may not be accurate and other competitive products may instead gain and hold the applicable market. Sales of medical products also depend on the willingness of clinicians to prescribe the treatment. Serapha cannot predict whether clinicians, clinicians’ organizations, hospitals, other healthcare providers, government agencies or private insurers will determine that Serapha’s product is safe, therapeutically effective, cost-effective or less burdensome as compared with competing treatments. If any current or future product candidate is approved but does not achieve an adequate level of acceptance by such parties, Serapha may not generate or derive sufficient revenue from that product candidate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plan to conduct clinical trials for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YolTech is conducting the ongoing investigator-initiated trial at Renji Hospital in Shanghai, China, in collaboration with Hannover Medical School in Hanover, Germany, evaluating the safety, tolerability and pharmacodynamic activity of SERP-01 in patients with PiZZ AATD, and Serapha may choose to conduct one or more of its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 acceptance of the data will depend on Serapha’s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Serapha’s development of the applicable product candidates or delay or prevent regulatory approval for commercialization in the applicable jurisdiction. Even if the FDA or any comparable foreign regulatory authority accepted such data, it could require Serapha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Serapha’s clinical trials. These risks include the failure of enrolled patients in foreign countries to adhere to clinical protocol as a result of differences in healthcare services or cultural customs that could restrict or limit Serapha’s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Serapha’s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 relies on collaborations and licensing arrangements with third parties, including YolTech. If Serapha is unable to maintain these collaborations or licensing arrangements, or if these collaborations or licensing arrangements are not successful, Serapha’s business could be negatively impacted. </w:t>
      </w:r>
    </w:p>
    <w:p>
      <w:pPr>
        <w:pStyle w:val="TextBody"/>
        <w:bidi w:val="0"/>
        <w:spacing w:before="120" w:after="0"/>
        <w:jc w:val="left"/>
        <w:rPr>
          <w:rFonts w:ascii="Times New Roman" w:hAnsi="Times New Roman"/>
          <w:sz w:val="20"/>
        </w:rPr>
      </w:pPr>
      <w:r>
        <w:rPr>
          <w:rFonts w:ascii="Times New Roman" w:hAnsi="Times New Roman"/>
          <w:sz w:val="20"/>
        </w:rPr>
        <w:t xml:space="preserve">Serapha relies on its collaboration with a third party, YolTech, for the rights necessary to develop and commercialize SERP-01 outside of Greater China. In the future, Serapha could also rely on additional licensing arrangements with third parties. For example, Serapha has entered into the YolTech License Agreement. However, YolTech could terminate the YolTech License Agreement under certain circumstances, including Serapha’s failure to make any payments owed to YolTech under the agreement or any uncured material breach of the agreement by Serapha, as well as certain patent challenges by Serapha or its affiliates or sublicensees, or specified periods of inactivity, in which event Serapha may lose intellectual property rights and may not be able to develop or commercialize SERP-01.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or licensing arrangements that Serapha enters into may not be successful, and any success will depend heavily on the efforts and activities of such collaborators or licensors. If any of Serapha’s collaborators or licensors experiences delays in performance of, or fails to perform, their obligations under their agreement with Serapha, disagrees with Serapha’s interpretation of the terms of such agreement or terminates their agreement with Serapha, Serapha’s pipeline and product candidates and development timeline could be adversely affected. If Serapha fails to comply with any of the obligations under its collaborations or license agreements, including payment terms and diligence terms, Serapha’s collaborators or licensors may have the right to terminate such agreements, in which event Serapha may lose intellectual property rights and may not be able to develop, manufacture, market or sell the products covered by Serapha’s agreements or may face other penalties under Serapha’s agreements. Serapha’s collaborators and licensors may also fail to properly maintain or defend the intellectual property Serapha has licensed from them, if required by Serapha’s agreement with them, leading to the potential invalidation of Serapha’s intellectual property, or they may even infringe upon Serapha’s intellectual property rights, any of which could subject Serapha to litigation or arbitration, which would be time-consuming and expensive and could harm Serapha’s ability to commercialize its product candidates. In addition, collaborators could independently develop, or develop with third parties, products that compete directly or indirectly with Serapha’s product candidates and products if the collaborators believe that the competitive products are more likely to be successfully developed or can be commercialized under terms that are more economically attractive than Serapha’s.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part of Serapha’s strategy, Serapha plans to evaluate additional opportunities to enhance its capabilities and expand its development pipeline or add development or commercialization capabilities. Serapha may not realize the benefits of such collaborations, alliances or licensing arrangements. Any of these relationships may require Serapha to incur non-recurring and other charges, increase Serapha’s near- and long-term expenditures, issue securities that dilute the Combined Company’s existing stockholders or disrupt Serapha’s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 may face significant competition in attracting appropriate collaborators, and more established companies may also be pursuing strategies to license or acquire third-party intellectual property rights that Serapha considers attractive. These companies may have a competitive advantage over Serapha due to their size, financial resources and greater clinical development and commercialization capabilities. In addition, companies may be unwilling to assign or license rights to Serapha, whether they perceive Serapha to be a competitor or for other reasons. Whether Serapha reaches a definitive agreement for a collaboration will depend, among other things, upon Serapha’s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Serapha may not be able to negotiate additional collaborations on a timely basis, on acceptable terms or at all. If Serapha fails to enter into collaborations and does not have sufficient funds or expertise to undertake the necessary development and commercialization activities, Serapha may not be able to further develop its product candidates or bring them to market. In addition, YolTech and two individuals affiliated with YolTech are defendants, together with Serapha, in the Beam Litigation, which could disrupt, delay or otherwise adversely affect YolTech’s ability or willingness to perform its obligations under the YolTech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associated with the in-licensing or acquisition of product candidates could cause substantial delays in the preclinical and clinical development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Serapha has relied and continues to rely on YolTech, and expects to rely on Serapha’s future licensing partners, to (i) conduct research and development in accordance with the applicable protocol, legal, regulatory and scientific standards, (ii) accurately report the results of all preclinical and clinical trials conducted prior to Serapha’s licensing or acquisition of the relevant product candidates and (iii) correctly collect and interpret the data from these trials. If the research and development processes or the results of the product candidates’ development prior to Serapha’s licensing or acquisition of Serapha’s product candidates prove to be unreliable, this could result in increased costs and delays in the development of Serapha’s product candidates, which could adversely affect any future revenue from such product candidates, if approved. </w:t>
      </w:r>
    </w:p>
    <w:p>
      <w:pPr>
        <w:pStyle w:val="TextBody"/>
        <w:bidi w:val="0"/>
        <w:spacing w:before="240" w:after="0"/>
        <w:jc w:val="left"/>
        <w:rPr>
          <w:rFonts w:ascii="Times New Roman" w:hAnsi="Times New Roman"/>
          <w:sz w:val="20"/>
        </w:rPr>
      </w:pPr>
      <w:r>
        <w:rPr>
          <w:rFonts w:ascii="Times New Roman" w:hAnsi="Times New Roman"/>
          <w:sz w:val="20"/>
        </w:rPr>
        <w:t>Serapha may also acquire or in-license additional product candidates for preclinical or clinical development in the future as Serapha continues to build its pipeline. The risks associated with acquiring or in-licensing product candidates could result in delays in the commencement or completion of Serapha’s preclinical studies and clinical trials, if they are ever commenced or completed, and Serapha’s ability to generate revenues from its product candidates may be delayed. Please see the section titled “</w:t>
      </w:r>
      <w:r>
        <w:rPr>
          <w:rFonts w:ascii="Times New Roman" w:hAnsi="Times New Roman"/>
          <w:i/>
          <w:sz w:val="20"/>
        </w:rPr>
        <w:t>Risk Factors—Risks Related to Serapha’s Intellectual Property—If Serapha is unable to obtain or maintain necessary rights to SERP-01 or its future product candidates through acquisitions and in-licenses, Serapha’s business may be materially harmed</w:t>
      </w:r>
      <w:r>
        <w:rPr>
          <w:rFonts w:ascii="Times New Roman" w:hAnsi="Times New Roman"/>
          <w:sz w:val="20"/>
        </w:rPr>
        <w:t xml:space="preserve">” below for additional information regarding such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currently relies, and plans to rely in the future, on third parties to conduct and support its future preclinical studies and clinical trials. If these third parties do not properly and successfully carry out their contractual duties or meet expected deadlines, Serapha may not be able to obtain regulatory approval of or commercialize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Serapha plans to utilize and depend upon independent investigators and collaborators, such as medical institutions, CROs, contract testing labs and strategic partners, to conduct and support Serapha’s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and future preclinical studies. Serapha will rely heavily on these third parties over the course of its preclinical studies and clinical trials, and Serapha controls only certain aspects of their activities. As a result, Serapha will have less direct control over the conduct, timing and completion of these preclinical studies and clinical trials and the management of data developed through preclinical studies and clinical trials than would be the case if Serapha were relying entirely upon its own staff. Nevertheless, Serapha is responsible for ensuring that each of its studies and trials is conducted in accordance with the applicable protocol, legal, regulatory and scientific standards, and Serapha’s reliance on these third parties does not relieve Serapha of its regulatory responsibilities. Serapha and its third-party contractors and CROs are required to comply with GCP, which are regulations and guidelines enforced by the FDA and comparable foreign regulatory authorities for all of Serapha’s product candidates in clinical development. If Serapha or any of these third parties fail to comply with applicable GCP regulations, the clinical data generated in Serapha’s clinical trials may be deemed unreliable and the FDA or comparable foreign regulatory authorities may require Serapha to perform additional clinical trials before approving Serapha’s marketing applications. Serapha cannot assure you that, upon inspection by a given regulatory authority, such regulatory authority will determine that any of Serapha’s clinical trials comply with GCP. In addition, Serapha’s clinical trials must be conducted with products manufactured in accordance with cGMP. Serapha’s failure to comply with these requirements may require Serapha to repeat clinical trials, which would delay the regulatory approval process. Moreover, Serapha’s business may be implicated if any of these third parties violates federal or state fraud and abuse or false claims laws and regulations or healthcare privacy and security laws, and foreign equivalents. </w:t>
      </w:r>
    </w:p>
    <w:p>
      <w:pPr>
        <w:pStyle w:val="TextBody"/>
        <w:bidi w:val="0"/>
        <w:spacing w:before="240" w:after="0"/>
        <w:jc w:val="left"/>
        <w:rPr>
          <w:rFonts w:ascii="Times New Roman" w:hAnsi="Times New Roman"/>
          <w:sz w:val="20"/>
        </w:rPr>
      </w:pPr>
      <w:r>
        <w:rPr>
          <w:rFonts w:ascii="Times New Roman" w:hAnsi="Times New Roman"/>
          <w:sz w:val="20"/>
        </w:rPr>
        <w:t xml:space="preserve">Any third parties conducting Serapha’s clinical trials will not be its employees and, except for remedies available to Serapha under its agreements with such third parties, Serapha cannot control whether they devote sufficient time and resources to Serapha’s product candidates. These third parties may encounter challenges hiring and retaining sufficient qualified personnel or they may be involved in mergers, acquisitions or similar transactions and may have relationships with other commercial entities, including Serapha’s competitors, for whom they may also be conducting clinical trials or other product development activities, which could negatively affect their performance on Serapha’s behalf and the timing thereof and could lead to products that compete directly or indirectly with Serapha’s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Serapha’s clinical protocols or regulatory requirements or for other reasons, Serapha’s clinical trials may be extended, delayed or terminated and Serapha may not be able to complete development of, obtain regulatory approval of or successfully commercialize its product candidates. In addition, Serapha relies on YolTech and may continue to rely on foreign CROs and CDMOs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in China is strictly regulated by the Chinese government. Changes to Chinese regulations or government policies affecting biopharmaceutical companies are unpredictable and may have a material adverse effect on Serapha’s collaborators in China, which could have an adverse effect on Serapha’s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United Kingdom, could also negatively impact Serapha’s ability to manufacture its product candidates for its planned clinical trials or have an adverse effect on its ability to secure government funding, which could adversely affect Serapha’s financial condition and cause Serapha to delay its clinical development of SERP-01 or its future product candidates. Furthermore, if one or more of Serapha’s collaborators or vendors in China is named a biotechnology company of concern under the BIOSECURE Act, which was enacted into law on December 18, 2025, Serapha’s operations and financial condition may be negatively impacted as a result of any delays or increased costs arising from the trade restrictions and other foreign regulatory requirements affecting such collaborators. In addition, while Serapha has established relationships with CROs and CDMOs outside of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China, moving to those suppliers in the event of geopolitical instability affecting Serapha’s collaborators in China could introduce delays into the development of SERP-01 or its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relies on the use of third-party CDMOs to manufacture Serapha’s product candidates, and Serapha expects to continue to rely on third-party CDMOs to produce Serapha’s products, if approved. Serapha’s business could be adversely affected if Serapha is unable to use third-party manufacturing sites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Serapha does not currently own any facility that may be used as Serapha’s clinical-scale manufacturing and processing facility and must rely on CDMOs to manufacture Serapha’s product candidates. Serapha has not yet caused its product candidates to be manufactured on a commercial scale and may not be able to do so for any of Serapha’s product candidates, if approved. If there should be any disruption in Serapha’s supply arrangements, including any adverse events affecting Serapha’s suppliers, or if Serapha experiences delays or difficulties in transferring, or is unable to successfully transfer, Serapha’s manufacturing processes, it could have a negative effect on the clinical development of Serapha’s product candidates and other operations while Serapha works to identify and qualify an alternate supply source. Serapha has limited control over the manufacturing process of, and may be dependent on, Serapha’s contract manufacturing partners for compliance with cGMP requirements and any other regulatory requirements of the FDA or comparable foreign regulatory authorities for the manufacture of Serapha’s product candidates. Beyond periodic audits, Serapha has limited control over the ability of its CDMOs to maintain adequate quality control, quality assurance and qualified personnel. If the FDA or another applicable regulatory authority does not approve these facilities for the manufacture of Serapha’s product candidates or withdraws any approval in the future, Serapha may need to find alternative manufacturing facilities, which would require the incurrence of significant additional costs and delays and materially adversely affect Serapha’s ability to develop, obtain regulatory approval for or market its product candidates, if approved. Serapha, or its future contract manufacturers, any current or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Serapha’s efforts to audit and verify regulatory compliance, one or more of Serapha’s third-party manufacturing vendors may be found on regulatory inspection by the FDA, competent authorities of EU Member States or other comparable foreign regulatory authorities to be noncompliant with cGMP regulations. Serapha’s failure, or the failure of Serapha’s CDMOs, to comply with applicable regulations could result in sanctions being imposed on Serapha,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Serapha’s product candidates or products, if approved, and harm Serapha’s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Serapha’s CDMOs may experience manufacturing difficulties due to resource constraints, supply chain issues, intellectual property disputes or as a result of labor disputes or unstable political environments. If any CDMOs on which Serapha will rely fail to manufacture quantities of Serapha’s product candidates at quality levels necessary to meet regulatory requirements and at a scale sufficient to meet anticipated demand at a commercially reasonable cost, Serapha’s business, financial condition and prospects could be materially and adversely affected. In addition, Serapha’s CDMOs are responsible for transporting temperature-controlled materials that can be inadvertently degraded during transport due to several factors, rendering certain batches unsuitable for trial use for failure to meet, among others, Serapha’s integrity and purity specifications. Serapha and any of its CDMOs may also face product seizure or detention or refusal to permit the import or export of products. Serapha’s business could be materially adversely affected by business disruptions to Serapha’s third-party providers that could materially adversely affect Serapha’s anticipated timelines, potential future revenue and financial condition and increase Serapha’s costs and expenses. Each of these risks could delay or prevent the completion of Serapha’s anticipated clinical trials and future preclinical studies or the approval of any of Serapha’s product candidates by the FDA or comparable foreign regulatory authorities, result in higher costs or adversely impact commercialization of Serapha’s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Serapha’s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Serapha will need to grow the size of its organization and Serapha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to experience significant growth in the number of its employees and the scope of Serapha’s operations, particularly in the areas of clinical drug development, technical operations, clinical operations and regulatory affairs. To manage its anticipated future growth, Serapha must continue to implement and improve its managerial, operational and financial personnel and systems, expand Serapha’s facilities and continue to recruit and train additional qualified personnel. Due to its limited financial resources and the limited experience of its management team working together in managing a company with such anticipated growth, Serapha may not be able to effectively manage the expansion of its operations or recruit and train additional qualified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highly dependent on its key personnel and anticipates hiring new key personnel. If Serapha is not successful in attracting and retaining highly qualified personnel, Serapha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Serapha’s ability to compete in the highly competitive biotechnology and pharmaceutical industries depends upon its ability to attract and retain highly qualified managerial, scientific and medical personnel. Serapha is highly dependent on Serapha’s managerial, scientific and medical personnel, including Serapha’s Chief Executive Officer and other key members of Serapha’s leadership team. Although Serapha has entered into employment agreements with Serapha’s executive officers, each of them may terminate their employment with Serapha at any time. Serapha does not maintain “key person” insurance for any of Serapha’s executives or other employees. The loss of the services of Serapha’s executive officers or other key employees could impede the achievement of Serapha’s research, development and commercialization objectives and seriously harm its ability to successfully implement its business strategy. Furthermore, replacing executive officers and key personnel may be difficult and may take an extended period of time. If Serapha does not succeed in attracting and retaining qualified personnel, it could materially adversely affect Serapha’s business, financial condition and results of operations. Serapha could in the future have difficulty attracting and retaining experienced personnel and may be required to expend significant financial resources in Serapha’s employee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future growth may depend, in part, on its ability to operate in foreign markets, where Serapha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Serapha’s future growth may depend, in part, on its ability to develop and commercialize its product candidates, if approved, in foreign markets for which Serapha may rely on collaboration with third parties. Recent and ongoing changes in U.S. trade policy with foreign countries, including the continued uncertainty surrounding U.S. tariffs and potential retaliatory measures by foreign governments, may disrupt the global supply chain for biopharmaceutical products. For example, in September 2025, the United States announced the imposition of up to 100% tariffs on imported branded or patented pharmaceuticals, unless the importing company is building U.S. manufacturing capacity. In early April 2026, the current administration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effective July 31, 2026. Imports of certain listed products from specific partner countries, including South Korea and the European Union, may be subject to reduced tariff rates. Certain tariff exemptions or zero-rate treatment may be available for products where all approved indications are designated as orphan, subject to applicable determinations, conditions and implementation guidance. Certain major drug producers and manufacturers are in negotiations with the U.S. Presidential Administration to receive relief from such tariffs. As a result of these negotiations, certain manufacturers, such as Pfizer, have announced their participation in a new direct purchasing platform called “TrumpRx.gov,” which allows U.S. patients to purchase certain medicines at significant discounts to current retail prices. The discounts may adversely affect revenue generated from participating drugs. The potential impact of this platform on Serapha’s business is unclear at this time. It is not yet clear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tariffs would apply to the importation of active pharmaceutical ingredients and possibly bulk drug products that are intended for use in clinical trials and not for commercial sale, which could increase the costs of materials for Serapha’s clinical trials. Any direct tariffs, if imposed on pharmaceutical products, may result in increased costs for raw materials and contract manufacturing services, reduced ability to source critical CDMOs, and a delay in Serapha’s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Serapha is not permitted to market or promote any of its product candidates before Serapha receives regulatory approval from the applicable foreign regulatory authority, and Serapha may never receive such regulatory approval for any of its product candidates. To obtain separate regulatory approval in many other countries, Serapha must comply with numerous and varying regulatory requirements of such countries regarding safety and efficacy and governing, among other things, clinical trials and commercial sales, pricing and distribution of Serapha’s product candidates, if approved, and Serapha cannot predict success in these jurisdictions. If Serapha fails to comply with the regulatory requirements in international markets and receive applicable regulatory approvals, Serapha’s target market will be reduced and Serapha’s ability to realize the full market potential of its product candidates will be harmed and its business will be adversely affected. Moreover, even if Serapha obtains approval of its product candidates and ultimately commercializes its product candidates in foreign markets, Serapha would be subject to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employees, independent contractors, consultants, commercial collaborators, principal investigators, CROs, CDMOs,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Serapha is exposed to the risk that its employees, independent contractors, consultants, commercial collaborators, principal investigators, CROs, CDMOs, suppliers and vendors acting for or on its behalf may engage in misconduct or other improper activities. Misconduct by these parties could include intentional, reckless or negligent conduct or disclosure of unauthorized activities to Serapha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Serapha’s reputation. Serapha has adopted a code of conduct, but it is not always possible to identify and deter misconduct by these parties and the precautions Serapha takes to detect and prevent this activity may not be effective in controlling unknown or unmanaged risks or losses or in protecting Serapha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internal information technology systems, or those of any of its CROs, manufacturers, other contractors or consultants, third-party service providers, or existing or future collaborators, may fail or suffer security or data privacy breaches or other unauthorized or improper access to, use of, or destruction of Serapha’s proprietary or confidential data, employee data or personal data, which could result in additional costs, loss of revenue, significant liabilities, harm to Serapha’s brand and material disruption of Serapha’s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Serapha and the third parties upon which Serapha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Serapha’s information, given their size and complexity and the increasing amounts of information maintained on Serapha’s internal information technology systems and those of Serapha’s third-party CROs, other contractors (including sites performing Serapha’s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Serapha’s employees, contractors, consultants, business partners and/or other third parties, or from cyber-attacks by malicious third parties, which may compromise Serapha’s system infrastructure or lead to the loss, destruction, alteration or dissemination of, or damage to, Serapha’s data. </w:t>
      </w:r>
    </w:p>
    <w:p>
      <w:pPr>
        <w:pStyle w:val="TextBody"/>
        <w:bidi w:val="0"/>
        <w:spacing w:before="240" w:after="0"/>
        <w:jc w:val="left"/>
        <w:rPr>
          <w:rFonts w:ascii="Times New Roman" w:hAnsi="Times New Roman"/>
          <w:sz w:val="20"/>
        </w:rPr>
      </w:pPr>
      <w:r>
        <w:rPr>
          <w:rFonts w:ascii="Times New Roman" w:hAnsi="Times New Roman"/>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Serapha, and the third parties upon which Serapha relies, may be vulnerable to a heightened risk of these attacks, including retaliatory cyber-attacks, that could materially disrupt Serapha’s systems and operations. In particular, severe ransomware attacks are becoming increasingly prevalent and can lead to significant interruptions in Serapha’s operations, loss of sensitive data and income, reputational harm, and diversion of funds. Extortion payments may alleviate the negative impact of a ransomware attack, but Serapha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disruption or security breach were to result in loss, destruction, unavailability, alteration or dissemination of, or damage to, Serapha’s data or applications, or for it to be believed or reported that any of these occurred, Serapha could incur liability and reputational damage and the development and commercialization of its product candidates could be delayed. Further, Serapha’s insurance policies may not be adequate to compensate Serapha for the potential losses arising from any such disruption in, or failure or security breach of, Serapha’s systems or third-party systems where information important to Serapha’s business operations or commercial development is stored. </w:t>
      </w:r>
    </w:p>
    <w:p>
      <w:pPr>
        <w:pStyle w:val="TextBody"/>
        <w:bidi w:val="0"/>
        <w:spacing w:before="240" w:after="0"/>
        <w:jc w:val="left"/>
        <w:rPr>
          <w:rFonts w:ascii="Times New Roman" w:hAnsi="Times New Roman"/>
          <w:sz w:val="20"/>
        </w:rPr>
      </w:pPr>
      <w:r>
        <w:rPr>
          <w:rFonts w:ascii="Times New Roman" w:hAnsi="Times New Roman"/>
          <w:sz w:val="20"/>
        </w:rPr>
        <w:t xml:space="preserve">Serapha’s hybrid workforce may create additional risks for its information technology systems and data because some employees of Serapha work remotely and utilize network connections, computers, and devices working at home, while in transit and in public locations. In addition, Serapha’s current office in New York may create risks for Serapha’s information technology systems and data. Additionally, business transactions (such as acquisitions or integrations) could expose Serapha to additional cybersecurity risks and vulnerabilities, as Serapha’s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Serapha has implemented security measures designed to protect against security incidents, there can be no assurance that these measures will be effective. Serapha may be unable in the future to detect vulnerabilities in its information technology systems because such threats and techniques change frequently, are often sophisticated in nature, and may not be detected until after a security incident has occurred. Further, Serapha may experience delays in developing and deploying remedial measures designed to address any such identified vulnerabilities. Applicable data privacy and security obligations may require Serapha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Serapha relies on third-party service providers and technologies to operate critical business systems to Process Sensitive Information in a variety of contexts. Serapha’s ability to monitor these third parties’ information security practices is limited, and these third parties may not have adequate information security measures in place. If its third-party service providers experience a security incident or other interruption, Serapha could experience adverse consequences. While Serapha may be entitled to damages if its third-party service providers fail to satisfy their privacy or security-related obligations to Serapha, any award may be insufficient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 its damages, or Serapha may be unable to recover such award. In addition, supply-chain attacks have increased in frequency and severity, and Serapha cannot guarantee that third parties’ infrastructure in Serapha’s supply chain or Serapha’s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Serapha (or a third party upon whom Serapha relies) experiences a security incident or is perceived to have experienced a security incident, Serapha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Serapha’s operations (including availability of data); financial loss; and other similar harms. Security incidents and attendant consequences may cause stakeholders (including investors and potential customers) to stop supporting Serapha’s platform, deter new customers from Serapha’s products, and negatively impact Serapha’s ability to grow and operate Serapha’s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Serapha’s contracts may not contain limitations of liability, and even where they do, there can be no assurance that limitations of liability in Serapha’s contracts are sufficient to protect Serapha from liabilities, damages, or claims related to its data privacy and security obligations. Serapha cannot be sure that its insurance coverage will be adequate or sufficient to protect Serapha from or to mitigate liabilities arising out of Serapha’s privacy and security practices, that such coverage will continue to be available on commercially reasonable terms or at all, or that such coverage will pay future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Serapha’s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and third parties Serapha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Serapha is and may become subject to the terms of contractual obligations related to privacy, data protection, and data security. Serapha’s obligations may also change or expand as its business grows. The actual or perceived failure by Serapha or third parties related to Serapha to comply with such laws, regulations and obligations could increase Serapha’s compliance and operational costs, expose Serapha to regulatory scrutiny, actions, fines and penalties, result in reputational harm, lead to a loss of customers, result in litigation and liability, and otherwise cause a material adverse effect on Serapha’s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fails to comply with environmental, health and safety laws and regulations, Serapha could become subject to fines or penalties or incur costs that could have a material adverse effect on the success of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is subject to numerous environmental, health and safety laws and regulations, including those governing laboratory procedures and the handling, use, storage, treatment and disposal of hazardous materials and wastes. Serapha’s operations may involve the use of hazardous and flammable materials, including chemicals and biological and radioactive materials. In addition, Serapha may incur substantial costs in order to comply with current or future environmental, health and safety laws and regulations. These current or future laws and regulations may impair Serapha’s research, development or commercialization efforts. Failure to comply with these laws and regulations also may result in substantial fines, penalties or other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Serapha. Serapha assesses the impact of various tax reform proposals and modifications to existing tax treaties in all jurisdictions where Serapha has operations to determine the potential effect on its business and any assumptions Serapha has made about its future taxable income. Serapha cannot predict whether any specific proposals will be enacted, the terms of any such proposals or what effect, if any, such proposals would have on Serapha’s business if they were to be enacted.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OBBBA, which includes a provision restoring the immediate deductibility of domestic research and development expenditures. The impact of this newly enacted law on Serapha’s tax position will depend on how the provision is implemented and interpreted by the IRS and other regulatory authorities. In addition, Serapha has no assurance as to whether, when and how this provision may be subject to further amendment or repeal. Such changes, among others, may adversely affect Serapha’s effective tax rate,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acquire businesses, product candidates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Serapha may acquire additional businesses or products, form strategic alliances, or create joint ventures with third parties that Serapha believes will complement or augment its existing business. If Serapha acquires businesses with promising markets or technologies, Serapha may not be able to realize the benefit of acquiring such businesses if Serapha is unable to successfully integrate them with its existing operations and company culture. Serapha may encounter numerous difficulties in developing, manufacturing and marketing any new product candidates or products resulting from a strategic alliance or acquisition that delay or prevent Serapha from realizing their expected benefits or enhancing Serapha’s business. There is no assurance that, following any such acquisition, Serapha will achieve the synergies expected in order to justify the transaction, which could result in a material adverse effect on Serapha’s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maintains its cash at financial institutions, often in balances that exceed federally insured limits. The failure of financial institutions could adversely affect Serapha’s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Serapha’s cash held in non-interest-bearing and interest-bearing accounts exceeds the FDIC insurance limits. If such banking institutions were to fail, Serapha could lose all or a portion of those amounts held in excess of such insurance limitations.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Serapha may experience in the future or inability for a material time period to access Serapha’s cash and cash equivalents could have an adverse effect on Serapha’s ability to pay its operational expenses or make other payments, which could adversely affect Serapha’s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Serapha’s Intellectual Property </w:t>
      </w:r>
    </w:p>
    <w:p>
      <w:pPr>
        <w:pStyle w:val="TextBody"/>
        <w:bidi w:val="0"/>
        <w:spacing w:before="120" w:after="0"/>
        <w:jc w:val="left"/>
        <w:rPr>
          <w:rFonts w:ascii="Times New Roman" w:hAnsi="Times New Roman"/>
          <w:sz w:val="20"/>
        </w:rPr>
      </w:pPr>
      <w:r>
        <w:rPr>
          <w:rFonts w:ascii="Times New Roman" w:hAnsi="Times New Roman"/>
          <w:b/>
          <w:i/>
          <w:sz w:val="20"/>
        </w:rPr>
        <w:t>Serapha has been named as a defendant in a lawsuit brought by Beam Therapeutics Inc. alleging trade secret misappropriation relating to SERP-01, which could result in substantial costs, significant damages or injunctive relief that could prevent or delay the development or commercialization of SERP-01.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September 25, 2026, Beam filed a complaint in the U.S. District Court for the District of Massachusetts against Serapha, YolTech and two individuals affiliated with YolTech, Dr. Wang and Dr. Wu. Beam is developing BEAM-302, a base editing product candidate for the treatment of AATD, and alleges that BEAM-302, if approved, would compete with SERP-01, if approved. The complaint alleges, among other things, that Dr. Wang, a former Beam employee, misappropriated Beam’s trade secrets relating to, among other things, lipid nanoparticle delivery, base editing and manufacturing, that YolTech used that information to develop YOLT-202, which Serapha in-licensed under the YolTech License Agreement and now refers to as SERP-01, and that Serapha has acquired and used, and will continue to use, that information through the YolTech License Agreement. Beam asserts claims against Serapha for trade secret misappropriation, tortious interference with contractual relations, unjust enrichment and unfair competition, and seeks, among other things, injunctive relief, an accounting and constructive trust, assignment of related intellectual property, compensatory and enhanced damages, and attorneys’ fees. Serapha believes the claims asserted against it are without merit and intends to defend itself vigorously. For additional information, see the section titled “</w:t>
      </w:r>
      <w:r>
        <w:rPr>
          <w:rFonts w:ascii="Times New Roman" w:hAnsi="Times New Roman"/>
          <w:i/>
          <w:sz w:val="20"/>
        </w:rPr>
        <w:t>Serapha’s Business — Legal Proceedings</w:t>
      </w:r>
      <w:r>
        <w:rPr>
          <w:rFonts w:ascii="Times New Roman" w:hAnsi="Times New Roman"/>
          <w:sz w:val="20"/>
        </w:rPr>
        <w:t xml:space="preserve">” beginning on page 308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Beam Litigation is at an early stage, and Serapha cannot predict its outcome or the timing of its resolution. Litigation of this nature is inherently uncertain, is often lengthy and expensive, and will divert the time and attention of Serapha’s small management team from the development of SERP-01 and its other business operations, regardless of the merits of the claims or the ultimate outcome. In addition, discovery in the Beam Litigation may require Serapha to disclose confidential information, and there is a risk that some of Serapha’s confidential information could be compromised. Serapha’s insurance may not cover all or any of the costs, damages or other liabilities that it may incur in connection with the Beam Litigation. </w:t>
      </w:r>
    </w:p>
    <w:p>
      <w:pPr>
        <w:pStyle w:val="TextBody"/>
        <w:bidi w:val="0"/>
        <w:spacing w:before="240" w:after="0"/>
        <w:jc w:val="left"/>
        <w:rPr>
          <w:rFonts w:ascii="Times New Roman" w:hAnsi="Times New Roman"/>
          <w:sz w:val="20"/>
        </w:rPr>
      </w:pPr>
      <w:r>
        <w:rPr>
          <w:rFonts w:ascii="Times New Roman" w:hAnsi="Times New Roman"/>
          <w:sz w:val="20"/>
        </w:rPr>
        <w:t xml:space="preserve">If the Beam Litigation is resolved adversely to Serapha, in whole or in part, Serapha could, among other things, be enjoined from developing, manufacturing or commercializing SERP-01 or from using CMC information or other know-how transferred by YolTech; be required to pay substantial damages, including exemplary or treble damages and attorneys’ fees; be subject to a constructive trust or other equitable relief with respect to the rights and benefits obtained through any alleged misappropriation or other wrongful conduct; or be required to obtain a license from Beam, which may not be available on commercially reasonable terms or at all, or to settle on burdensome terms. </w:t>
      </w:r>
    </w:p>
    <w:p>
      <w:pPr>
        <w:pStyle w:val="TextBody"/>
        <w:bidi w:val="0"/>
        <w:spacing w:before="240" w:after="0"/>
        <w:jc w:val="left"/>
        <w:rPr>
          <w:rFonts w:ascii="Times New Roman" w:hAnsi="Times New Roman"/>
          <w:sz w:val="20"/>
        </w:rPr>
      </w:pPr>
      <w:r>
        <w:rPr>
          <w:rFonts w:ascii="Times New Roman" w:hAnsi="Times New Roman"/>
          <w:sz w:val="20"/>
        </w:rPr>
        <w:t xml:space="preserve">Even before any final resolution of the Beam Litigation, Beam could seek preliminary injunctive relief although it has not done so as of the date of this proxy statement/prospectus. Any of the foregoing could have a material adverse effect on Serapha’s business, financial condition, results of operations and prospects and, following the Merger, on the Combined Company and the market price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Many of the allegations in the complaint concern the conduct of YolTech and Dr. Wang during periods before Serapha was incorporated in April 2026. Serapha has limited access to information regarding YolTech’s historical research and development activities, at least part of which were conducted in China, and Serapha does not control the defense of YolTech or the individual defendants. Actions taken by or with respect to YolTech or the individual defendants in the litigation, including any settlement, admission or adverse ruling, could adversely affect Serapha’s defense. Serapha relies on YolTech for, among other things, the transfer of CMC and other know-how relating to SERP-01 and the conduct of the ongoing IIT, and the Beam Litigation could disrupt, delay or otherwise adversely affect YolTech’s ability or willingness to perform its obligations under the YolTech License Agreement. Although the YolTech License Agreement provides that YolTech will indemnify Serapha for certain losses arising from third-party claims and permits Serapha to offset certain amounts against certain payments otherwise due to YolTech, these rights could be subject to limitations and may not be sufficient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 the costs, damages or other losses that Serapha may incur, and it may be difficult or costly for Serapha to enforce its rights against YolTech, a company organized and operating in the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complaint does not assert any claim of patent infringement, Beam has stated that it maintains an extensive patent portfolio covering its technologies, and Beam may amend its complaint to assert additional claims, including patent infringement claims, or commence additional proceedings against Serapha, YolTech or, following the Merger, the Combined Company. Other third parties may also assert similar claims. </w:t>
      </w:r>
    </w:p>
    <w:p>
      <w:pPr>
        <w:pStyle w:val="TextBody"/>
        <w:bidi w:val="0"/>
        <w:spacing w:before="240" w:after="0"/>
        <w:jc w:val="left"/>
        <w:rPr>
          <w:rFonts w:ascii="Times New Roman" w:hAnsi="Times New Roman"/>
          <w:sz w:val="20"/>
        </w:rPr>
      </w:pPr>
      <w:r>
        <w:rPr>
          <w:rFonts w:ascii="Times New Roman" w:hAnsi="Times New Roman"/>
          <w:sz w:val="20"/>
        </w:rPr>
        <w:t xml:space="preserve">Adverse developments in the Beam Litigation could also cause the market price of the Combined Company’s common stock to decline and impair its ability to raise capital and maintain key business relationships.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Serapha’s intellectual property portfolio is at an early stage. Serapha does not currently own any issued patents, and Serapha’s rights to SERP-01 are primarily in-licensed from YolTech. Therefore, Serapha’s ability to obtain and protect its patent rights, and protect other proprietary rights, is uncertain, exposing Serapha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Serapha will rely upon a combination of patents, trademarks, trade secret protection, copyrights and confidentiality agreements and the YolTech License Agreement to protect the intellectual property related to SERP-01 and related technologies and to prevent third parties from competing unfairly with Serapha. Serapha’s success depends in large part on its ability to obtain and maintain patent protection for Serapha’s product candidates and their uses, as well as Serapha’s ability to operate without infringing on or violating the proprietary rights of others. If Serapha is unable to obtain patent protection with respect to SERP-01, or any future product candidates, Serapha’s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Serapha’s intellectual property portfolio relating to SERP-01 and the proprietary adenine base editor used in SERP-01 consists primarily of rights in-licensed from YolTech, together with any rights Serapha may develop or acquire in the future. Serapha does not currently own any issued patents or pending patent applications. Serapha cannot provide assurances that any owned or in-licensed pending patent application will issue, the breadth of any resulting issued patent(s), or whether any issued patent(s) will be found to be invalid, unenforceable, or will be challenged by third parties. </w:t>
      </w:r>
    </w:p>
    <w:p>
      <w:pPr>
        <w:pStyle w:val="TextBody"/>
        <w:bidi w:val="0"/>
        <w:spacing w:before="240" w:after="0"/>
        <w:jc w:val="left"/>
        <w:rPr>
          <w:rFonts w:ascii="Times New Roman" w:hAnsi="Times New Roman"/>
          <w:sz w:val="20"/>
        </w:rPr>
      </w:pPr>
      <w:r>
        <w:rPr>
          <w:rFonts w:ascii="Times New Roman" w:hAnsi="Times New Roman"/>
          <w:sz w:val="20"/>
        </w:rPr>
        <w:t>Serapha in-licenses rights to five patent families from YolTech under the YolTech License Agreement. For more information, please see the section of this proxy statement/prospectus titled “</w:t>
      </w:r>
      <w:r>
        <w:rPr>
          <w:rFonts w:ascii="Times New Roman" w:hAnsi="Times New Roman"/>
          <w:i/>
          <w:sz w:val="20"/>
        </w:rPr>
        <w:t>Serapha’s Business—Intellectual Property.</w:t>
      </w:r>
      <w:r>
        <w:rPr>
          <w:rFonts w:ascii="Times New Roman" w:hAnsi="Times New Roman"/>
          <w:sz w:val="20"/>
        </w:rPr>
        <w:t xml:space="preserve">” The license does not grant Serapha rights to YolTech’s broader base-editing, editor-discovery or lipid nanoparticle delivery platforms, and, because the base-editing and genome-editing field is subject to substantial third-party patent activity, the development or commercialization of SERP-01 may require Serapha or YolTech to obtain additional licenses to third-party intellectual property, which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Serapha’s current patent portfolio consists of in-licensed patent applications, together with a single issued patent in China. Serapha’s owned or currently licensed, or future optioned, in-licensed or owned patent applications may not result in patents being issued. Any issued patents may not afford sufficient protection of Serapha’s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Serapha may license or own covering Serapha’s product candidates could be narrowed or found invalid or unenforceable if challenged in court or before administrative bodies in the United States or abroad, including the United States Patent and Trademark Office (the “USPTO”). If Serapha does not obtain patent coverage for the work Serapha is conducting, or if Serapha obtains such rights but they are invalidated or rendered unenforceable, Serapha may be unable to exclude competitors from pursuing and marketing the same or similar product candidates. Other risks Serapha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faces if it is not able to obtain and maintain patent coverage for Serapha’s product candidates are the reduction in valuation of its product candidates, and ultimately of Serapha as a company, by potential investors, and Serapha’s inability to assert claims for infringement against third parties or counterclaim against such third parties or negotiate more advantageous settlement parameters. Further, if Serapha encounters delays in its clinical trials or delays in obtaining regulatory approval, the period of time during which Serapha could market its product candidates under patent protection would be reduced. Thus, the patents that Serapha may own or license may not afford Serapha any meaningful exclusivity period or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Serapha may not be able to obtain or protect Serapha’s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Serapha’s intellectual property rights in some foreign jurisdictions can be less extensive than those in the United States; the reverse may also occur. For example, Serapha in-licenses from YolTech patent applications in the following foreign jurisdictions: Europe, Japan and South Korea. Government actions in certain jurisdictions, including those in which Serapha has licensed patent rights, may allow exploitation of intellectual property without the patent owner’s consent. For example, government decrees may allow third parties to exploit patented inventions without authorization, effectively eliminating patent protection in those territories. These actions could result in abandonment or lapse of future patents in the affected jurisdictions. Geopolitical actions in the United States and in foreign countries could increase the uncertainties and costs surrounding the prosecution or maintenance of future patent applications and the maintenance, enforcement, or defense of any future issued patents. As such, Serapha may not have patents in all countries or all major markets and may not be able to obtain patents in all jurisdictions even if Serapha or its licensor files patent applications to obtain such rights. Serapha’s competitors may operate in countries where Serapha does not have patent protection and may be able to freely use its technologies and discoveries in such countries, at least to the extent not forbidden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Serapha may also rely on trade secrets, including unpatented know-how, technology and other proprietary information, to maintain Serapha’s competitive position. Any disclosure, either intentional or unintentional, by Serapha’s employees, the employees of third parties with whom Serapha shares its facilities or third-party consultants and vendors that Serapha engages to perform research, clinical trials or manufacturing activities, or misappropriation by third parties (such as through a cybersecurity breach) of Serapha’s trade secrets or proprietary information could enable competitors to duplicate or surpass Serapha’s technological achievements, thus eroding Serapha’s competitive position in its market. In order to protect its proprietary technology and processes, Serapha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Serapha may need to share its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Serapha undertakes reasonable efforts to protect its trade secrets and other confidential information from disclosure, others may independently discover trade secrets and proprietary information, and in such cases, Serapha may not be able to assert any trade secret rights against such party. Costly and time-consuming litigation could be necessary to enforce and determine the scope of Serapha’s proprietary rights and failure to obtain or maintain trade secret protection could adversely affect Serapha’s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Serapha’s trademarks and trade names are not registered or adequately protected, then Serapha may not be able to build name recognition in its markets of interest and Serapha’s business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is dependent on intellectual property in-licensed from YolTech, and its failure to comply with its obligations under the license could result in loss of rights that are critical to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has in-licensed from YolTech intellectual property that is material to Serapha’s product candidates, including SERP-01. Serapha’s rights under the license are subject to its compliance with ongoing obligations, including payment, diligence and other obligations. If Serapha fails to comply with any such obligations, YolTech may have the right to terminate the license. Loss of Serapha’s rights to the in-licensed intellectual property could materially impair Serapha’s ability to develop and commercialize its product candidates, including SERP-01, and could allow competitors to access the same technology, which could have a material adverse effect on Serapha’s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is unable to obtain or maintain necessary rights to SERP-01 or its future product candidates through acquisitions and in-licenses, Serapha’s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Because SERP-01 currently does and Serapha’s product candidates may in the future require the use of proprietary rights held by third parties, the growth of Serapha’s business will depend in part on its ability to acquire, in-license, or use these third-party proprietary rights. Serapha may be unable to acquire or in-license any compositions, methods of use, processes or other third-party intellectual property rights from third parties that Serapha identifies as necessary for its product candidates. The licensing and acquisition of third-party intellectual property rights is a competitive area, and a number of more established companies may pursue strategies to license or acquire third-party intellectual property rights that Serapha may consider attractive or necessary. These established companies may have a competitive advantage over Serapha due to their size, capital resources and greater clinical development and commercialization capabilities. In addition, companies that perceive Serapha to be a competitor may be unwilling to assign or license rights to Serapha. Serapha also may be unable to license or acquire third-party intellectual property rights on terms that would allow Serapha to make an appropriate return on Serapha’s investment or at all. If Serapha is unable to successfully obtain rights to required third-party intellectual property rights or maintain intellectual property rights Serapha obtains in the future, Serapha may have to abandon development of its product candidates, which could have a material adverse effect on Serapha’s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While Serapha has the first right to control prosecution, maintenance, defense, and enforcement of certain product-specific patents and patent applications in-licensed under the YolTech License Agreement outside of Greater China (with YolTech having a step-in right with respect to prosecution, maintenance and defense), there may be times when rights for patents and patent applications relating to Serapha’s product candidates are controlled by Serapha’s future licensors or collaboration partners. If Serapha, YolTech or any of Serapha’s future licensors or collaboration partners fail to prosecute, defend, maintain and enforce such patents and patent applications in a manner consistent with Serapha’s best interests, including by payment of all applicable fees for patents covering its product candidates, Serapha could lose its rights to the intellectual property or its right to prosecute such patents and patent applications, Serapha’s ability to develop and commercialize those product candidates may be adversely affected and Serapha may not be able to prevent competitors from making, using and selling competing products. In addition, even if Serapha has the right to control prosecution and maintenance of patents and patent applications Serapha has licensed to and from third parties, Serapha may still be adversely affected or prejudiced by actions or inactions of YolTech, additional licensees, or licensors and their counsel in connection with patent prosecution. Further, Serapha does not have the right to control prosecution, maintenance, defense, and enforcement of certain patents and patent applications in-licensed under the YolTech License Agreement that are not product-specific or are related to YolTech’s broader base-editing, editor-discovery or lipid nanoparticle delivery platforms. </w:t>
      </w:r>
    </w:p>
    <w:p>
      <w:pPr>
        <w:pStyle w:val="TextBody"/>
        <w:bidi w:val="0"/>
        <w:spacing w:before="240" w:after="0"/>
        <w:jc w:val="left"/>
        <w:rPr>
          <w:rFonts w:ascii="Times New Roman" w:hAnsi="Times New Roman"/>
          <w:sz w:val="20"/>
        </w:rPr>
      </w:pPr>
      <w:r>
        <w:rPr>
          <w:rFonts w:ascii="Times New Roman" w:hAnsi="Times New Roman"/>
          <w:sz w:val="20"/>
        </w:rPr>
        <w:t xml:space="preserve">Serapha’s future licensors may not be the sole and exclusive owners of all rights in the patents Serapha may in-license. If other third parties have rights to Serapha’s future in-licensed patents, they may be able to license such patents to Serapha’s competitors, and Serapha’s competitors could market competing products and technology. This could have a material adverse effect on Serapha’s competitive position,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possible that Serapha may be unable to obtain licenses at a reasonable cost or on reasonable terms, if at all. Even if Serapha is able to obtain a license, it may be non-exclusive, thereby giving Serapha’s competitors access to the same technologies licensed to Serapha. In that event, Serapha may be required to expend significant time and resources to redesign Serapha’s product candidates, or the methods for manufacturing them or to develop or license replacement technology, all of which may not be feasible on a technical or commercial basis. If Serapha is unable to do so, Serapha may be unable to develop or commercialize the affected product candidates, which could harm Serapha’s business, financial condition, results of operations, and prospects significantly. Serapha cannot provide any assurances that third-party patents do not exist which might be enforced against Serapha’s product candidates, manufacturing methods or future products or methods resulting in either an injunction prohibiting Serapha’s manufacture or future sales, or, with respect to its future sales, an obligation on Serapha’s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Serapha and Serapha’s future licensors regarding intellectual property subject to a license agreement, including (but not limited to): the scope of rights granted under the license agreement and other interpretation-related issues; whether and the extent to which Serapha’s technology and processes infringe on intellectual property of the licensor that is not subject to the licensing agreement; Serapha’s right to sublicense patents and other rights to third parties; Serapha’s right to transfer or assign the license; the inventorship and ownership of inventions and know-how resulting from the joint creation or use of intellectual property by Serapha’s future licensors and Serapha and Serapha’s partners; and the priority of invention of patented technology. If Serapha or its future licensors breach the terms of Serapha’s license agreements, such breach may have a material adverse effect on Serapha’s business and the commercialization efforts for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 subject to intellectual property lawsuits or may need to file lawsuits to protect Serapha’s intellectual property, which could result in substantial costs and liability and prevent Serapha from commercializing Serapha’s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Serapha’s freedom to operate and guarantee that Serapha can operate without infringing on or violating third-party rights. If certain of Serapha’s product candidates are ultimately granted regulatory approval, patent rights held by third parties could be alleged to render one or more of Serapha’s product candidates infringing. If a third party successfully brings a claim against Serapha, and the third party’s rights are not held invalid or unenforceable, Serapha may be required to pay substantial damages, be forced to abandon any affected product candidate and/or seek a license from the third party. In addition, any intellectual property claims (e.g., patent infringement or trade secret misappropriation) brought against Serapha, whether or not successful, may cause Serapha to incur significant legal expenses and divert the attention of Serapha’s management and key personnel from other business concerns. Serapha cannot be certain that future patents, if filed and issued, owned or licensed by Serapha will not be challenged by others, whether in the course of litigation or in agencies like the USPTO. Some of Serapha’s competitors may be able to sustain the costs of complex intellectual property litigation more effectively than Serapha can because they have substantially greater resources. In addition, any uncertainties resulting from the initiation and continuation of any litigation could have a material adverse effect on Serapha’s ability to raise funds. For example, on September 25, 2026, Beam filed a complaint against Serapha, YolTech and two individuals affiliated with YolTech alleging, among other things, misappropriation of Beam’s trade secrets relating to, among other things, the development of SERP-01.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Serapha’s future patents, trademarks, copyrights or other intellectual property. To counter infringement or other violations, Serapha may be required to file claims, which can be expensive and time-consuming. Any such claims could provoke these parties to assert counterclaims against Serapha, including claims alleging that Serapha infringes their patents or other intellectual property rights. In addition, in a patent infringement proceeding, a court or administrative body may decide that one or more of Serapha’s future patents, if obtained and asserted, is invalid or unenforceable, in whole or in part, construe the patent’s claims narrowly or refuse to prevent the other party from using the technology at issue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grounds that Serapha’s patents do not cover the technology. Similarly, if Serapha asserts trademark infringement claims, a court or administrative body may determine that the marks Serapha has asserted are invalid or unenforceable or that the party against whom Serapha has asserted trademark infringement has superior rights to the marks in question. In such a case, Serapha could ultimately be forced to cease use of such marks. In any intellectual property litigation, even if Serapha is successful, any award of monetary damages or other remedy Serapha receives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Serapha may be required to protect its future patents, if filed and issued, through procedures created to attack the validity of a patent at the USPTO. An adverse determination in any such submission or proceeding could reduce the scope or enforceability of, or invalidate, Serapha’s patent rights, which could adversely affect Serapha’s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Serapha’s product candidates are found to infringe the intellectual property rights of third parties, these third parties may assert infringement claims against Serapha’s future licensees or customers and other parties with whom Serapha has business relationships and Serapha may be required to indemnify those parties for any damages they suffer as a result of these claims, which may require Serapha to initiate or defend protracted and costly litigation on behalf of licensees or other parties regardless of the merits of such claims. If any of these claims succeed, Serapha may be forced to pay damages on behalf of those parties or may be required to obtain licenses for the products Serapha uses.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Serapha’s intellectual property rights, there is a risk that some of Serapha’s confidential information could be compromised by disclosure during this type of litigation or other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success will depend in part on Serapha’s and Serapha’s current and future licensors’ ability to obtain, maintain and enforce patent protection for Serapha’s owned and licensed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Serapha’s success will depend in part on Serapha’s and its current and future licensors’ (including YolTech’s) ability to obtain, maintain and enforce patent protection for Serapha’s owned and licensed intellectual property. Serapha may not successfully prosecute Serapha’s current or future patent applications that cover Serapha’s product candidates. Even if patents are issued that are owned by Serapha, Serapha may fail to maintain these patents, or may determine not to pursue litigation against other companies that are infringing these patents. After entry into the YolTech License Agreement, Serapha controls the prosecution, maintenance, defense and enforcement of in-licensed product-specific patents and patent applications directed to SERP-01. Prior to entering into the YolTech License Agreement, YolTech held such rights. Serapha, YolTech and Serapha’s future licensors may not successfully prosecute the licensed patent applications that cover Serapha’s product candidates. Even if patents are issued in respect of these patent applications, Serapha and Serapha’s future licensors (including YolTech) may fail to maintain these patents, may determine not to pursue litigation against other companies that are infringing these patents, or may pursue such litigation less aggressively than Serapha would. Without protection for any owned or in-licensed intellectual property, other companies might be able to offer substantially identical products for sale, which could adversely affect Serapha’s competitive business position and harm Serapha’s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 subject to claims that Serapha has wrongfully hired an employee from a competitor or that Serapha’s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Serapha’s employees, Serapha engages the services of consultants to assist Serapha in the development of Serapha’s product candidates. Many of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consultants, and many of Serapha’s employees, were previously employed at, or may have previously provided or may be currently providing consulting services to, other biotechnology or pharmaceutical companies, including Serapha’s competitors or potential competitors. Serapha could in the future be subject to claims that Serapha or Serapha’s employees have inadvertently or otherwise used or disclosed alleged trade secrets or other confidential information of former employers or competitors. Although Serapha tries to ensure that its employees and consultants do not use the intellectual property, proprietary information, know-how or trade secrets of others in their work for Serapha, Serapha may become subject to claims that it caused an employee to breach the terms of his or her non-competition or non-solicitation agreement, or that Serapha or these individuals have, inadvertently or otherwise, used or disclosed the alleged trade secrets or other proprietary information of a former employer or competitor. Such claims may also be asserted with respect to the personnel of Serapha’s licensors, including YolTech. For example, the Beam Litigation alleges that Dr. Wang, a former Beam employee, misappropriated Beam’s trade secrets and that such information was used in the development of SERP-01. </w:t>
      </w:r>
    </w:p>
    <w:p>
      <w:pPr>
        <w:pStyle w:val="TextBody"/>
        <w:bidi w:val="0"/>
        <w:spacing w:before="240" w:after="0"/>
        <w:jc w:val="left"/>
        <w:rPr>
          <w:rFonts w:ascii="Times New Roman" w:hAnsi="Times New Roman"/>
          <w:sz w:val="20"/>
        </w:rPr>
      </w:pPr>
      <w:r>
        <w:rPr>
          <w:rFonts w:ascii="Times New Roman" w:hAnsi="Times New Roman"/>
          <w:sz w:val="20"/>
        </w:rPr>
        <w:t xml:space="preserve">While Serapha may litigate to defend against these claims, even if Serapha is successful, litigation could result in substantial costs and could be a distraction to management and other employees. If Serapha’s defenses to these claims fail, in addition to requiring Serapha to pay monetary damages, a court could prohibit Serapha from using technologies or features that are essential to Serapha’s product candidates, if such technologies or features are found to incorporate or be derived from the trade secrets or other proprietary information of the former employers. Moreover, any such litigation or the threat thereof may adversely affect Serapha’s reputation, its ability to form strategic alliances or sublicense Serapha’s rights to collaborators, engage with scientific advisors or hire employees or consultants, each of which would have an adverse effect on Serapha’s business, results of operations and financial condition. Even if Serapha is successful in defending against such claims, litigation could result in substantial costs and be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Serapha’s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Serapha’s owned and in-licensed patent applications and the maintenance, enforcement or defense of Serapha’s owned and in-licensed patent applications, if issued.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Serapha’s owned and licensed patent applications and the enforcement or defense of any resulting issued patents, all of which could have a material adverse effect on Serapha’s business, financial condition, results of operations and prospects. Additionally, there have been proposals for additional changes to the patent laws of the United States and other countries that, if adopted, could impact Serapha’s ability to enforce its proprietary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genetic medicines are particularly uncertain, and the law governing the scope and enforceability of patents in the genome-editing field is still developing. The U.S. Supreme Court and U.S. Court of Appeals for the Federal Circuit rulings have narrowed the scope of patent protection available in certain circumstances and weakened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of patent owners in certain situations. In addition, foundational patents relating to CRISPR and base-editing technologies are held or controlled by a number of academic institutions and companies, certain of which have exclusively licensed those rights to parties developing genetic medicines, including some of Serapha’s competitors, and the scope, validity and enforceability of those patents remain the subject of dispute and evolving case law.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Serapha’s patent rights and its ability to protect, defend and enforce its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Serapha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 </w:t>
      </w:r>
    </w:p>
    <w:p>
      <w:pPr>
        <w:pStyle w:val="TextBody"/>
        <w:bidi w:val="0"/>
        <w:spacing w:before="240" w:after="0"/>
        <w:jc w:val="left"/>
        <w:rPr>
          <w:rFonts w:ascii="Times New Roman" w:hAnsi="Times New Roman"/>
          <w:sz w:val="20"/>
        </w:rPr>
      </w:pPr>
      <w:r>
        <w:rPr>
          <w:rFonts w:ascii="Times New Roman" w:hAnsi="Times New Roman"/>
          <w:sz w:val="20"/>
        </w:rPr>
        <w:t xml:space="preserve">Serapha currently in-licenses certain European patent applications, and may obtain or license additional European patents and applications in the future. Such revocation and loss of patent protection could have a material adverse impact on Serapha’s business and its ability to commercialize or license its technology and products. Moreover, the controlling laws and regulations of the UPC will develop over time and may adversely affect Serapha’s ability to enforce or defend the validity of any European patents Serapha may obtain. Serapha, YolTech or any of Serapha’s future licensors or collaboration partners may decide to opt out from the UPC any future European patent applications that Serapha may file or in-license and any patents Serapha may obtain or in-license. If certain formalities and requirements are not met, however, such European patents and patent applications could be challenged for non-compliance and brought under the jurisdiction of the UPC. Serapha cannot be certain that future European patents and patent applications will avoid falling under the jurisdiction of the UPC, if Serapha, YolTech or any of Serapha’s future licensors or collaboration partners decides to opt out of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Serapha’s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annuity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Serapha, YolTech or any of Serapha’s future licensors or collaboration partners fails to maintain any future owned or licensed patents, if issued, or fails to maintain any current or future owned or licensed pending patent applications, covering Serapha’s product candidates, its competitive position would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may not identify relevant third-party patents or may incorrectly interpret the relevance, scope or expiration of a third-party patent, which might adversely affect Serapha’s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Serapha cannot guarantee that any of Serapha’s patent searches or analyses, including the identification of relevant patents, the scope of patent claims or the expiration of relevant patents, are complete or thorough, nor can Serapha be certain that it has identified each and every third-party patent and pending application in the United States and abroad that is relevant to or necessary for the commercialization of Serapha’s product candidates in any jurisdiction. The scope of a patent claim is determined by an interpretation of the law, the written disclosure in a patent, the patent’s prosecution history and in some cases certain extrinsic evidence of the meaning of terms in a claim. Serapha’s interpretation of the relevance or the scope of a patent or a pending application may be incorrect. For example, Serapha may incorrectly determine that its products are not covered by a third-party patent or may incorrectly predict whether a third party’s pending application will issue with claims of relevant scope. Serapha’s determination of the expiration date of any patent in the United States or abroad that Serapha considers relevant may be incorrect. Serapha’s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Serapha cannot be certain that others have not filed patent applications for technology covered by Serapha’s current or future, owned or licensed patent applications or patents, if issued, or that Serapha is the first to invent the technology. Serapha’s competitors may have filed, and may in the future file, patent applications covering Serapha’s products or technology similar to Serapha’s. Any such patent application may have priority over Serapha’s current or future, owned or licensed patent applications or patents, if issued, which could require Serapha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become subject to claims challenging the inventorship or ownership of Serapha’s patents, if issued,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 may be subject to claims that former employees, collaborators or other third parties have an interest in Serapha’s current pending patent application, or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Serapha’s product candidates or as a result of questions regarding co-ownership of potential joint inventions. Litigation may be necessary to resolve these and other claims challenging inventorship and/or ownership. Alternatively, or additionally, Serapha may enter into agreements to clarify the scope of Serapha’s rights in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If Serapha fails in defending any such claims, in addition to paying monetary damages, Serapha may lose valuable intellectual property rights, such as exclusive ownership of, or right to use, valuable intellectual property. Such an outcome could have a material adverse effect on Serapha’s business. Even if Serapha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Serapha’s current or future licensors may have relied on third-party consultants or collaborators or on funds from third parties, such as the U.S. government, such that Serapha’s licensors are not the sole and exclusive owners of the patents Serapha in-licensed. If other third parties have ownership rights or other rights to Serapha’s owned or in-licensed pending patent applications or future patents, if filed and issued, they may be able to license such patent applications or patents to Serapha’s competitors, and its competitors could market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and technology. This could have a material adverse effect on Serapha’s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Serapha’s competitive position of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the earliest U.S. non-provisional filing date. Various extensions may be available, but the life of a patent, and the protection it affords, is limited. Even if patents covering Serapha’s product candidates are obtained, once the patent life has expired, Serapha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Serapha’s owned and licensed patent portfolio may not provide Serapha with sufficient rights to exclude others from commercializing products similar or identical to Serapha’s.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technology licensed from various third parties may be subject to retained rights. </w:t>
      </w:r>
    </w:p>
    <w:p>
      <w:pPr>
        <w:pStyle w:val="TextBody"/>
        <w:bidi w:val="0"/>
        <w:spacing w:before="120" w:after="0"/>
        <w:jc w:val="left"/>
        <w:rPr>
          <w:rFonts w:ascii="Times New Roman" w:hAnsi="Times New Roman"/>
          <w:sz w:val="20"/>
        </w:rPr>
      </w:pPr>
      <w:r>
        <w:rPr>
          <w:rFonts w:ascii="Times New Roman" w:hAnsi="Times New Roman"/>
          <w:sz w:val="20"/>
        </w:rPr>
        <w:t>Serapha’s future licensors may retain certain rights under the relevant agreements with Serapha, including the right to use or license the licensed technology outside of the scope of Serapha’s license,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Serapha’s licensors limit their use of the technology to these uses, and Serapha could incur substantial expenses to enforce Serapha’s rights to its licensed technology in the event of misuse. In addition, while there are certain restrictions on YolTech’s ability to develop products that could be competitive with Serapha’s as more fully described in “</w:t>
      </w:r>
      <w:r>
        <w:rPr>
          <w:rFonts w:ascii="Times New Roman" w:hAnsi="Times New Roman"/>
          <w:i/>
          <w:sz w:val="20"/>
        </w:rPr>
        <w:t>Serapha’s Business—License and Collaboration Agreements—YolTech License Agreement</w:t>
      </w:r>
      <w:r>
        <w:rPr>
          <w:rFonts w:ascii="Times New Roman" w:hAnsi="Times New Roman"/>
          <w:sz w:val="20"/>
        </w:rPr>
        <w:t xml:space="preserve">” beginning on page 280 of this proxy statement/prospectus, these restrictions may not prevent the possible future license or development by YolTech of certain technology that could lead to product candidates competitive with Serapha’s. This could have a material adverse effect on Serapha’s competitive position,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Serapha is not able to obtain, or if there are delays in obtaining, required regulatory approvals for Serapha’s product candidates, Serapha will not be able to commercialize, or will be delayed in commercializing,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Serapha cannot commercialize product candidates in the United States without first obtaining regulatory approval from the FDA. Similarly, Serapha cannot commercialize product candidates outside of the United States without obtaining regulatory approval from comparable foreign regulatory authorities. Before obtaining regulatory approvals for the commercial sale of Serapha’s product candidates, including SERP-01, Serapha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Serapha’s product candidates may not be effective, may be only moderately effective, may prove to have undesirable or unintended side effects, toxicities or other characteristics, or may fail to improve on the applicable standard of care, any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preclude Serapha from obtaining regulatory approval. The FDA and comparable foreign regulatory authorities have discretion in the approval process and may refuse to accept any application or may decide that Serapha’s data are insufficient for approval and require additional preclinical, clinical or other data. Serapha’s product candidates could be delayed in receiving, or fail to receive, regulatory approval for many reasons, including: the FDA or comparable foreign regulatory authorities may disagree with the design or implementation of Serapha’s clinical trials; Serapha may be unable to demonstrate to the satisfaction of the FDA or comparable foreign regulatory authorities that a product candidate is safe and effective for Serapha’s proposed indication; the results of clinical trials may not meet the level of statistical significance required by the FDA or comparable foreign regulatory authorities for approval; serious and unexpected drug-related side effects may be experienced by participants in Serapha’s clinical trials or by individuals using drugs similar to its product candidates; Serapha may be unable to demonstrate that a product candidate’s clinical and other benefits outweigh Serapha’s safety risks; the FDA or comparable foreign regulatory authorities may disagree with Serapha’s interpretation of data from preclinical studies or clinical trials; the data collected from clinical trials of Serapha’s product candidates may not be acceptable or sufficient to support the submission of a biologics license application (“BLA”) or other submission or to obtain regulatory approval in the United States or elsewhere, and Serapha may be required to conduct additional clinical trials; the FDA or the applicable foreign regulatory authority may disagree regarding the formulation, labeling and/or the specifications of Serapha’s product candidates; the FDA or comparable foreign regulatory authorities may fail to approve the manufacturing processes or facilities of third-party manufacturers with which Serapha contracts for clinical and commercial supplies; and the approval policies or regulations of the FDA or comparable foreign regulatory authorities may significantly change in a manner rendering Serapha’s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Serapha failing to obtain regulatory approval to market Serapha’s product candidates, which would significantly harm Serapha’s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Serapha were to obtain approval, regulatory authorities may approve any of Serapha’s product candidates for fewer or more limited indications than Serapha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Serapha is not able to obtain, or if there are delays in obtaining, required regulatory approvals for Serapha’s product candidates, Serapha will not be able to commercialize, or will be delayed in commercializing, its product candidates, which could have a material adverse effect on Serapha’s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Serapha’s clinical development plans or prevent or delay approval of Serapha’s product candidates under development on a timely basis. Such policy or regulatory changes could impose additional requirements upon Serapha that could delay Serapha’s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Serapha’s business may be negatively impacted. Additionally, the federal government could adopt legislation, regulations or policies that adversely affect Serapha’s business or create a more challenging and costly environment to pursue the development, approval and commercialization of Serapha’s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Serapha may not be able to meet requirements for the chemistry, manufacturing and control of Serapha’s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Serapha’s products by the FDA and comparable foreign regulatory authorities, Serapha must show that it and Serapha’s contract manufacturing partners are able to characterize, control and manufacture Serapha’s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Serapha’s drug products meet stability requirements. Meeting these chemistry, manufacturing and control requirements is a complex task that requires specialized expertise. If Serapha is not able to meet the chemistry, manufacturing and control requirements, Serapha may not be successful in obtaining approval for its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product candidates for which Serapha intends to seek approval as biologics may face competition from biosimilars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Patient Protection and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left"/>
        <w:rPr>
          <w:rFonts w:ascii="Times New Roman" w:hAnsi="Times New Roman"/>
          <w:sz w:val="20"/>
        </w:rPr>
      </w:pPr>
      <w:r>
        <w:rPr>
          <w:rFonts w:ascii="Times New Roman" w:hAnsi="Times New Roman"/>
          <w:sz w:val="20"/>
        </w:rPr>
        <w:t xml:space="preserve">Serapha believes that any of Serapha’s product candidates approved as biologics under a BLA should qualify for the 12-year period of exclusivity. However, there is a risk that this exclusivity could be shortened due to congressional action or otherwise, or that the FDA will not consider Serapha’s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Serapha receives regulatory approval of Serapha’s product candidates, Serapha will be subject to extensive ongoing regulatory obligations and continued regulatory review, which may result in significant additional expense, and Serapha may be subject to penalties if it fails to comply with regulatory requirements or experiences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Serapha may receive for Serapha’s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Serapha’s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Serapha’s product candidates, Serapha’s product candidates and the activities associated with their development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Serapha conducts following approval. In addition, manufacturers of drug products and their facilities are subject to continual review and periodic, unannounced inspections by the FDA and other regulatory authorities for compliance with cGMPs. If Serapha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Serapha, including requiring recall or withdrawal of the product from the market or suspension of manufacturing, delays or restrictions on Serapha’s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Serapha or by any of Serapha’s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Serapha’s ability to commercialize its product candidates and generate revenue and could require Serapha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expects to be required to conduct long-term follow-up of patients treated with SERP-01, potentially for up to 15 years, which will impose substantial additional costs and operational burdens. </w:t>
      </w:r>
    </w:p>
    <w:p>
      <w:pPr>
        <w:pStyle w:val="TextBody"/>
        <w:bidi w:val="0"/>
        <w:spacing w:before="120" w:after="0"/>
        <w:jc w:val="left"/>
        <w:rPr>
          <w:rFonts w:ascii="Times New Roman" w:hAnsi="Times New Roman"/>
          <w:sz w:val="20"/>
        </w:rPr>
      </w:pPr>
      <w:r>
        <w:rPr>
          <w:rFonts w:ascii="Times New Roman" w:hAnsi="Times New Roman"/>
          <w:sz w:val="20"/>
        </w:rPr>
        <w:t xml:space="preserve">For human gene therapy products, including genome-editing products, the FDA recommends, and clinical trial protocols typically provide for, long-term follow-up observation of treated subjects to monitor for delayed adverse events, and for products that involve genome editing the recommended duration of such follow-up may be up to 15 years. Comparable foreign regulatory authorities may impose similar requirements. These long-term follow-up obligations will require Serapha to maintain contact with, and collect data from, treated patients over an extended period, and will impose substantial additional costs and operational and recordkeeping burdens. If patients are lost to follow-up, or if long-term follow-up reveals delayed or previously unrecognized adverse effects, Serapha’s ability to obtain or maintain regulatory approval for, and to commercialize, SERP-01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Serapha’s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regulatory filings and Serapha’s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Serapha’s operations may rely, including those that fund research and development activities, is subject to the political process, which is inherently fluid and unpredictable.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at the FDA and other agencies or comparable foreign regulatory authorities may also slow the time necessary for the review and approval of applications for clinical trial or marketing authorization, which would adversely affect Serapha’s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Serapha’s ability to progress development of its product candidates or obtain regulatory approval for its product candidates. If a prolonged government shutdown occurs, it could significantly impact the ability of the FDA to timely review and process Serapha’s regulatory submissions, which could have a material adverse effect on its business. Further, future government shutdowns could impact Serapha’s ability to access the public markets and obtain necessary capital in order to properly capitalize and continue Serapha’s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Serapha’s regulatory submissions, which could have a material adverse effect on Serapha’s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may face difficulties from healthcare and regulatory legislative reform measures. </w:t>
      </w:r>
    </w:p>
    <w:p>
      <w:pPr>
        <w:pStyle w:val="TextBody"/>
        <w:bidi w:val="0"/>
        <w:spacing w:before="120" w:after="0"/>
        <w:jc w:val="left"/>
        <w:rPr>
          <w:rFonts w:ascii="Times New Roman" w:hAnsi="Times New Roman"/>
          <w:sz w:val="20"/>
        </w:rPr>
      </w:pPr>
      <w:r>
        <w:rPr>
          <w:rFonts w:ascii="Times New Roman" w:hAnsi="Times New Roman"/>
          <w:sz w:val="20"/>
        </w:rPr>
        <w:t xml:space="preserve">Existing regulatory policies may change, and additional government regulations may be enacted that could prevent, limit or delay regulatory approval of Serapha’s product candidates. Serapha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Serapha is slow or unable to adapt to changes in existing requirements or the adoption of new requirements or policies, or if Serapha is not able to maintain regulatory compliance, Serapha may lose any regulatory approval that it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Serapha’s business operations and current and future arrangements with investigators, healthcare professionals, consultants, third-party payors, patient organizations and customers will be subject to applicable healthcare regulatory laws, which could expose Serapha to penalties. </w:t>
      </w:r>
    </w:p>
    <w:p>
      <w:pPr>
        <w:pStyle w:val="TextBody"/>
        <w:bidi w:val="0"/>
        <w:spacing w:before="120" w:after="0"/>
        <w:jc w:val="left"/>
        <w:rPr>
          <w:rFonts w:ascii="Times New Roman" w:hAnsi="Times New Roman"/>
          <w:sz w:val="20"/>
        </w:rPr>
      </w:pPr>
      <w:r>
        <w:rPr>
          <w:rFonts w:ascii="Times New Roman" w:hAnsi="Times New Roman"/>
          <w:sz w:val="20"/>
        </w:rPr>
        <w:t xml:space="preserve">Serapha’s business operations and current and future arrangements with investigators, healthcare professionals, consultants, third-party payors, patient organizations and customers may expose Serapha to broadly applicable fraud and abuse and other healthcare laws and regulations. These laws may constrain the business or financial arrangements and relationships through which Serapha conducts its operations, including how it researches, markets, sells and distributes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Ensuring that Serapha’s internal operations and future business arrangements with third parties comply with applicable healthcare laws and regulations will involve substantial costs. If Serapha’s operations are found to be in violation of any of these laws or any other governmental laws and regulations that may apply to Serapha,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Serapha’s operations. Further, defending against any such actions can be costly and time-consuming and may require significant personnel resources. Therefore, even if Serapha is successful in defending against any such actions that may be brought against it, Serapha’s business may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Serapha is able to commercialize any product candidates, due to unfavorable pricing regulations and/or third-party coverage and reimbursement policies, Serapha may not be able to offer such product candidates at competitive prices, which would seriously harm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intends to seek approval to market Serapha’s product candidates in both the United States and in selected foreign jurisdictions. If Serapha obtains approval in one or more foreign jurisdictions for Serapha’s product candidates, Serapha will be subject to rules and regulations in those jurisdictions. Serapha’s ability to successfully commercialize any product candidates that Serapha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Serapha’s products in an attempt to reduce their costs, which may reduce Serapha’s commercial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is subject to U.S. and certain foreign export and import controls, sanctions, embargoes, anti-corruption laws, and anti-money laundering laws and regulations. Serapha can face criminal liability and other serious consequences for violations, which can harm Serapha’s business. </w:t>
      </w:r>
    </w:p>
    <w:p>
      <w:pPr>
        <w:pStyle w:val="TextBody"/>
        <w:bidi w:val="0"/>
        <w:spacing w:before="120" w:after="0"/>
        <w:jc w:val="left"/>
        <w:rPr>
          <w:rFonts w:ascii="Times New Roman" w:hAnsi="Times New Roman"/>
          <w:sz w:val="20"/>
        </w:rPr>
      </w:pPr>
      <w:r>
        <w:rPr>
          <w:rFonts w:ascii="Times New Roman" w:hAnsi="Times New Roman"/>
          <w:sz w:val="20"/>
        </w:rPr>
        <w:t xml:space="preserve">Serapha is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and other state and national anti-bribery and anti-money laundering laws in the countries in which Serapha conducts activities. Governmental regulation of the import or export of Serapha’s drug candidates, or Serapha’s failure to obtain any required import or export authorization for its candidates, when applicable, could harm Serapha’s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Serapha may engage third parties to sell Serapha’s products outside the United States, to conduct clinical trials, and/or to obtain necessary permits, licenses, patent registrations, and other regulatory approvals. Serapha has direct or indirect interactions with officials and employees of government agencies or government-affiliated hospitals, universities, and other organizations. Serapha can be held liable for the corrupt or other illegal activities of Serapha’s employees, agents, contractors, and other collaborators, even if Serapha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Serapha’s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by various EU Member States and parallel distribution, or arbitrage between low-priced and high-priced EU Member States, can further reduce prices. To obtain coverage and reimbursement or pricing approvals in some countries, Serapha or future collaborators may be required to conduct a clinical trial or other studies that compare the cost-effectiveness of Serapha’s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Serapha’s business, financial condition, results of operations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While Serapha has received Regenerative Medicine Advanced Therapy and orphan drug designations for SERP-01, such designations may not lead to a faster development or regulatory review or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may grant Regenerative Medicine Advanced Therapy (“RMAT”) designation to a regenerative medicine therapy, including certain gene therapies, that is intended to treat a serious or life-threatening disease or condition and for which preliminary clinical evidence indicates the potential to address unmet medical needs for such a disease or condition. RMAT designation provides the benefits of the FDA’s Fast Track and Breakthrough Therapy designation programs, including greater interactions with the FDA and eligibility for rolling review of a marketing application, and may support eligibility for accelerated approval. Separately, the FDA may grant orphan drug designation to a product intended to treat a rare disease or condition affecting fewer than 200,000 individuals in the United States, which provides certain benefits, including tax credits, an exemption from BLA user fees and, upon the first approval of the product for the designated indication, potential eligibility for seven years of orphan drug marketing exclusivity. In May 2026, the FDA granted SERP-01 orphan drug designation for the treatment of PiZZ AATD and RMAT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 of a product for RMAT or orphan drug status is within the discretion of the FDA. The receipt of such designations for a product candidate does not guarantee that there will be faster development or a faster or more streamlined regulatory review or approval process compared to products considered for approval under conventional FDA procedures. The receipt of these designations does not assure ultimate approval by the FDA. In addition, the FDA may later decide that the product candidate no longer meets the conditions to qualify for the RMAT designation, and Serapha may not receive the benefits of those programs for the relevant product candidate, or decide that the time period for FDA review or approval will not be shortened. Additionally, changes in the leadership of the FDA and other actions taken,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Serapha’s ability to take advantage of the benefits of the RMAT and orphan drug designations granted to SERP-01, and to progress the development of, or obtain regulatory approval for, Serapha’s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Serapha is unable to obtain accelerated approval, the amount, size and duration of Serapha’s clinical trials could be greater than planned, which could increase the expense, reduce the likelihood, and/or delay the timing of obtaining necessary regulatory approvals. Even if Serapha receives accelerated approval, if confirmatory trials do not verify clinical benefit, or if Serapha does not comply with rigorous post-approval requirements, such authorities may withdraw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Serapha intends to pursue development of SERP-01 in alignment with the FDA, including potentially seeking accelerated approval based on AATD biomarkers, such as restoration of serum AAT, as surrogate endpoints that may be reasonably likely to predict clinical benefit, subject to FDA agreement, and may seek other expedited development, review or approval status for its product candidates. Even if granted, there is no guarantee that receiving an expedited development, review or approval status from the FDA will lead to a faster development or regulatory review or approval process, and such status does not increase the likelihood that Serapha’s product candidates will ultimately receive marketing approval. The FDA may grant accelerated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Serapha chooses to pursue accelerated approval, there can be no assurance that the FDA will agree that Serapha’s proposed primary endpoint is an appropriate surrogate endpoint. Similarly, there can be no assurance that after subsequent FDA feedback, Serapha will continue to pursue accelerated approval or any other form of expedited development, review, or approval, even if Serapha initially decides to do so. Furthermore, if Serapha submits an application for accelerated approval, there can be no assurance that such application will be accepted or that approval will be granted on a timely basis, or at all. The FDA also could require Serapha to conduct further studies or trials prior to considering Serapha’s application or granting approval of any type. Serapha might not be able to fulfill the FDA’s requirements in a timely manner, which would cause delays, or approval might not be granted because Serapha’s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Serapha receives accelerated approval from the FDA, Serapha will be subject to rigorous post-approval requirements, including submission to the FDA of all promotional materials prior to their dissemination. The FDA could withdraw accelerated approval for multiple reasons, including Serapha’s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Serapha’s competitive position in the marketplace. Comparable considerations apply outside of the United States. </w:t>
      </w:r>
    </w:p>
    <w:p>
      <w:pPr>
        <w:pStyle w:val="TextBody"/>
        <w:bidi w:val="0"/>
        <w:spacing w:before="360" w:after="0"/>
        <w:jc w:val="left"/>
        <w:rPr>
          <w:rFonts w:ascii="Times New Roman" w:hAnsi="Times New Roman"/>
          <w:b/>
          <w:sz w:val="20"/>
        </w:rPr>
      </w:pPr>
      <w:bookmarkStart w:id="11" w:name="tx108148_708"/>
      <w:bookmarkEnd w:id="11"/>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Boundless Bio” or “Risks Related to Serapha”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Boundless Bio</w:t>
      </w:r>
      <w:r>
        <w:rPr>
          <w:rFonts w:ascii="Times New Roman" w:hAnsi="Times New Roman"/>
          <w:sz w:val="20"/>
        </w:rPr>
        <w:t>” and “</w:t>
      </w:r>
      <w:r>
        <w:rPr>
          <w:rFonts w:ascii="Times New Roman" w:hAnsi="Times New Roman"/>
          <w:i/>
          <w:sz w:val="20"/>
        </w:rPr>
        <w:t>Risks Related to Serapha.</w:t>
      </w:r>
      <w:r>
        <w:rPr>
          <w:rFonts w:ascii="Times New Roman" w:hAnsi="Times New Roman"/>
          <w:sz w:val="20"/>
        </w:rPr>
        <w:t xml:space="preserve">”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 common stock following the Merger could be subject to significant fluctuations. Some of the factors that may cause the market price of the Combined Company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stockholder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substantially increased operating losses for at least the next several years. Even if the Combined Company does achieve profitability, it may not be able to sustain or increase profitability on a quarterly or annual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negatively impact its ability to implement its business plan successfully.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SERP-01 and Serapha’s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Additional capital may be costly or difficult to obtain. The sale of common stock or securities convertible or exchangeable into common stock could significantly dilute the Combined Company’s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Serapha did not incur as a private company, including costs associated with public company reporting obligations under the Exchange Act. The Combined Company’s management team will consist of the executive officers of Serapha prior to the Merger. These executive officers and other personnel will need to devote substantial time to adhere to public company reporting requirements and comply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Boundless Bio, under the new name “Serapha Bio, Inc.,” will be required to meet the initial listing requirements to maintain the listing and continued trading of its shares on Nasdaq. These initial listing requirements are more difficult to achieve than the continued listing requirements. Pursuant to the Merger Agreement, Boundless Bio agreed to use its commercially reasonable efforts to cause the shares of Boundless Bio Common Stock being issued in the Merger to be approved for listing on Nasdaq at or prior to the Effective Time. Based on information currently available to Boundless Bio, Boundless Bio anticipates that its stock will be unable to meet the $4.00 minimum bid price initial listing requirement at the Closing unless it effects the Nasdaq Reverse Split. Based on the recent trading prices of Boundless Bio Common Stock, Boundless Bio and Serapha currently estimate that a reverse stock split ratio of at least 1-for- would be required to increase the per-share market price to $4.00, which is the minimum initial listing price requirement of Nasdaq. The final reverse stock split ratio will be determined mutually by the Boundless Bio Board of Directors and the Serapha Board of Directors prior to the Closing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In addition, a reverse stock split will often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Combined Company common stock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by securities analysts, market making activity and information available concerning trading prices and volume; and fewer broker-dealers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is expected to be eligible to report as a “smaller reporting company,” and as a result of the reduced reporting requirements applicable to such companies, the Combined Company’s securities may be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expected to be eligible to report as a “smaller reporting company,” as such term is defined in Rule 12b-2 under the Exchange Act. For as long as the Combined Company continues to be eligible to report as a “smaller reporting company,” it may take advantage of exemptions from various reporting requirements that are applicable to other public companies that are not “smaller reporting companies,” including reduced disclosure obligations regarding executive compensation in the Combined Company’s periodic reports, proxy statements and registration statements. The Combined Company may take advantage of these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exemptions until it is no longer a “smaller reporting company.” The Combined Company will remain a “smaller reporting company” until the last day of any fiscal year for so long as either (1) the market value of shares of Combined Company common stock held by non-affiliates does not equal or exceed $250.0 million as of the prior June 30th, or (2) the Combined Company’s annual revenues did not equal or exceed $100.0 million during such completed fiscal year and the market value of shares of Combined Company common stock held by non-affiliates did not equal or exceed $700.0 million as of the prior June 30th. In addition, if the Combined Company continues to be a “non-accelerated filer” as determined by Rule 12b-2 under the Exchange Act, or for so long as it continues to qualify as an “emerging growth company” as defined in the JOBS Act, it will continue to be exempt from the auditor attestation requirements in the assessment of the Combined Company’s internal controls over financial reporting, as required under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not be able to predict if investors will find the Combined Company common stock less attractive because it will rely on these exemptions. If some investors find the Combined Company’s securities less attractive because it relies on any of these exemptions, there may be a less active trading market for the Combined Company common stock and the price of the Combined Company common stock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described above, for at least the near term, the Combined Company expects to be able to take advantage of certain exemptions available to “smaller reporting companies.”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controls over financial reporting that are deemed to be material weaknesses, the Combined Company could face additional costs to remedy those deficiencies, the market price of the Combined Company common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controls over financial reporting. The Combined Company must perform system and process evaluation and testing of its internal controls over financial reporting to allow management to report on the effectiveness of its internal controls over financial reporting in its Annual Report on Form 10-K filing for that year, as required by Section 404 of the Sarbanes-Oxley Act. However, for so long as the Combined Company qualifies as a “non-accelerated filer” under Rule 12b-2 of the Exchange Act or as an “emerging growth company” under the JOBS Act, the Combined Company will not be required to have its independent registered public accounting firm attest to the effectiveness of its internal control over financial reporting pursuant to the Sarbanes-Oxley Act. As a private company, Serapha has not been required to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test its internal controls over financial reporting nor has its management been required to certify the effectiveness of its internal controls and its auditors have not been required to opine on the effectiveness of its internal controls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Serapha expect the Combined Company to amend its bylaws to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Serapha expect the Combined Company to amend its bylaws to provide that, unless the Combined Company consents in writing to the selection of an alternative forum, the Court of Chancery of the State of Delaware (or, if the Court of Chancery does not have jurisdiction, or declines to accept, the federal district court for the District of Delaware or other state courts of the State of Delaware) is the sole and exclusive forum for the following types of proceedings: (1) any derivative action or proceeding brought on the Combined Company’s behalf, (2) any action asserting a claim of or based on a breach of a fiduciary duty owed by any of the Combined Company’s current or former directors, officers, employees or stockholders to the Combined Company or its stockholders, (3) any action asserting a claim arising pursuant to any provision of the DGCL or as to which the DGCL confers jurisdiction on the Court of Chancery of the State of Delaware or (4) any action asserting a claim arising pursuant to any provision of the Combined Company’s certificate of incorporation or its bylaws (in each case, as they may be amended from time to time) or that is governed by the internal affairs doctrine, in each case subject to the Court of Chancery having personal jurisdiction over the indispensable parties named as defendants therein, which for purposes of this risk factor is referred to herein as the “Delaware Forum Provision.” The Delaware Forum Provision will not apply to any causes of action arising under the Securities Act and the Exchange Act. Boundless Bio and Serapha expect the Combined Company to also amend its bylaws to provide that, unless it consents in writing to an alternative forum, federal district courts of the United States will be the sole and exclusive forum for any complaint asserting a cause of action arising under the Securities Act, which for purposes of this risk factor is referred to herein as the “Federal Forum Provision.” There is uncertainty as to whether a court would enforce such a provision. The Federal Forum Provision will not apply to any causes of action arising under the Exchange Act. In addition, the bylaws of the Combined Company will provide that any person or entity purchasing or otherwise acquiring or holding any interest in shares of its capital stock is deemed to have notice of and consented to the foregoing Delaware Forum Provision and Federal Forum Provision; provided, however, that stockholders cannot and will not be deemed to have waived the Combined Company’s compliance with the U.S.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Forum Provision and the Federal Forum Provision may impose additional costs on stockholders of the Combined Company in pursuing any such claims, particularly if the stockholders do not reside in or near the State of Delaware or were permitted to select another jurisdiction. Additionally, the forum selection clauses in the bylaws of the Combined Company may limit its stockholders’ ability to bring a claim in a judicial forum that they find favorable for disputes with the Combined Company or its directors, officers, employees or stockholders, which may discourage such lawsuits against the Combined Company and its directors, officers, employees and stockholders even though an action, if successful, might benefit its stockholders. Alternatively, if a court were to find the Delaware Forum Provision or the Federal Forum Provision contained in the Combined Company’s bylaws to be inapplicable or unenforceable in an action, the Combined Company may incur additional costs associated with resolving such action in other jurisdictions, which could materially and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that will be in the Combined Company’s certificate of incorporation and bylaws and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 board of directors. Among other things, these provisions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the use of a classified board of directors such that not all members of the Combined Company board of directors are elected at one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Company’s directors to be changed only by resolution of its board of directors;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Combined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Company’s board of directors to issue preferred stock without stockholder approval, which could be used to institute a “poison pill” that would work to dilute the stock ownership of a potential hostile acquirer, effectively preventing acquisitions that have not been approved by the Combined Company’s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 2/3% of the votes that all Combined Company stockholders would be entitled to cast to amend or repeal certain provisions of the Combined Company’s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Boundless Bio and Serapha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then-current management by making it more difficult for stockholders to replace members of the board of directors,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and Serapha do not anticipate that the Combined Company will pay any cash dividends in the foreseeable future other than the Boundless Bio Pre-Closing Dividend that Boundless Bio will declare and pay to the holders of record of outstanding shares of Boundless Bio Common Stock as of a record date prior to the Effective Time, to be set by the Boundless Bio Board of Directors as close as reasonably practicable to (but not later than) the anticipated Closing Date.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Boundless Bio Pre-Closing Dividend, 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Serapha Capital Stock. An active trading market for the shares of the Combined Company common stock may never develop or be sustained. If an active market for the Combined Company common stock does not develop or is not sustained, it may be difficult for the Combined Company’s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Boundless Bio and Serapha sell, or indicate an intention to sell, substantial amounts of the Combined Company common stock in the public market after legal restrictions on resale discussed in this proxy statement/prospectus lapse, the trading price of the Combined Company common stock could decline. Based on shares outstanding as of    , 2026, after giving effect to the estimated Exchange Ratio and the shares of Serapha Common Stock to be issued in the Serapha Pre-Closing Financing and shares expected to be issued upon completion of the Merger and prior to giving effect to the anticipated Nasdaq Reverse Split, the Combined Company is expected to have outstanding a total of approximately    million shares of common stock immediately following the completion of the Merger (or approximately     billion shares of common stock after giving effect to the exercise of Serapha Pre-Funded Warrants to be issued in the Serapha Pre-Closing Financing). Approximately     million shares (or approximately     billion shares, if Serapha Pre-Funded Warrants are exercised) will be freely tradeable upon completion of the Merger and approximately     million shares (or approximately     million shares, if Serapha Pre-Funded Warrants are exercised) will become available for sale in the public market beginning 180 days after the Closing as a result of the expiration of lock-up agreements between Boundless Bio on the one hand and certain securityholders of Serapha on the other hand (and without giving effect to any restrictions on resale under securities laws). In addition, shares of common stock that are subject to outstanding options of Serapha will become eligible for sale in the public market to the extent permitted by the provisions of various vesting agreements and Rules 144 and 701 under the Securities Act. If these shares are sold, the trading price of the Combined Company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the Combined Company’s executive officers, directors and principal stockholders will have the ability to control or significantly influence all matters submitted to the Combined Company’s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and giving effect to the issuance of the shares of Serapha Common Stock and Serapha Pre-Funded Warrants prior to the Closing pursuant to the Serapha Pre-Closing Financing,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that the Combined Company’s executive officers, directors and principal stockholders will, in the aggregate, beneficially own approximately    % of the outstanding shares of Combined Company common stock (on a fully-diluted basis), subject to beneficial ownership limitations and certain assumptions, including, but not limited to, the Boundless Bio Net Cash as of Closing being $0. Boundless Bio management currently anticipates the Boundless Bio Net Cash as of Closing will be approximately $0, after giving effect to the Boundless Bio Pre-Closing Dividend, which is expected to be approximately $44 million to $48 million in the aggregate, and the currently estimated ownership percentages reflect this projection. As a result, if these stockholders were to choose to act together, they would be able to control or significantly influence all matters submitted to the Combined Company’s stockholders for approval, as well as the Combined Company’s management and affairs. For example, these stockholders, if they choose to act together, would control or significantly influence the election of directors and approval of any merger, consolidation or sale of all or substantially all of the Combined Company’s assets. This concentration of voting power could delay or prevent an acquisition of the Combined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 common stock will be influenced by the research and reports that equity research analysts publish about it and its business. Equity research analysts may elect not to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Serapha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Serapha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NOL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each of Boundless Bio and Serapha has incurred losses during its history, and the Combined Company does not expect to become profitable in the near future and may never achieve profitability. As of December 31, 2025, Boundless Bio had federal and state NOL carryforwards of approximately $161.4 million and $231.3 million, respectively, and federal and state research and development tax credit carryforwards of approximately $9.3 million and $5.9 million, respectively. As of June 30, 2026, Serapha had federal and state NOL carryforwards of approximately $1.9 million and $1.9 million. Under current law, U.S. federal NOLs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federal NOL carryforwards and other tax attributes may become subject to an annual limitation in the event of certain cumulative changes in ownership. Boundless Bio has not completed an ownership change analysis pursuant to Section 382 of the Code, and has not performed a formal study of its research and development tax credits; as a result, the amount of NOL and research tax credit carryforwards available to offset future taxable income may be significantly reduced, restricted or eliminated if ownership changes within the meaning of Section 382 of the Code are identified as having occurred, and the amount of research tax credits may be reduced upon completion of such a study.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the Combined Company, possibly with retroactive effect. For example, the U.S. government enacted legislation commonly referred to as the OBBBA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08148_8"/>
      <w:bookmarkEnd w:id="12"/>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Boundless Bio, Serapha, the Merger and the other proposed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Boundless Bio’s and Serapha’s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Boundless Bio, Serapha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involve a number of risks, uncertainties (some of which are beyond Boundless Bio’s or Serapha’s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Serapha Pre-Closing Financing is not completed in a timely manner or at all; uncertainties as to the timing of the consummation of the transaction and the ability of each of Boundless Bio and Serapha to consummate the transaction, including the Serapha Pre-Closing Financing; risks related to Boundless Bio’s continued listing on Nasdaq until Closing; risks related to Boundless Bio’s and Serapha’s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Boundless Bio Pre-Closing Dividend that Boundless Bio may pay Boundless Bio’s stockholders in connection with the completion of the Merger; the effect of the announcement or pendency of the Merger on Boundless Bio’s or Serapha’s business relationships, operating results and business generally; costs related to the Merger; the outcome of any legal proceedings that may be instituted against Boundless Bio, Serapha or any of their respective directors or officers related to the Merger Agreement or the transactions contemplated thereby; the ability of Serapha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Serapha’s plans to develop and commercialize product candidates for the treatment of AATD; Serapha’s ability to maintain the YolTech License Agreement and enter into new license and collaboration agreements; the outcome of the Beam Litigation and any other existing or future litigation or claims, including claims of trade secret misappropriation or patent infringement relating to SERP-01, and the costs of defending against such litigation or claims; delays or challenges in Serapha’s ongoing and future preclinical studies and clinical trials and the reporting of data from those studies and trials; the risk that the efficacy and safety of Serapha’s product candidates will be disappointing compared with expectations; Serapha’s plans relating to the further development of its programs, including additional indications Serapha may pursue; the risk that the size of the market opportunity for Serapha’s programs, including Serapha’s estimates of the number of patients who suffer from the diseases it is targeting may be lower than expected; Serapha’s reliance on third parties to conduct additional preclinical studies and clinical trials of its programs and for the manufacture of Serapha’s programs for preclinical studies and clinical trials; the risk of negative developments in the cost, timing and results of Serapha’s preclinical and clinical development activities and planned clinical trials; Serapha’s plans regarding, and its ability to maintain,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negotiate favorable terms of, any collaboration, licensing or other arrangements that may be necessary or desirable to develop, manufacture or commercialize its programs; and the timing of and Serapha’s ability to obtain and maintain regulatory approvals for its product candidates, as well as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these risks or uncertainties materialize, or should any of Boundless Bio’s or Serapha’s assumptions prove incorrect, actual results may vary in material respects from those projected in these forward-looking statements. There may be additional risks that Boundless Bio considers immaterial or which are unknown. It is not possible to predict or identify all such risks. Boundless Bio’s and Serapha’s forward-looking statements only speak as of the date they are made, and Boundless Bio and Serapha do not undertake any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For a discussion of the factors that may cause Boundless Bio, Serapha or the Combined Company’s actual results, performance or achievements to differ materially from any future results, performance or achievements expressed or implied in such forward-looking statements, or for a discussion of risk associated with the ability of Boundless Bio and Serapha to complete the Merger and the effect of the Merger on the business of Boundless Bio, Serapha and the Combined Company, please see the section titled “</w:t>
      </w:r>
      <w:r>
        <w:rPr>
          <w:rFonts w:ascii="Times New Roman" w:hAnsi="Times New Roman"/>
          <w:i/>
          <w:sz w:val="20"/>
        </w:rPr>
        <w:t>Risk Factors</w:t>
      </w:r>
      <w:r>
        <w:rPr>
          <w:rFonts w:ascii="Times New Roman" w:hAnsi="Times New Roman"/>
          <w:sz w:val="20"/>
        </w:rPr>
        <w:t>” beginning on page 20 of this proxy statement/prospectus. Additional factors that could cause actual results to differ materially from those expressed in the forward-looking statements are discussed in reports filed with the SEC by Boundless Bio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Boundless Bio, Serapha or the Combined Company could differ materially from the forward-looking statements. All forward-looking statements in this proxy statement/prospectus are current only as of the date on which the statements were made. Boundless Bio and Serapha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08148_9"/>
      <w:bookmarkEnd w:id="13"/>
      <w:r>
        <w:rPr>
          <w:rFonts w:ascii="Times New Roman" w:hAnsi="Times New Roman"/>
          <w:b/>
          <w:sz w:val="20"/>
        </w:rPr>
        <w:t xml:space="preserve">THE SPECIAL MEETING OF BOUNDLESS BIO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Special Meeting will be held on    , 2026, commencing at    Pacific Time, unless postponed or adjourned to a later date. The Boundless Bio Special Meeting will be held entirely online via live audio webcast. Please visit </w:t>
      </w:r>
      <w:r>
        <w:rPr>
          <w:rFonts w:ascii="Times New Roman" w:hAnsi="Times New Roman"/>
          <w:i/>
          <w:sz w:val="20"/>
        </w:rPr>
        <w:t>www.proxydocs.com/BOLD</w:t>
      </w:r>
      <w:r>
        <w:rPr>
          <w:rFonts w:ascii="Times New Roman" w:hAnsi="Times New Roman"/>
          <w:sz w:val="20"/>
        </w:rPr>
        <w:t xml:space="preserve"> for more details. You may register to attend the meeting at </w:t>
      </w:r>
      <w:r>
        <w:rPr>
          <w:rFonts w:ascii="Times New Roman" w:hAnsi="Times New Roman"/>
          <w:i/>
          <w:sz w:val="20"/>
        </w:rPr>
        <w:t>www.proxydocs.com/BOLD</w:t>
      </w:r>
      <w:r>
        <w:rPr>
          <w:rFonts w:ascii="Times New Roman" w:hAnsi="Times New Roman"/>
          <w:sz w:val="20"/>
        </w:rPr>
        <w:t xml:space="preserve">. You will be able to vote online during the meeting. You will need the control number included on your proxy card or on the instructions that accompanied your proxy materials to attend the meeting. Boundless Bio is sending this proxy statement/prospectus to its stockholders in connection with the solicitation of proxies by the Boundless Bio Board of Directors for use at the Boundless Bio Special Meeting and any adjournments or postponements of the Boundless Bio Special Meeting. This proxy statement/prospectus is first being furnished to Boundless Bio stockholders on or about    , 2026. </w:t>
      </w:r>
    </w:p>
    <w:p>
      <w:pPr>
        <w:pStyle w:val="TextBody"/>
        <w:bidi w:val="0"/>
        <w:spacing w:before="240" w:after="0"/>
        <w:jc w:val="left"/>
        <w:rPr>
          <w:rFonts w:ascii="Times New Roman" w:hAnsi="Times New Roman"/>
          <w:sz w:val="20"/>
        </w:rPr>
      </w:pPr>
      <w:r>
        <w:rPr>
          <w:rFonts w:ascii="Times New Roman" w:hAnsi="Times New Roman"/>
          <w:sz w:val="20"/>
        </w:rPr>
        <w:t xml:space="preserve">You may submit a question in advance of the Boundless Bio Special Meeting as a part of the registration process. Questions pertinent to the Boundless Bio Special Meeting and that are submitted in accordance with Boundless Bio’s rules of conduct for the Boundless Bio Special Meeting will be answered during the Boundless Bio Special Meeting, subject to applicable time constraints. Questions and answers may be grouped by topic and substantially similar questions may be grouped and answered once. In order to promote fairness, efficient use of time, and in order to ensure all stockholders are responded to, Boundless Bio will respond to up to two questions from a single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Boundless Bio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Boundless Bio Special Meeting are: </w:t>
      </w:r>
    </w:p>
    <w:p>
      <w:pPr>
        <w:pStyle w:val="TextBody"/>
        <w:bidi w:val="0"/>
        <w:spacing w:before="120" w:after="0"/>
        <w:jc w:val="left"/>
        <w:rPr>
          <w:rFonts w:ascii="Times New Roman" w:hAnsi="Times New Roman"/>
          <w:sz w:val="20"/>
        </w:rPr>
      </w:pPr>
      <w:r>
        <w:rPr>
          <w:rFonts w:ascii="Times New Roman" w:hAnsi="Times New Roman"/>
          <w:sz w:val="20"/>
        </w:rPr>
        <w:t xml:space="preserve">(1) To approve the issuance of shares of common stock of Boundless Bio, par value $0.0001 per share (the “Boundless Bio Common Stock”), (including the shares of Boundless Bio Common Stock issuable upon exercise of Assumed Warrants and the Boundless Bio Pre-Funded Warrants) to stockholders of Serapha Bio, Inc. (“Serapha”) pursuant to the terms of the Agreement and Plan of Merger and Reorganization, dated as of June 22, 2026, as amended by Amendment No. 1 to Agreement and Plan of Merger and Reorganization, dated as of August 28, 2026 (as amended, the “Merger Agreement”), by and among Boundless Bio, Serapha and Boulder Merger Sub Corp. (“Merger Sub”), a copy of which is attached as </w:t>
      </w:r>
      <w:r>
        <w:rPr>
          <w:rFonts w:ascii="Times New Roman" w:hAnsi="Times New Roman"/>
          <w:i/>
          <w:sz w:val="20"/>
        </w:rPr>
        <w:t>Annex A</w:t>
      </w:r>
      <w:r>
        <w:rPr>
          <w:rFonts w:ascii="Times New Roman" w:hAnsi="Times New Roman"/>
          <w:sz w:val="20"/>
        </w:rPr>
        <w:t xml:space="preserve">, pursuant to which, among other matters, Merger Sub will merge with and into Serapha, with Serapha surviving as a wholly owned subsidiary of Boundless Bio and the surviving corporation of the merger (the “Merger”),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(2) To approve an amendment to the amended and restated certificate of incorporation of Boundless Bio (the “Boundless Bio Charter”) to effect a reverse stock split of Boundless Bio’s issued and outstanding common stock at a ratio determined by the Boundless Bio Board of Directors and agreed to by Serapha, of one new share of Boundless Bio Common Stock for every    to    shares (or any number in between) of outstanding Boundless Bio Common Stock, in the form attached as </w:t>
      </w:r>
      <w:r>
        <w:rPr>
          <w:rFonts w:ascii="Times New Roman" w:hAnsi="Times New Roman"/>
          <w:i/>
          <w:sz w:val="20"/>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To approve an amendment to the Boundless Bio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To approve the Serapha Bio, Inc. 2026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(5) To approve the Serapha Bio, Inc. 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(6) To approve an adjournment of the Boundless Bio Special Meeting, if necessary, to solicit additional proxies if there are not sufficient votes in favor of Proposal Nos. 1, 2 and 3;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To transact such other business as may properly come before the stockholders at the Boundless Bio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Each of Proposal Nos. 1, 2 and 3 is a condition to completion of the Merger. The issuance of Boundless Bio Common Stock, including shares of Boundless Bio Common Stock issuable upon exercise of Assumed Warrants issued in exchange for Serapha Pre-Funded Warrants sold in the Serapha Pre-Closing Financing and the Boundless Bio Pre-Funded Warrants, and the change of control of Boundless Bio resulting from the Merger will not take place unless Proposal Nos. 1, 2 and 3 are approved by Boundless Bio stockholders and the Merger is consummated. The amendment to the Boundless Bio Charter to increase the number of authorized shares of Boundless Bio Common Stock also will not take place unless Proposal Nos. 1, 2, and 3 are approved by Boundless Bio stockholders and the Merger is consummated. However, the Boundless Bio Board of Directors may determine to effect the Nasdaq Reverse Split if approved by Boundless Bio stockholders following the special meeting, even if either Proposal No. 1 or Proposal No. 3 is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The approvals of Proposal Nos. 4, 5 and 6 are not conditions to the completion of the Merger. The implementation of Proposal Nos. 4 and 5 are each conditioned on the consummation of the Merger. Boundless Bio does not expect that any matter other than the Proposals will be brought before the Boundless Bio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Boundless Bio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the issuance of shares of Boundless Bio Common Stock, including shares of Boundless Bio Common Stock issuable upon the exercise of Assumed Warrants and Boundless Bio Pre-Funded Warrants, pursuant to the Merger Agreement is fair to, in the best interests of, and advisable to, Boundless Bio and its stockholders and has approved such issuance. The Boundless Bio Board of Directors unanimously recommends that Boundless Bio stockholders vote “FOR” the Nasdaq Stock Issuance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amendment to Boundless Bio’s charter to effect the Nasdaq Reverse Split, as described in this proxy statement/prospectus. The Boundless Bio Board of Directors unanimously recommends that Boundless Bio stockholders vote “FOR” the Nasdaq Reverse Split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amendment to Boundless Bio’s charter to increase the number of shares of Boundless Bio Common Stock that Boundless Bio is authorized to issue from 700,000,000 to    , in the form attached as </w:t>
            </w:r>
            <w:r>
              <w:rPr>
                <w:rFonts w:ascii="Times New Roman" w:hAnsi="Times New Roman"/>
                <w:i/>
                <w:sz w:val="20"/>
              </w:rPr>
              <w:t>Annex C</w:t>
            </w:r>
            <w:r>
              <w:rPr>
                <w:rFonts w:ascii="Times New Roman" w:hAnsi="Times New Roman"/>
                <w:sz w:val="20"/>
              </w:rPr>
              <w:t xml:space="preserve">, as described in this proxy statement/prospectus. The Boundless Bio Board of Directors unanimously recommends that Boundless Bio stockholders vote “FOR” the Authorized Share Increase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Serapha Bio, Inc. 2026 Stock Incentive Plan, as described in this proxy statement/prospectus. The Boundless Bio Board of Directors unanimously recommends that Boundless Bio stockholders vote “FOR” the Stock Plan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it is fair to, in the best interests of, and advisable to, Boundless Bio and its stockholders to approve the Serapha Bio, Inc. 2026 Employee Stock Purchase Plan, as described in this proxy statement/prospectus. The Boundless Bio Board of Directors unanimously recommends that Boundless Bio stockholders vote “FOR” the ESPP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has determined and believes that adjourning the Boundless Bio special meeting, if necessary, to solicit additional proxies if there are not sufficient votes in favor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Nasdaq Stock Issuance Proposal, the Nasdaq Reverse Split Proposal and/or the Authorized Share Increase Proposal is fair to, in the best interests of, and advisable to, Boundless Bio and its stockholders and has approved and adopted the proposal. The Boundless Bio Board of Directors unanimously recommends that Boundless Bio stockholders vote “FOR” the Adjournment Proposal, if necessary.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Boundless Bio Common Stock at the close of business on the Record Date of    , 2026, are entitled to notice of, and to vote at, the Boundless Bio Special Meeting. At the close of business on    , 2026, there were     registered holders of record of Boundless Bio Common Stock and there were     shares of Boundless Bio Common Stock issued and outstanding. Each share of Boundless Bio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Boundless Bio Board of Directors for use at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Boundless Bio Common Stock, Computershare Trust Company, N.A., then you are a stockholder of record. As a stockholder of record, you may vote online during the Boundless Bio Special Meeting or vote by proxy. Whether or not you plan to attend the Boundless Bio Special Meeting, Boundless Bio urges you to vote by proxy over the telephone or on the internet as instructed below or return the proxy card Boundless Bio may mail to you to ensure your vote is counted, the form of which is attached hereto as </w:t>
      </w:r>
      <w:r>
        <w:rPr>
          <w:rFonts w:ascii="Times New Roman" w:hAnsi="Times New Roman"/>
          <w:i/>
          <w:sz w:val="20"/>
        </w:rPr>
        <w:t>Annex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attend the Boundless Bio Special Meeting online and vote online during the meeting. Alternatively, you may vote by proxy by using the accompanying proxy card, over the internet or by telephone. Whether or not you plan to attend the Boundless Bio Special Meeting, Boundless Bio encourages you to vote by proxy to ensure your vote is counted. Even if you have submitted a proxy before the Boundless Bio Special Meeting, you may still attend the Boundless Bio Special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during the meeting, you must register to attend the meeting at </w:t>
            </w:r>
            <w:r>
              <w:rPr>
                <w:rFonts w:ascii="Times New Roman" w:hAnsi="Times New Roman"/>
                <w:i/>
                <w:sz w:val="20"/>
              </w:rPr>
              <w:t>www.proxydocs.com/BOLD</w:t>
            </w:r>
            <w:r>
              <w:rPr>
                <w:rFonts w:ascii="Times New Roman" w:hAnsi="Times New Roman"/>
                <w:sz w:val="20"/>
              </w:rPr>
              <w:t xml:space="preserve"> and provide your control number by 2:00 p.m. Pacific Time on    , 2026. After completion of your registration, further instructions, including a unique link to access the Boundless Bio Special Meeting, will be emailed to you. If you attend the Boundless Bio Special Meeting and vote online during the meeting, your vote will revoke any proxy that you have previously submitted. Simply attending the Boundless Bio Special Meeting will not, by itself, revoke your proxy. Please be aware that you must bear any costs associated with your internet access, such as usage charges from internet access providers and telephone or similar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Boundless Bio may elect to deliver at a later time and return it promptly in the envelope provided. If you return your signed proxy card to Boundless Bio before the special meeting, Boundless Bio will vote your shares as you direct in accordance with the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Your telephone vote must be received by 8:59 p.m. Pacific Time on    , 2026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You will be asked to provide the company number and control number on the enclosed proxy card. Your internet vote must be received by 8:59 p.m. Pacific Time on    , 2026 to be counted.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Boundless Bio. Simply complete and mail the voting instruction card to ensure that your vote is counted. To vote at the Boundless Bio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Boundless Bio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Whether a proposal is considered routine or non-routine is subject to stock exchange rules and final determination by the stock exchange. Even with respect to routine matters, some brokers choose not to exercise their discretionary voting authority. As a result, Boundless Bio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Boundless Bio Special Meeting. Broker non-votes, if any, will not be counted as “votes properly cast” and will therefore have no effect on Proposal Nos. 1, 2, 3, 4, 5 and 6.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Boundless Bio Special Meeting and at any adjournments or postponements of the Boundless Bio Special Meeting in accordance with the instructions contained in the proxy. </w:t>
      </w:r>
      <w:r>
        <w:rPr>
          <w:rFonts w:ascii="Times New Roman" w:hAnsi="Times New Roman"/>
          <w:b/>
          <w:sz w:val="20"/>
        </w:rPr>
        <w:t>If a stockholder of record of Boundless Bio Common Stock executes and returns a proxy and does not specify otherwise, the shares represented by that proxy will be voted “FOR” all of the proposals in accordance with the recommendation of the Boundless Bio Board of Directors.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being represented by proxy, at the Boundless Bio Special Meeting of the holders of a majority in voting power of Boundless Bio Common Stock outstanding and entitled to vote at the Boundless Bio Special Meeting is necessary to constitute a quorum at the meeting for the purpose of approving the proposals. Abstentions and broker non-votes, if any, will be counted towards the presence of a quorum. The affirmative vote of a majority of the votes properly cast for and against by the holders of Boundless Bio Common Stock at the Boundless Bio Special Meeting, assuming a quorum is present, is required for approval of Proposal Nos. 1, 2, 3, 4, 5, and 6. </w:t>
      </w:r>
    </w:p>
    <w:p>
      <w:pPr>
        <w:pStyle w:val="TextBody"/>
        <w:bidi w:val="0"/>
        <w:spacing w:before="240" w:after="0"/>
        <w:jc w:val="left"/>
        <w:rPr>
          <w:rFonts w:ascii="Times New Roman" w:hAnsi="Times New Roman"/>
          <w:sz w:val="20"/>
        </w:rPr>
      </w:pPr>
      <w:r>
        <w:rPr>
          <w:rFonts w:ascii="Times New Roman" w:hAnsi="Times New Roman"/>
          <w:sz w:val="20"/>
        </w:rPr>
        <w:t xml:space="preserve">Each of Proposal No. 1, Proposal No. 2 and Proposal No. 3 is a condition to completion of the Merger. The closing of the Serapha Pre-Closing Financing is conditioned upon the satisfaction or waiver of each of the conditions to the closing of the Merger as well as certain other conditions. Therefore, the Merger and the Serapha Pre-Closing Financing cannot be consummated without the approval of Proposal Nos. 1, 2 and 3. The issuance of Boundless Bio Common Stock in connection with the Merger and the change of control of Boundless Bio resulting from the Merger will not take place unless Proposal Nos. 1, 2 and 3 are approved by Boundless Bio stockholders and the Nasdaq Reverse Split and increase in authorized shares is effected and the Merger is consummated. The amendment to the Boundless Bio Charter to effect the Nasdaq Reverse Split will not take place unless Proposal No. 2 is approved by the requisite Boundless Bio stockholders. Boundless Bio may still elect to proceed with the Nasdaq Reverse Split if Proposal No. 2 is approved by Boundless Bio’s stockholders even if Proposal No. 1 and/or Proposal No. 3 is not approved, or even if approved, the Merger is not consummated. The amendment to the Boundless Bio Charter to increase the number of authorized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Common Stock will not take place unless Proposal Nos. 1, 2, and 3 are approved by Boundless Bio stockholders and the Merger is consummated. Additionally, the implementation of Proposal Nos. 4 and 5 are each conditioned on the consummation of the Merger. Therefore, if Proposal No. 1, Proposal No. 2 and Proposal No. 3 are not approved and the Merger is not consummated, Proposal Nos. 4 and 5 will each have no effect, even if approved by Boundless Bio stockholders.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Abstentions and broker non-votes, if any, will be treated as shares present for the purpose of determining the presence of a quorum for the transaction of business at the Boundless Bio Special Meeting, but will not be counted as votes cast and will have no effect on the outcome of the vote for each proposal.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Boundless Bio stockholders who in the aggregate beneficially owned approximately 1.7% of the outstanding shares of Boundless Bio Common Stock as of June 22, 2026, and 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who in the aggregate owned approximately 65.0% of the outstanding shares of Serapha Capital Stock as of June 22, 2026, are parties to stockholder support agreements with Boundless Bio and Serapha whereby such stockholders have agreed to vote in favor of the approval of the transactions contemplated therein, including, with respect to such Serapha stockholders, adoption of the Merger Agreement and approval of the Merger and, with respect to such Boundless Bio stockholders, Proposal Nos. 1, 2 and 3, subject to the terms of the support agreements. Following the effectiveness of the registration statement on Form S-4 of which the accompanying proxy statement/prospectus is a part and pursuant to the Merger Agreement, Serapha stockholders holding a sufficient number of shares of Serapha Capital Stock to adopt the Merger Agreement and approve the Merger and related transactions will be asked to execute written consents providing for such adoption and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Boundless Bio may solicit proxies from Boundless Bio stockholders by personal interview, telephone, email, fax or otherwise. Boundless Bio and Serapha will share equally the costs of printing and filing this proxy statement/prospectus and proxy card. Arrangements will also be made with brokerage firms and other custodians, nominees and fiduciaries who are record holders of Boundless Bio Common Stock for the forwarding of solicitation materials to the beneficial owners of Boundless Bio Common Stock. Boundless Bio will reimburse these brokers, custodians, nominees and fiduciaries for the reasonable out of pocket expenses they incur in connection with the forwarding of solicitation materials. Boundless Bio has retained MacKenzie Partners, Inc. as its proxy solicitor.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pay the fees of the Proxy Solicitor, which Boundless Bio expects to be approximately $17,500, plus reimbursement for certain out-of-pocket expenses. Boundless Bio has agreed to indemnify the Proxy Solicitor and related parties against certain liabilities and expenses arising out of its services in connection with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Boundless Bio Board of Directors does not know of any business to be presented at the Boundless Bio Special Meeting other than as set forth in the notice accompanying this proxy statement/prospectus. If any other matters should properly come before the Boundless Bio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08148_10"/>
      <w:bookmarkEnd w:id="14"/>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191 of this proxy statement/prospectus describe the material aspects of the Merger and the Merger Agreement. While Boundless Bio and Serapha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beginning on page 392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Transaction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Boundless Bio Board of Directors or committees thereof or the representatives of Boundless Bio, Serapha or other parties. In addition to formal meetings of the Boundless Bio Board of Directors, Boundless Bio management had informal discussions with the Boundless Bio Board of Directors throughout the process. The terms of the Merger Agreement are the result of extensive arm’s-length negotiations among Serapha management and Boundless Bio management and members of the Boundless Bio Board of Directors and the Serapha Board of Directors, along with Boundless Bio’s financial advisor and Boundless Bio’s and Serapha’s respective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commencement of its strategic alternatives process (discussed below), Boundless Bio was focused on researching and developing extrachromosomal DNA-directed therapeutic candidates (“ecDTx”) for the treatment of oncogene amplified cancers. Boundless Bio’s lead ecDTx, BBI-940, was a novel, oral, selective kinesin degrader in early clinical development. Boundless Bio had also been investigating BBI-355 and BBI-825 in clinical trials. As described below, Boundless Bio made decisions to cease enrollment of its clinical trials based on clinical data, market conditions and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In an effort to enhance stockholder value, the Boundless Bio Board of Directors and Boundless Bio management regularly reviewed and discussed Boundless Bio’s business, performance, financial condition, near- and long-term operations and strategic priorities. These reviews and discussions included, among other things, the risks and benefits associated with Boundless Bio’s product candidates, current and anticipated business and industry trends, the competitive landscape, regulatory conditions, the financial markets and the macroeconomic environment.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these ongoing evaluations, the Boundless Bio Board of Directors and Boundless Bio management also considered various strategic business initiatives intended to strengthen Boundless Bio’s business and enhance stockholder value. These initiatives included opportunities for strategic relationships, collaborations and other potential long-term strategic options to develop and commercialize Boundless Bio’s product candidates, broaden Boundless Bio’s pipeline, improve opportunities to license or acquire rights to product candidates, and/or otherwise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With a concerted focus on in-licensing over the course of approximately two years preceding the execution of the Merger Agreement, Boundless Bio had conducted extensive efforts to identify and in-license new clinical-stage assets, identifying over 200 opportunities globally, evaluating over 100, conducting varying levels of diligence on over 50, and performing extensive work on three. Boundless Bio determined that pursuing such identified in-licensing opportunities involved substantial deal and timing risk and, if pursued, would have required highly dilutive financing, if such financing were available at all, and, taking into account all other factors considered, would not be in the best interests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20, 2026, Boundless Bio announced its intention to cease enrollment in the Phase 1/2 POTENTIATE clinical trial evaluating the combination of BBI-355 and BBI-825 based on market conditions, available data, and the prioritization of its BBI-940 program.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Zachary Hornby, Boundless Bio’s Chief Executive Officer, and representatives of Lucid met and discussed opportunities for possible strategic options for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the Boundless Bio Board of Directors held a meeting at which it continued to discuss, among other things, in-licensing opportunities, strategic opportunities and contingency planning with respect to its BBI-940 development efforts, and efforts to minimize Boundless Bio’s long-term lease liability to improve value for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a member of the Boundless Bio Board of Directors introduced Boundless Bio management to a privately-held biotechnology company (“Party A”) potentially interested in a strategic transaction with Boundless Bio, and on March 25, 2026, Party A signed a non-disclosure agreement with Boundless Bio in connection with the evaluation of strategic alternatives. The non-disclosure agreement did not contain an exclusivity or standstill provision. Thereafter, Party A engaged with Boundless Bio management in discussions on various combination structures in connection with raising additional financing and Party A ceased such discussions on or prior to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13, 2026, Boundless Bio entered into an agreement with the landlord for its headquarters facility to terminate its long-term lease for approximately 50,000 square feet that was not set to expire until 2034 and entered into a new, shorter-term lease for approximately 10,000 square feet commencing on June 1, 2026, reducing its long-term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In May 2026, Boundless Bio management directed Lucid to evaluate strategic alternatives, including outreach to potential reverse merger transaction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Lucid reached out to select counterparties to identify potential strategic transaction opportunities for Boundless Bio. At the direction of Boundless Bio management, Lucid’s outreach was focused on identifying potential counterparty companies that had or would be able to raise significant capital to fund their respective pipelines, thereby best allowing Boundless Bio stockholders to participate in new opportunities with mitigated financing risk while also allowing for a return of capital to Boundless Bio stockholders. In total, Lucid conducted outreach to approximately 14 potential counterparties. Five potential counterparties entered into non-disclosure agreements as further described below, none of which contained an exclusivity or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Boundless Bio entered into a non-disclosure agreement with a life sciences investment firm (“Party B”) in connection with potential reverse merger opportunities. On or about May 20, 2026, Party B informed Lucid that it was no longer interested in a transaction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Boundless Bio entered into a non-disclosure agreement with RTW Investments, LP, a life sciences investment firm, with respect to Serapha, a company co-founded by RTW and RA Capital Management, LP. </w:t>
      </w:r>
    </w:p>
    <w:p>
      <w:pPr>
        <w:pStyle w:val="TextBody"/>
        <w:bidi w:val="0"/>
        <w:spacing w:before="240" w:after="0"/>
        <w:jc w:val="left"/>
        <w:rPr>
          <w:rFonts w:ascii="Times New Roman" w:hAnsi="Times New Roman"/>
          <w:sz w:val="20"/>
        </w:rPr>
      </w:pPr>
      <w:r>
        <w:rPr>
          <w:rFonts w:ascii="Times New Roman" w:hAnsi="Times New Roman"/>
          <w:sz w:val="20"/>
        </w:rPr>
        <w:t xml:space="preserve">On May 16, 2026, Boundless Bio entered into a non-disclosure agreement with a privately-held biotechnology company (“Party C”) in connection with a potential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Boundless Bio executed a non-disclosure agreement with an additional privately-held biotechnology company (“Party D”), regarding a potential reverse merger transaction with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19, 2026, RA Capital also signed a non-disclosure agreement with Boundless Bio in connection with its consideration of a potential transaction involving Serapha.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Lucid received an initial term sheet from Wedbush Securities Inc. (“Wedbush”), financial advisor to Serapha, setting forth proposed terms for a potential reverse merger transaction of Boundless Bio and Serapha. The initial term sheet contemplated, among other things, the Boundless Bio Pre-Closing Dividend and a Boundless Bio valuation of $10 million (assuming $0 of Boundless Bio net cash at closing, after giving effect to the Boundless Bio Pre-Closing Dividend), a Serapha valuation of $150.0 million, and a concurrent private placement equity financing of $200.0 million. The term sheet included a proposed mutual exclusivity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Boundless Bio held a call with representatives of Serapha and Wedbush to learn about the product candidate Serapha was in-licensing, development plans and proposed transaction structure. Following that call, Lucid sent a revised term sheet to Wedbush on Boundless Bio’s behalf, reflecting, among other things, an increase in the Boundless Bio valuation to $15.0 million (assuming $0 of Boundless Bio net cash at closing, after giving effect to the Boundless Bio Pre-Closing Dividend) and a mutual 45-day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Boundless Bio conducted a separate call with representatives of Party D to evaluate that opportunity; following the call, Party D provided Boundless Bio with a non-binding proposal letter outlining proposed terms for a potential reverse merger transaction with Boundless Bio, including the Boundless Bio Pre-Closing Dividend, a proposed Party D valuation range of $135.0 million to $150.0 million, a proposed Boundless Bio valuation of $11.5 million (assuming $0 of Boundless Bio net cash at closing, after giving effect to the Boundless Bio Pre-Closing Dividend), and a proposed concurrent private placement of $125.0 million.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27 and May 29, 2026, Lucid and Wedbush continued to exchange revised Serapha term sheets on behalf of Boundless Bio and Serapha, respectively. The negotiations during this period focused on, among other things, the valuation to be ascribed to Boundless Bio and the duration of the mutual exclusivity period, and on May 29, 2026, Wedbush confirmed that Serapha was in a position to execute a letter of intent on the terms discussed.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course of discussions with the various parties, Mr. Hornby met with each member of the Boundless Bio Board of Directors to discuss updates, including the potential business combination with Serapha and others.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Lucid, on behalf of Boundless Bio, delivered a term sheet to Party D in response to Party D’s proposal letter, which proposed, among other things, the Boundless Bio Pre-Closing Dividend, a Party D valuation of $142.5 million, an increase in the Boundless Bio valuation to $15.0 million (assuming $0 of Boundless Bio net cash at closing, after giving effect to the Boundless Bio Pre-Closing Dividend), a concurrent private placement of $125.0 million, and a mutual 45-day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On or about May 28, 2026, discussions between Boundless Bio and Party C ceased as Party C had not sufficiently progressed in forming a committed financing syndicate to offer a concurrent private placement that would be competitive with the other opportunities under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Lucid received a markup from Party D of the Party D term sheet, which counter-proposed certain terms including, among other things, a Boundless Bio valuation of $13.0 million (assuming $0 of Boundless Bio net cash at closing, after giving effect to the Boundless Bio Pre-Closing Dividend) and the elimination of the previously proposed mutual 45-day exclusivity period in favor of a proposal that the parties negotiate and execute a long-form non-binding letter of intent within seven days following execution of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the Boundless Bio Board of Directors held a meeting at which members of Boundless Bio management and representatives of Lucid and Latham &amp; Watkins LLP (“Latham”), Boundless Bio’s outside legal counsel, were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management reviewed with the Boundless Bio Board of Directors preliminary data from the KOMODO-1 clinical trial. In considering potential next steps of the BBI-940 program, the Boundless Bio Board of Directors and management considered a broad number of factors, including, among other things, development opportunities, clinical execution and trial risk, and the capital requirements to obtain initial safety and efficacy data and further develop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management then provided an update on Boundless Bio’s in-licensing search and evaluation efforts, reviewed key activities over the past two years, and the Boundless Bio Board of Directors discussed various considerations including the likely dilutive financing requirements to support a new in-licensed program as well as timing requirements and related risks in continued search and selection efforts. </w:t>
      </w:r>
    </w:p>
    <w:p>
      <w:pPr>
        <w:pStyle w:val="TextBody"/>
        <w:bidi w:val="0"/>
        <w:spacing w:before="240" w:after="0"/>
        <w:jc w:val="left"/>
        <w:rPr>
          <w:rFonts w:ascii="Times New Roman" w:hAnsi="Times New Roman"/>
          <w:sz w:val="20"/>
        </w:rPr>
      </w:pPr>
      <w:r>
        <w:rPr>
          <w:rFonts w:ascii="Times New Roman" w:hAnsi="Times New Roman"/>
          <w:sz w:val="20"/>
        </w:rPr>
        <w:t xml:space="preserve">Lucid then presented an overview of its outreach to identify potential counterparties, discussions to date, and reviewed with the Boundless Bio Board of Directors the transaction terms then under negotiation for each of the Serapha and Party D opportunities, including the respective proposed valuations, financing structures and expected post-closing ownership for Boundless Bio stockholders. With respect to the two proposals, Lucid noted that the Serapha opportunity involved a Phase 2-ready, in-licensed asset targeting a rare genetic disorder, with anticipated financing led by RTW and RA Capital of approximately $200.0 million, a proposed Serapha valuation of $150.0 million, a proposed Boundless Bio valuation then under negotiation between $12.5 million and $15.0 million (assuming $0 of Boundless Bio net cash at closing, after giving effect to the Boundless Bio Pre-Closing Dividend), and a term sheet that included binding mutual exclusivity provisions for a period of 30 days effective immediately upon execution. By contrast, the Party D opportunity involved a Phase 3 asset, with anticipated financing led by other institutional investors of approximately $125.0 million, a proposed Party D valuation of $142.5 million, a proposed Boundless Bio valuation of $13.0 million (assuming $0 of Boundless Bio net cash at closing, after giving effect to the Boundless Bio Pre-Closing Dividend), and a proposal to defer exclusivity provisions to a subsequent long-form letter of intent to be negotiated within seven days of signing rather than committing to exclusivity at signing the non-binding term sheet. Boundless Bio management and the Boundless Bio Board of Directors considered among other things the relative development stage, financing profile, proposed economics and relative certainty of each opportunity.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Latham discussed with the Boundless Bio Board of Directors its fiduciary duties under Delaware law in connection with the evaluation of strategic alternatives, including, but not limited to, its fiduciary duties in connection with a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and comparison of the two proposals and taking into account all factors considered, the Boundless Bio Board of Directors approved entering into a term sheet on the terms presented by Serapha, and, until such time as a satisfactory term sheet was executed, authorized Boundless Bio management to concurrently seek to improve the term sheets for each counterparty. The Boundless Bio Board of Directors also approved the formal engagement of Lucid and, following the meeting, on May 30, 2026, Boundless Bio executed Lucid’s engagement letter, pursuant to which Boundless Bio retained Lucid as its exclusive financial advisor in connection with the evaluation and negotiation of a potential sale or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30, 2026 and the execution of the Merger Agreement, Boundless Bio continued to evaluate data from the KOMODO-1 clinical trial and, based on additional preliminary pharmacokinetic exposure data from the KOMODO-1 clinical trial indicating that the human oral bioavailability of BBI-940 was lower than had been predicted based on preclinical studies, Boundless Bio determined that the data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Boundless Bio executed a Letter of Intent with Serapha (the “LOI”) setting forth the principal terms of the proposed reverse merger transaction, including a mutual exclusivity provision restricting Boundless Bio and Serapha from soliciting or engaging in discussions regarding alternative acquisition proposals during a period commencing upon execution of the LOI and terminating no earlier than the 30th day thereafter. The LOI contemplated, among other things, a Boundless Bio valuation of $12.5 million (assuming $0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net cash at closing, after giving effect to the Boundless Bio Pre-Closing Dividend), a Serapha valuation of $150.0 million and a total financing size of $200.0 million. The contemplated transaction involved a reverse merger of Serapha into a subsidiary of Boundless Bio, with Boundless Bio stockholders receiving the Boundless Bio Pre-Closing Dividend and maintaining a minority equity ownership position in the Combined Company. Following execution of the LOI, Boundless Bio and Serapha, along with their respective financial and legal advisors, convened a call and discussed aspects of the transaction, including next steps and certain due diligence matters. </w:t>
      </w:r>
    </w:p>
    <w:p>
      <w:pPr>
        <w:pStyle w:val="TextBody"/>
        <w:bidi w:val="0"/>
        <w:spacing w:before="240" w:after="0"/>
        <w:jc w:val="left"/>
        <w:rPr>
          <w:rFonts w:ascii="Times New Roman" w:hAnsi="Times New Roman"/>
          <w:sz w:val="20"/>
        </w:rPr>
      </w:pPr>
      <w:r>
        <w:rPr>
          <w:rFonts w:ascii="Times New Roman" w:hAnsi="Times New Roman"/>
          <w:sz w:val="20"/>
        </w:rPr>
        <w:t xml:space="preserve">On June 7, 2026, Latham sent the initial draft of the Merger Agreement to Gibson, Dunn &amp; Crutcher LLP (“Gibson Dunn”), outside legal counsel to Serapha. </w:t>
      </w:r>
    </w:p>
    <w:p>
      <w:pPr>
        <w:pStyle w:val="TextBody"/>
        <w:bidi w:val="0"/>
        <w:spacing w:before="240" w:after="0"/>
        <w:jc w:val="left"/>
        <w:rPr>
          <w:rFonts w:ascii="Times New Roman" w:hAnsi="Times New Roman"/>
          <w:sz w:val="20"/>
        </w:rPr>
      </w:pPr>
      <w:r>
        <w:rPr>
          <w:rFonts w:ascii="Times New Roman" w:hAnsi="Times New Roman"/>
          <w:sz w:val="20"/>
        </w:rPr>
        <w:t xml:space="preserve">Beginning on June 9, 2026 and continuing regularly through the execution of the Merger Agreement, representatives of Boundless Bio, Lucid, Latham, Serapha, Wedbush and Gibson Dunn held calls to discuss the status of the transaction, open issues in the Merger Agreement and ancillary documents, and related timing matters.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9, 2026, Boundless Bio management held a call with representatives of Serapha to discuss the terms of the proposed license agreement between Serapha and Shanghai Yaotang Biotechnology Co., Ltd. (also known as YolTech Therapeutics Co., Ltd.) (“YolTech” and such license agreement, the “YolTech License Agreement”), which included providing YolTech with certain anti-dilution protection, and its impact on the transaction economics. Boundless Bio management proposed that the valuation ascribed to Boundless Bio be increased from $12.5 million to $15.0 million (in each case, assuming $0 of Boundless Bio net cash at closing, after giving effect to the Boundless Bio Pre-Closing Dividend) on account of the anti-dilution terms proposed in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the parties agreed to lower Serapha’s valuation from $150.0 million to $73.7 million to offset anti-dilution provisions associated with the YolTech License Agreement, while increasing the total expected financing size from $200.0 million to $230.0 million (consisting of approximately $138.0 million in the Series A Financing and approximately $92.0 million in the concurrent Serapha Pre-Closing Financing), while maintaining the valuation ascribed to Boundless Bio as $12.5 million (assuming $0 of Boundless Bio net cash at closing, after giving effect to the Boundless Bio Pre-Closing Dividend). As a result of the revised terms, Boundless Bio stockholders’ expected post-closing ownership on a fully diluted basis increased from approximately 3.45% to approximately 3.8% (after giving effect to a post-closing adjustment anti-dilution mechanism pursuant to which YolTech will receive additional shares of Serapha capital stock to preserve its fully diluted ownership percentage in Serapha as of immediately prior to the Merger (the “YolTech True-Up”)). </w:t>
      </w:r>
    </w:p>
    <w:p>
      <w:pPr>
        <w:pStyle w:val="TextBody"/>
        <w:bidi w:val="0"/>
        <w:spacing w:before="240" w:after="0"/>
        <w:jc w:val="left"/>
        <w:rPr>
          <w:rFonts w:ascii="Times New Roman" w:hAnsi="Times New Roman"/>
          <w:sz w:val="20"/>
        </w:rPr>
      </w:pPr>
      <w:r>
        <w:rPr>
          <w:rFonts w:ascii="Times New Roman" w:hAnsi="Times New Roman"/>
          <w:sz w:val="20"/>
        </w:rPr>
        <w:t xml:space="preserve">Following such discussions, on June 12, 2026, Gibson Dunn sent a revised draft of the Merger Agreement to Latham. Gibson Dunn’s revised draft included changes relating to, among other things: the definition of “Parent Net Cash”; the definition of “Company Outstanding Shares”; a reduction in the “Company Equity Value” from $150.0 million (as set forth in the LOI and the initial draft of the Merger Agreement) to $73.7 million (reflecting the revised terms agreed among the parties); modifications to the representations and warranties of each party; modifications to the interim operating covenants of each party; removal of certain protective provisions in favor of Boundless Bio relating to regulatory approvals; and modifications to the termination and reverse termination fee concepts, including removal of language providing that specific performance would be available to each party.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Serapha and YolTech entered into the YolTech License Agreement, pursuant to which Serapha acquired certain intellectual property rights related to SERP-01, developed as YOLT-202 in Greater China, to develop, manufacture, commercialize and otherwise exploit SERP-01 and related licensed products worldwide other than in Greater China (defined to include mainland China, Hong Kong, Macau and Taiwan),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exchange for, among other things, an $85.0 million upfront payment and the issuance of a warrant to acquire equity securities of Serapha (as more fully described in the section “</w:t>
      </w:r>
      <w:r>
        <w:rPr>
          <w:rFonts w:ascii="Times New Roman" w:hAnsi="Times New Roman"/>
          <w:i/>
          <w:sz w:val="20"/>
        </w:rPr>
        <w:t>Agreements Related to the Merger — YolTech License Agreement</w:t>
      </w:r>
      <w:r>
        <w:rPr>
          <w:rFonts w:ascii="Times New Roman" w:hAnsi="Times New Roman"/>
          <w:sz w:val="20"/>
        </w:rPr>
        <w:t xml:space="preserv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From June 12, 2026 until the execution of the Merger Agreement, Boundless Bio and Serapha continued to negotiate the terms of the Merger Agreement, and Latham and Gibson Dunn continued to exchange markups of the Merger Agreement, ancillary agreements and disclosure letters. The key issues negotiated during this period included, among other things: the definitions of “Parent Net Cash” and “Company Outstanding Shares”; the scope of the representations and warranties; the interim operating covenants applicable to each party; protective provisions and consent rights in favor of Boundless Bio with respect to regulatory approvals, the Serapha Pre-Closing Financing and the YolTech License Agreement; the expense reimbursement mechanic in favor of Boundless Bio in the event the transaction does not close by March 23, 2027 (the “End Date”); and the termination and reverse termination fee concepts. </w:t>
      </w:r>
    </w:p>
    <w:p>
      <w:pPr>
        <w:pStyle w:val="TextBody"/>
        <w:bidi w:val="0"/>
        <w:spacing w:before="240" w:after="0"/>
        <w:jc w:val="left"/>
        <w:rPr>
          <w:rFonts w:ascii="Times New Roman" w:hAnsi="Times New Roman"/>
          <w:sz w:val="20"/>
        </w:rPr>
      </w:pPr>
      <w:r>
        <w:rPr>
          <w:rFonts w:ascii="Times New Roman" w:hAnsi="Times New Roman"/>
          <w:sz w:val="20"/>
        </w:rPr>
        <w:t xml:space="preserve">On June 15, 2026, representatives of Latham and Gibson Dunn held a call to discuss, among other things, the definition of “Parent Net Cash,” the expense reimbursement concept in favor of Boundless Bio in the event the transaction does not close by the End Date, lock-up agreements, customary exceptions to the interim operating covenants of each party and certain limited consent rights in favor of Boundless Bio relating to material changes in the Serapha Pre-Closing Financing documents or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June 15, 2026, the Boundless Bio Board of Directors held a meeting at which members of Boundless Bio management and representatives of Lucid and Latham were present. At the meeting, Boundless Bio management provided an update on the status of its negotiations with Serapha. Representatives of Lucid presented materials updating the Boundless Bio Board of Directors on the most up-to-date transaction terms, including the revised Serapha valuation and increased financing size, and discussed the potential timing for execution of the Merger Agreement and announcement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16, 2026, Latham sent a revised draft of the Merger Agreement to Gibson Dunn that, among other things, added protective provisions in favor of Boundless Bio with respect to regulatory approvals and the Serapha Pre-Closing Financing, removed the lock-up closing condition applicable to Boundless Bio, and added an expense reimbursement mechanic in favor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following a call between representatives of Gibson Dunn and Latham to discuss the remaining open issues, Gibson Dunn sent Latham a further revised draft of the Merger Agreement reflecting changes to, among other things, the definition of “Company Outstanding Shares”; the definition of “Parent Net Cash”; changes to the interim operating covenants of both Boundless Bio and Serapha; and a cap on the expense reimbursement in favor of Boundless Bio. Also on June 18, 2026, Gibson Dunn sent the initial draft of Serapha’s disclosure letter to Latham and a revised draft of certain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representatives of Latham and Gibson Dunn held a call to discuss, among other things, the definitions of “Company Outstanding Shares” and “Parent Net Cash” in the Merger Agreement. Between June 19 and June 20, 2026, the parties continued to exchange revised drafts of the Merger Agreement, disclosure letters, support agreements and lock-up agreements, and on June 20, 2026, Gibson Dunn sent Latham a revised draft of the Merger Agreement that constituted the final form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21, 2026, Gibson Dunn sent Latham revised drafts of both the Boundless Bio disclosure letter and Serapha’s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21, 2026, the Boundless Bio Board of Directors held a meeting at which members of Boundless Bio management and representatives of each of Latham and Lucid were present. Boundless Bio management reviewed the status of its negotiations with Serapha to date. Boundless Bio management also reviewed the strategic alternatives available to Boundless Bio, noting that the transaction with Serapha would provide near-term value to Boundless Bio stockholders through the Boundless Bio Pre-Closing Dividend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legacy net cash, while also providing Boundless Bio stockholders with an opportunity to participate in the potential growth of the Combined Company. Representatives of Latham then reviewed with the Boundless Bio Board of Directors its fiduciary duties under Delaware law in connection with the proposed transaction. Representatives of Latham also detailed the specific terms of the Merger Agreement and the related transaction documents, including, among other things, the structure and economic terms of the proposed Merger, the conditions to closing, termination rights and fees, representations and warranties, interim operating covenants, the Boundless Bio Pre-Closing Dividend, the non-solicitation covenant and Boundless Bio’s fiduciary out, the Lock-Up Agreements, the Support Agreements, the employee transition and wind-down plan, and severance and retention matters. The participants at the Boundless Bio Board of Directors meeting then reviewed key terms of Serapha’s in-license of SERP-01, developed as YOLT-202. They also reviewed Serapha’s expected financing commitments. Boundless Bio management informed the Boundless Bio Board of Directors that the Serapha Pre-Closing Financing was expected to be secured from a syndicate of investors co-led by RTW and RA Capital, with a total of approximately $230.0 million committed (consisting of approximately $138.0 million in the Series A Financing and approximately $92.0 million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Following this discussion, at the invitation of Boundless Bio management, representatives of Lucid reviewed with the Boundless Bio Board of Directors Lucid’s financial analysis of the proposed transaction, including the Exchange Ratio calculations and pro forma ownership split as well as precedent reverse merger transactions, the expected cash to be distributed via the Boundless Bio Pre-Closing Dividend, and valuations of select publicly traded companies with a similar clinical stage focus to Serapha. Thereafter, at the request of the Boundless Bio Board of Directors, Lucid rendered to the Boundless Bio Board of Directors the oral opinion of Lucid, which was subsequently confirmed by delivery of a written opinion from Lucid dated June 21, 2026, that, as of such date and based upon and subject to the various assumptions made, procedures followed, matters considered, and qualifications and limitations set forth in its written opinion, the Exchange Ratio to be paid pursuant to the terms of the Merger Agreement was fair, from a financial point of view, to the holders of Boundless Bio Common Stock. For a detailed discussion of Lucid’s opinion, please see the section titled “</w:t>
      </w:r>
      <w:r>
        <w:rPr>
          <w:rFonts w:ascii="Times New Roman" w:hAnsi="Times New Roman"/>
          <w:i/>
          <w:sz w:val="20"/>
        </w:rPr>
        <w:t>The Merger — Opinion of Boundless Bio’s Financial Advisor</w:t>
      </w:r>
      <w:r>
        <w:rPr>
          <w:rFonts w:ascii="Times New Roman" w:hAnsi="Times New Roman"/>
          <w:sz w:val="20"/>
        </w:rPr>
        <w:t xml:space="preserve">” beginning on page 161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After discussion, based on the factors cited in “</w:t>
      </w:r>
      <w:r>
        <w:rPr>
          <w:rFonts w:ascii="Times New Roman" w:hAnsi="Times New Roman"/>
          <w:i/>
          <w:sz w:val="20"/>
        </w:rPr>
        <w:t>The Merger — Boundless Bio’s Reasons for the Merger</w:t>
      </w:r>
      <w:r>
        <w:rPr>
          <w:rFonts w:ascii="Times New Roman" w:hAnsi="Times New Roman"/>
          <w:sz w:val="20"/>
        </w:rPr>
        <w:t xml:space="preserve">” beginning on page 154 of this proxy statement/prospectus, the Boundless Bio Board of Directors unanimously: (a) determined that the Merger Agreement and the transactions contemplated thereby, including the Merger, the issuance of shares of Boundless Bio Common Stock to Serapha stockholders and to Boundless Bio stockholders in connection with the Merger, and the Boundless Bio Pre-Closing Dividend, are fair to, advisable and in the best interests of Boundless Bio and its stockholders; (b) approved and declared advisable the Merger Agreement and the transactions contemplated thereby; and (c) determined to recommend that the stockholders of Boundless Bio approve the Boundless Bio Stockholder Matters, including the issuance of shares of Boundless Bio Common Stock pursuant to the Merger Agreement and all transactions contemplated by and in connection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the respective parties executed the Merger Agreement and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prior to the opening of trading on Nasdaq, Boundless Bio and Serapha issued a joint press release announcing their entry into the Merger Agreement, and Boundless Bio filed a current report on Form 8-K with the Securities and Exchange Commission announcing, among other things, the execution of the Merger Agreement and the contemplated transactions. </w:t>
      </w:r>
    </w:p>
    <w:p>
      <w:pPr>
        <w:pStyle w:val="TextBody"/>
        <w:bidi w:val="0"/>
        <w:spacing w:before="360" w:after="0"/>
        <w:jc w:val="left"/>
        <w:rPr>
          <w:rFonts w:ascii="Times New Roman" w:hAnsi="Times New Roman"/>
          <w:b/>
          <w:sz w:val="20"/>
        </w:rPr>
      </w:pPr>
      <w:bookmarkStart w:id="15" w:name="tx108148_601"/>
      <w:bookmarkEnd w:id="15"/>
      <w:r>
        <w:rPr>
          <w:rFonts w:ascii="Times New Roman" w:hAnsi="Times New Roman"/>
          <w:b/>
          <w:sz w:val="20"/>
        </w:rPr>
        <w:t xml:space="preserve">Boundless Bio’s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strategic review and its evaluation of the Merger Agreement and the transactions contemplated by the Merger Agreement, the Boundless Bio Board of Directors held numerous meetings, consulted with Boundless Bio’s management, Boundless Bio’s outside legal counsel and financial advisor, and reviewed, discussed, and assessed Boundless Bio’s opportunities and strategic alternatives.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reaching its unanimous decision on June 21, 2026, to approve the Merger Agreement and the transactions contemplated by the Merger Agreement, the Boundless Bio Board of Directors considered a number of factors that it viewed as supporting its decision,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analyses and advice of Boundless Bio’s management team with respect to the potential strategic, financial and operational benefits of the Merger were reasonable and informed by the information available to management and the Boundless Bio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Boundless Bio and the risks associated with continuing to operate Boundless Bio on a stand-alone basis, particularly in light of the significant decline in the trading price of Boundless Bio Common Stock over the preceding two years and the risks and costs associated with maintaining Boundless Bio’s Nasdaq listing;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Boundless Bio would have difficulty raising a sufficient amount of additional capital to fund development of its product candidate as a standalone company in light of, among other things, emerging clinical data for BBI-940 from the KOMODO-1 study, and the significant decline in Boundless Bio’s share price over the preceding two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remaining a standalone company was not reasonably likely to generate greater value for Boundless Bio stockholders than a strategic transaction in light of emerging clinical data regarding BBI-940 and the inability to raise sufficient capital to develop any alternative asset;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process conducted by the Boundless Bio Board of Directors and its advisors of reviewing and evaluating potential strategic alternatives, including extensive multi-year in-licensing efforts, outreach by Lucid to approximately 14 potential counterparties resulting in two non-binding proposals, and consideration of other alternatives including dissolution and liquidation;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was more favorable to Boundless Bio stockholders than the potential value that might have resulted from remaining a standalone company or entering into other strategic alternatives available to Boundless Bio, including continuing standalone operations, a liquidation and dissolution of Boundless Bio and the distribution of any available cash, or pursuing a transaction with the other counterparty that submitted a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 liquidation and dissolution was not reasonably likely to create greater value for Boundless Bio stockholders than a strategic alternative transaction based on, among other things, the need to hold back a meaningful amount of Boundless Bio’s current cash balance for an extended period to cover current and potential future liabilities, including wind-down costs, the time delay and uncertainty inherent in a dissolution process, and the limited value expected to be realized for Boundless Bio’s public listing or its assets in a liquidation;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would provide Boundless Bio existing stockholders an opportunity to participate in the potential growth of the Combined Company following the Merger, which will focus on the development of SERP-01, Serapha’s only product candidate licensed from YolTech, while also receiving a cash payment on account of the Boundless Bio Pre-Closing Dividend;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$12.5 million enterprise value ascribed to Boundless Bio (assuming $0 of Boundless Bio net cash at closing, after giving effect to the Boundless Bio Pre-Closing Dividend) would provide the existing Boundless Bio stockholders with value for Boundless Bio’s public listing and afford Boundless Bio stockholders an opportunity to participate in the potential growth of the Combined Company following the Merger at the negotiated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of approximately $44 million to $48 million, representing substantially all of Boundless Bio’s anticipated remaining net cash, together with the equity value ascribed to Boundless Bio in the Merger, which together represent a premium to the recent trading price of Boundless Bio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as a result of arm’s-length negotiations with Serapha, Boundless Bio and its representatives negotiated the most favorable terms to Boundless Bio in the aggregate to which Serapha was willing to agree;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positive view, based on the scientific, regulatory and technical due diligence conducted by Boundless Bio’s management and advisors, of the regulatory pathway for, and potential market opportunity of, SERP-01, Serapha’s licensed product candidate, which will be the focus of the Combined Company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cash balances of the Combined Company as of the closing of the Merger resulting from expected gross proceeds of no less than approximately $200 million, and expected to be approximately $230 million, from the Serapha Pre-Closing Financing, which will precede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participation of healthcare institutional investors in the Serapha Pre-Closing Financing supports the expected capitalization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view, following a review with Boundless Bio’s management and advisors of Serapha’s current development and clinical trial plans, of the likelihood that the Combined Company would possess sufficient cash resources at the closing of the Merger, or have access to sufficient resources, to fund continued development of Serapha’s licensed product candidate through upcoming value inflection points;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strategic parties that made proposals for a strategic transaction with Boundless Bio, based on the scientific, technical, financial, legal, and other due diligence conducted by Boundless Bio’s management and advisors;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Boundless Bio Board of Directors to respond to unsolicited acquisition proposals that third parties may make before Boundless Bio stockholders approve the Merger, including the Boundless Bio Board of Directors’ ability to change its recommendation regarding the Merger and (subject to payment of the termination fee payable by Boundless Bio described elsewhere in this proxy statement/prospectus) terminate the Merger Agreement in response to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opinion of Lucid that, as of June 21, 2026, and based upon and subject to the various assumptions made, procedures followed, matters considered, and qualifications and limitations set forth in its written opinion, the Exchange Ratio to be paid by Boundless Bio pursuant to the Merger Agreement was fair, from a financial point of view, to the holders of Boundless Bio Common Stock. For more information, please see the section of this proxy statement/prospectus titled “</w:t>
            </w:r>
            <w:r>
              <w:rPr>
                <w:rFonts w:ascii="Times New Roman" w:hAnsi="Times New Roman"/>
                <w:i/>
                <w:sz w:val="20"/>
              </w:rPr>
              <w:t>Opinion of Boundless Bio’s Financial Advisor</w:t>
            </w:r>
            <w:r>
              <w:rPr>
                <w:rFonts w:ascii="Times New Roman" w:hAnsi="Times New Roman"/>
                <w:sz w:val="20"/>
              </w:rPr>
              <w:t xml:space="preserve">” beginning on page 161 of this proxy statement/prospectus and the full text of the written opinion attached as Annex E to this proxy statement/prospectus, which is incorporated by reference in this proxy statement/prospectus in its entirety.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the Merger Agreement and the contemplated transactions, the Boundless Bio Board of Directors also reviewed the terms of the Merger Agreement and related transaction documents, including those described below, and concluded that the terms of the Merger Agreement and related transaction documents, in the aggregate, were fair to and in the best interests of Boundless Bio and its stockholders under the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Boundless Bio Common Stock to be issued in the Merger, including that pre-Merger Boundless Bio stockholders are expected to hold approximately 3.8% of the fully-diluted capitalization of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of the Boundless Bio Pre-Closing Dividend, pursuant to which 100% of Boundless Bio’s Net Cash (approximately $44 million to $48 million) will be distributed to Boundless Bio stockholders prior to the closing of the Merger, together with a mechanism that increases Boundless Bio’s Net Cash (and therefore the dividend amount) by $500,000 per month beginning November 23, 2026 if closing is delayed primarily as a result of Serapha’s failure to provide required Registration Statement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Boundless Bio’s and Serapha’s respective obligations to complete the Merger, including regulatory clearance (if applicable), Nasdaq listing approval, effectiveness of the Registration Statement and receipt of required stockholder approvals, and the likelihood that such conditions will be satisfied on a timely basis, as more fully described below under the caption “</w:t>
            </w:r>
            <w:r>
              <w:rPr>
                <w:rFonts w:ascii="Times New Roman" w:hAnsi="Times New Roman"/>
                <w:i/>
                <w:sz w:val="20"/>
              </w:rPr>
              <w:t>The Merger Agreement — Conditions to the Completion of the Merger</w:t>
            </w:r>
            <w:r>
              <w:rPr>
                <w:rFonts w:ascii="Times New Roman" w:hAnsi="Times New Roman"/>
                <w:sz w:val="20"/>
              </w:rPr>
              <w:t xml:space="preserve">,” beginning on page 207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minimum Serapha Pre-Closing Financing amount of $200 million (with expected proceeds of approximately $230 million) as a condition to Boundless Bio’s obligation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Boundless Bio and Serapha under the Merger Agreement to consider and engage in discussions regarding unsolicited acquisition proposals under certain circumstances, including the Boundless Bio Board of Directors’ ability to effect a change in recommendation in response to a Superior Offer or Boundless Bio Intervening Event, and the limitations on the Boundless Bio Board of Directors to change its recommendation in favor of the Merger, as more fully described below under the caption “</w:t>
            </w:r>
            <w:r>
              <w:rPr>
                <w:rFonts w:ascii="Times New Roman" w:hAnsi="Times New Roman"/>
                <w:i/>
                <w:sz w:val="20"/>
              </w:rPr>
              <w:t>The Merger Agreement — Non-Solicitation</w:t>
            </w:r>
            <w:r>
              <w:rPr>
                <w:rFonts w:ascii="Times New Roman" w:hAnsi="Times New Roman"/>
                <w:sz w:val="20"/>
              </w:rPr>
              <w:t xml:space="preserve">,” beginning on page 202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termination fees of $1 million payable by Boundless Bio to Serapha, or by Serapha to Boundless Bio, if the Merger Agreement is terminated in certain circumstances, and the reasonableness of such fees in relation to the transaction, as more fully described below under the caption “</w:t>
            </w:r>
            <w:r>
              <w:rPr>
                <w:rFonts w:ascii="Times New Roman" w:hAnsi="Times New Roman"/>
                <w:i/>
                <w:sz w:val="20"/>
              </w:rPr>
              <w:t>The Merger Agreement — Termination and Termination Fee</w:t>
            </w:r>
            <w:r>
              <w:rPr>
                <w:rFonts w:ascii="Times New Roman" w:hAnsi="Times New Roman"/>
                <w:sz w:val="20"/>
              </w:rPr>
              <w:t xml:space="preserve">,” beginning on page 208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officers and directors of Serapha who will continue as officers and directors of the Combined Company will agree not to transfer their shares of Combined Company common stock during the period of 180 days following the completion of the Merger, as more fully described below under the caption “</w:t>
            </w:r>
            <w:r>
              <w:rPr>
                <w:rFonts w:ascii="Times New Roman" w:hAnsi="Times New Roman"/>
                <w:i/>
                <w:sz w:val="20"/>
              </w:rPr>
              <w:t>Agreements Related to the Merger — Lock-Up Agreements</w:t>
            </w:r>
            <w:r>
              <w:rPr>
                <w:rFonts w:ascii="Times New Roman" w:hAnsi="Times New Roman"/>
                <w:sz w:val="20"/>
              </w:rPr>
              <w:t xml:space="preserve">,” beginning on page 212 of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Serapha and certain officers and directors of Boundless Bio have agreed, solely in their capacities as stockholders, to vote their shares of Boundless Bio Common Stock or Serapha Common Stock, respectively, in favor of the proposals submitted to them in connection with the Merger, as more fully described below under the caption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Boundless Bio Board of Directors also considered a variety of risks and other countervailing factors related to entering into the Merger Agreement and the transactions contemplated thereby,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$1 million termination fee payable by Boundless Bio upon the occurrence of certain events and the potential effect of such termination fee in deterring other potential acquirers from proposing an alternative acquisition that may be more advantageous to Boundless Bio stockholders;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Boundless Bio in connection with the Merger;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Boundless Bio from soliciting alternative acquisition proposals during the pendency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Boundless Bio Common Stock resulting from the announcement, pendency or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and business of Boundless Bio;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Serapha Pre-Closing Financing might not be consummated in a timely manner or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dilution to existing Boundless Bio stockholders, who are expected to hold approximately 3.8% of the fully-diluted capitalization of Combined Company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governance control, as all current officers and directors of Boundless Bio will be replaced following the closing of the Merger, with new officers and directors to be selected by Serapha in its sole discretion, subject to applicable Nasdaq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of the Combined Company’s pipeline in a single licensed product candidate, SERP-01 (YOLT-202), the dependence on a third-party license from YolTech for the underlying intellectual property, and the royalty and milestone obligations payable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conflict of interest created by the fact that Boundless Bio’s executive officers and directors have financial or other interests in the Merger that may be different from, or in addition to, those of other stockholders, as more fully described below in “</w:t>
            </w:r>
            <w:r>
              <w:rPr>
                <w:rFonts w:ascii="Times New Roman" w:hAnsi="Times New Roman"/>
                <w:i/>
                <w:sz w:val="20"/>
              </w:rPr>
              <w:t>Interests of Boundless Bio’s Directors and Executive Officers in the Merger</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20 and 141,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Boundless Bio Board of Directors are not intended to be exhaustive but are believed to include all of the material factors considered by the Boundless Bio Board of Directors. In view of the wide variety of factors considered in connection with its evaluation of the Merger and the complexity of these matters, the Boundless Bio Board of Directors did not find it useful to attempt, and did not attempt, to quantify, rank or otherwise assign relative weights to these factors. In considering the factors described above, individual members of the Boundless Bio Board of Directors may have given different weight to different factors. The Boundless Bio Board of Directors conducted an overall analysis of the factors described above, including thorough discussions with, and questioning of, Boundless Bio’s management, outside legal counsel and financial advisor, and considered the factors, taken as a whole, to be favorable to, and to support, its determination. </w:t>
      </w:r>
    </w:p>
    <w:p>
      <w:pPr>
        <w:pStyle w:val="TextBody"/>
        <w:bidi w:val="0"/>
        <w:spacing w:before="360" w:after="0"/>
        <w:jc w:val="left"/>
        <w:rPr>
          <w:rFonts w:ascii="Times New Roman" w:hAnsi="Times New Roman"/>
          <w:b/>
          <w:sz w:val="20"/>
        </w:rPr>
      </w:pPr>
      <w:bookmarkStart w:id="16" w:name="tx108148_602"/>
      <w:bookmarkEnd w:id="16"/>
      <w:r>
        <w:rPr>
          <w:rFonts w:ascii="Times New Roman" w:hAnsi="Times New Roman"/>
          <w:b/>
          <w:sz w:val="20"/>
        </w:rPr>
        <w:t xml:space="preserve">Serapha’s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Serapha Pre-Closing Financing, the Serapha Board of Directors held numerous meetings, consulted with Serapha’s senior management, legal counsel and financial advisors, and considered a wide variety of factors. Ultimately, the Serapha Board of Directors concluded that a merger with Boundless Bio, together with the additional financing committed from the Serapha Pre-Closing Financing, was the best option to generate capital resources to support the advancement of Serapha’s pipeline and fund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Serapha Board of Directors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Serapha’s pipeline, compared to the capital and investors Serapha could otherwise gain access to if it continued to operate as a privately-held company;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Pre-Closing Financing will generate capital resources to fund the Combined Company;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Serapha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Serapha’s business, including its financial performance and condition, operations, management and preclinical data;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Serapha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fiduciary duties to Serapha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belief that no alternatives to the Merger, together with the additional financing committed from the Serapha Pre-Closing Financing, were reasonably likely to create greater value for Serapha stockholders, after considering the various financing and other strategic options to enhance stockholder value that were considered by the Serapha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expectation that the Merger, together with the additional financing committed from the Serapha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Serapha Capital Stock who comply with the required procedures under the DGCL, which allow such holders to seek appraisal of the fair value of their shares of Serapha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Boundless Bio stockholders and Serapha stockholders in the Combined Company was appropriate, based on the Serapha Board of Directors’ judgment and assessment of the approximate valuations of Boundless Bio (including the value of the Boundless Bio Net Cash that Boundless Bio is expected to provide to the Combined Company) and Serapha (including the value of the amount of proceeds from the Serapha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under Section 368(a) of the Code and/or an exchange under Section 351(a) of the Code for U.S. federal income tax purposes, with the result that the Serapha stockholders will generally not recognize taxable gain or loss for U.S. federal income tax purposes with respect to the Merger;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Boundless Bio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Serapha Board of Directors that the potential termination fees payable by Boundless Bio or Serapha to the other party, and the circumstances when such fee may be payable, were reasonable;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(i) shares of Boundless Bio Common Stock to Serapha stockholders, including shares of Boundless Bio Common Stock issued in exchange for shares of Serapha Common Stock sold in the Serapha Pre-Closing Financing and shares of Boundless Bio Common Stock underlying the Assumed Warrants to be issued in exchange for Serapha Warrants (including any Serapha Pre-Funded Warrants) and Boundless Bio Pre-Funded Warrants and existing shares of Serapha Capital Stock, as applicable, and (ii) the Assumed Warrants in exchange for Serapha Warrants (including any Serapha Pre-Funded Warrants) and Boundless Bio Pre-Funded Warrants will be registered on a Form S-4 registration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Boundless Bio Common Stock issued to Serapha stockholders, including shares of Boundless Bio Common Stock issued in exchange for shares of Serapha Common Stock sold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Pre-Closing Financing and shares of Boundless Bio Common Stock underlying the Assumed Warrants to be issued in exchange for Serapha Warrants (including any Serapha Pre-Funded Warrants) and Boundless Bio Pre-Funded Warrants and existing shares of Serapha Capital Stock, as applicable, will become freely tradable for Serapha securityholders who are not affiliates of Serapha and who are not parties to the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Serapha and Boundless Bio have agreed, solely in their capacity as stockholders of Serapha and Boundless Bio, respectively, to vote all of their shares of Serapha Capital Stock or Boundless Bio Common Stock, respectively, in favor of the adoption or approval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Company’s name to Serapha Bio, Inc. prior to or upon the Closing;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Serapha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Boundless Bio to obtain the required stockholder vote or the failure of Serapha to close the Serapha Pre-Closing Financing, and the potential adverse effect of the public announcement of the Merger on the reputation of Serapha and the ability of Serapha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Serapha Pre-Closing Financing might not be completed or completed in accordance with the terms of the Securities Purchase Agreement and the potential adverse effect of the public announcement of the Serapha Pre-Closing Financing on the reputation of Serapha and the ability of Serapha to obtain financing in the future in the event the Serapha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Boundless Bio Common Stock and/or Boundless Bio Pre-Funded Warrants and/or Assumed Warrants to be issued to Serapha stockholders in the Merger is fixed, except for adjustments due to the Boundless Bio Net Cash balance, the amount of proceeds from the Serapha Pre-Closing Financing and outstanding capital stock at Closing, and thus the relative percentage ownership of Boundless Bio stockholders and Serapha stockholders in the Combined Company immediately following the completion of the Merger is similarly fixed;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the Boundless Bio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Boundless Bio could, under certain circumstances, consider unsolicited acquisition proposals if such proposals are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Serapha senior management required to complete the Merger, the related disruptions or potential disruptions to Serapha’s business operations and future prospects, including its relationships with its employees, suppliers and partners and others that do business or may do business in the future with Serapha,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Serapha’s business will be subject following the Merger that Serapha has not previously been subject to, and the operational changes to Serapha’s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and the potential risk of liabilities that may arise post-Closing;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Boundless Bio Common Stock by existing Boundless Bio stockholders may cause the price of Boundless Bio Common Stock to fall, thus reducing the potential value of Boundless Bio Common Stock received by Serapha stockholders following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20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Serapha Board of Directors in its consideration of the Merger Agreement, the Serapha Pre-Closing Financing, and the transactions contemplated thereby. After conducting an overall analysis of these and other factors, including thorough discussions with, and questioning of, Serapha’s senior management and legal counsel, the Serapha Board of Directors concluded that the benefits, advantages and opportunities of a potential transaction outweighed the uncertainties and risks described above. Based on this overall analysis of the factors described above, the Serapha Board of Directors unanimously approved the Merger Agreement, the Merger, the Serapha Pre-Closing Financing and the other transactions contemplated by the Merger Agreement. </w:t>
      </w:r>
    </w:p>
    <w:p>
      <w:pPr>
        <w:pStyle w:val="TextBody"/>
        <w:bidi w:val="0"/>
        <w:spacing w:before="360" w:after="0"/>
        <w:jc w:val="left"/>
        <w:rPr>
          <w:rFonts w:ascii="Times New Roman" w:hAnsi="Times New Roman"/>
          <w:b/>
          <w:sz w:val="20"/>
        </w:rPr>
      </w:pPr>
      <w:bookmarkStart w:id="17" w:name="tx108148_605"/>
      <w:bookmarkEnd w:id="17"/>
      <w:r>
        <w:rPr>
          <w:rFonts w:ascii="Times New Roman" w:hAnsi="Times New Roman"/>
          <w:b/>
          <w:sz w:val="20"/>
        </w:rPr>
        <w:t xml:space="preserve">Opinion of Boundless Bio’s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As stated above, pursuant to the engagement letter between Lucid and Boundless Bio dated May 30, 2026 (the “Engagement Letter”), Boundless Bio retained Lucid to act as its financial advisor in connection with the Merger and to render an opinion (the “Lucid Opinion”) to the Boundless Bio Board of Directors as to the fairness of the Exchange Ratio from a financial point of view, to the holders of Boundless Bio Common Stock. On June 21, 2026, at the request of the Boundless Bio Board of Directors, Lucid rendered an oral opinion, subsequently confirmed by delivery of the Lucid Opinion, dated June 21, 2026, to the Boundless Bio Board of Directors that the Exchange Ratio was fair, from a financial point of view, to the holders of Boundless Bio Common Stock as of the date of the Lucid Opinion and based upon the various assumptions, qualifications and limitations set forth therein.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Lucid Opinion is attached as Annex E to this proxy statement/prospectus and is incorporated by reference. Boundless Bio encourages its stockholders to read the Lucid Opinion in its entirety for the assumptions made, procedures followed, other matters considered and limits of the review by Lucid. The summary of the Lucid Opinion set forth herein is qualified by reference to the full text of the Lucid Opinion. Lucid provided the Lucid Opinion for the sole benefit of and use by the Boundless Bio Board of Directors in its consideration of the Merger. The Lucid Opinion is not a recommendation to the Boundless Bio Board of Directors or to any Boundless Bio stockholder to take any action in connection with the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was amended on August 28, 2026 to, among other things, address the conversion of Serapha RSUs into Assumed RSUs and the issuance of Boundless Bio Pre-Funded Warrants in lieu of shares of Boundless Bio Common Stock that would otherwise be issued in excess of a holder’s Beneficial Ownership Limitation in connection with the Merger. This “Opinion of Boundless Bio’s Financial Advisor” reflects the current structure of the Merger. The Lucid Opinion attached as Annex E includes language regarding the original form of the Merger Agreement. Lucid has confirmed with the Boundless Bio Board of Directors that these changes to the Merger (i) do not impact the conclusions of its opinion and (ii) do not require an amendment to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Lucid Opinion, Lucid took into account an assessment of general economic, market and financial conditions as well as its experience in connection with similar transactions and securities valuations generally and, among other things: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publicly available financial and other information for each of Boundless Bio and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certain members of the management of Boundless Bio the historical and current business operations, financial condition and prospects of Boundless Bio and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operating results of Serapha as compared to operating results and the reported price and trading histories of certain publicly traded companies that Lucid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the Merger Agreement as compared to the publicly available financial terms of certain selected business combinations that Lucid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completed initial public offerings for certain companies that Lucid deemed relevant;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such other information and such other factors, and conducted such other financial studies, analyses and investigations, as Lucid deemed relevant for the purposes of the Lucid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Lucid’s review and arriving at the Lucid Opinion, Lucid has, with Boundless Bio’s consent, assumed and relied upon the accuracy and completeness of all financial and other information provided to or discussed with Lucid by Boundless Bio and Serapha, respectively (or their respective employees, representatives or affiliates), or which is publicly available or was otherwise reviewed by Lucid. Lucid has not undertaken any responsibility for the accuracy, completeness or reasonableness of, or conducted independent verification of, such information. Lucid has, with Boundless Bio’s consent, relied upon the assumption that all information provided to Lucid by Boundless Bio and Serapha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Lucid has expressly disclaimed any undertaking or obligation to advise any person of any change in any fact or matter affecting the Lucid Opinion of which Lucid becomes aware after the date of the Lucid Opinion. Lucid assumed there were no material changes in the assets, liabilities, financial condition, results of operations, business or prospects of Boundless Bio or Serapha since the date of the last financial statements made available to Lucid. Lucid has not obtained any independent evaluations, valuations or appraisals of the assets or liabilities of Boundless Bio or Serapha, nor has Lucid been furnished with such materials. In addition, Lucid has not evaluated the solvency or fair value of Boundless Bio or Serapha under any state or federal laws relating to bankruptcy, insolvency or similar matters. The Lucid Opinion does not address any legal, regulatory, tax or accounting matters related to the Merger, as to which Lucid has assumed that Boundless Bio and the Boundless Bio Board of Directors have received advice from legal, regulatory, tax and accounting advisors as each has determined appropriate. Lucid further assumed, at Boundless Bio’s direction, that the Merger will qualify for U.S. federal income tax purposes as a (1) reorganization within the meaning of Section 368(a) of the Code and/or (2) an exchange of shares of Serapha Capital Stock for Boundless Bio Common Stock under Section 351(a) of the Code. The Lucid Opinion addresses only the fairness of the Exchange Ratio, as of the date of the Lucid Opinion and from a financial point of view, to the holders of Boundless Bio Common Stock. Lucid expresses no view as to any other aspect or implication of the Merger or any other agreement or arrangement entered into in connection with the Merger. The Lucid Opinion is necessarily based upon economic and market conditions and other circumstances as they existed and could be evaluated by Lucid on the date of the Lucid Opinion. It should be understood that although subsequent developments may affect the Lucid Opinion, Lucid does not have any obligation to update, revise or reaffirm the Lucid Opinion and Lucid expressly disclaims any responsibility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Lucid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the Lucid Opinion, Lucid assumed, with Boundless Bio’s consent, that, except as would not be in any way meaningful to Lucid’s analysis, the representations and warranties of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in the Merger Agreement were true and correct in all respects, that each party will perform all of the covenants and agreements required to be performed by it under the Merger Agreement and that all conditions to the consummation of the Merger will be satisfied without waiver or amendment of any term or condition thereof. Lucid assumed that the final form of the Merger Agreement would be substantially similar to the last draft reviewed by Lucid. Lucid also assumed that all governmental, regulatory and other consents and approvals contemplated by the Merger Agreement or otherwise required for the transactions will be obtained and that in the course of obtaining any of those consents no restrictions will be imposed or waivers made that would have an adverse effect on Boundless Bio, Serapha or the contemplated benefits of the Merger. Lucid has assumed that the Merger will be consummated in a manner that complies with the applicable provisions of the Securities Act and the Exchange Act, and all other applicable federal and state statutes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the Lucid Opinion, Lucid has, with Boundless Bio’s consent, assumed that (i) the YolTech License Agreement, pursuant to which Serapha acquires intellectual property rights related to YOLT-202, is in effect, (ii) the Boundless Bio Pre-Closing Dividend has occurred, (iii) Serapha will receive approximately $230.0 million in proceeds from the Serapha Pre-Closing Financing, and (iv) upon closing of the Merger, the holders of Serapha Capital Stock will in the aggregate hold approximately 23.3% of the fully-diluted shares of Boundless Bio Common Stock and the holders of Boundless Bio Common Stock will in the aggregate hold approximately 3.95% of the fully-diluted shares of Boundless Bio Common Stock immediately following the Merger, after giving effect to the Serapha Pre-Closing Financing,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Lucid Opinion is intended for the benefit and use of the Boundless Bio Board of Directors in its consideration of the financial terms of the Merger and, except as set forth in the Engagement Letter, may not be used for any other purpose or reproduced, disseminated, quoted or referred to at any time, in any manner or for any purpose without Lucid’s prior written consent, unless pursuant to applicable law or regulations or required by other regulatory authority by the order or ruling of a court or administrative body, except that the Lucid Opinion may be included in its entirety in any filing related to the Merger to be filed with the SEC and the proxy statement/prospectus to be mailed to Boundless Bio’s stockholders. The Lucid Opinion does not constitute a recommendation to the Boundless Bio Board of Directors of whether or not to approve the Merger or to any Boundless Bio stockholder or any other person to take any action in connection with the Merger or otherwise. The Lucid Opinion does not address Boundless Bio’s underlying business decision to proceed with the Merger or the relative merits of the Merger compared to other alternatives that might be available to Boundless Bio. Lucid expressed no opinion as to the prices or ranges of prices at which the securities of any person, including Boundless Bio, will trade at any time, including following the announcement or consummation of the Merger. Lucid has not been requested to opine as to, and the Lucid Opinion does not in any manner address, the amount or nature of compensation to any of the officers, directors or employees of any party to the Merger, or any class of such persons, relative to the compensation to be paid to Boundless Bio or Serapha stockholders in connection with the Merger or with respect to the fairness of any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Lucid Opinion may not be published or otherwise used or referred to, nor will any public reference to Lucid be made, without Lucid’s prior written consent. </w:t>
      </w:r>
    </w:p>
    <w:p>
      <w:pPr>
        <w:pStyle w:val="TextBody"/>
        <w:bidi w:val="0"/>
        <w:spacing w:before="360" w:after="0"/>
        <w:jc w:val="left"/>
        <w:rPr>
          <w:rFonts w:ascii="Times New Roman" w:hAnsi="Times New Roman"/>
          <w:i/>
          <w:sz w:val="20"/>
        </w:rPr>
      </w:pPr>
      <w:r>
        <w:rPr>
          <w:rFonts w:ascii="Times New Roman" w:hAnsi="Times New Roman"/>
          <w:i/>
          <w:sz w:val="20"/>
        </w:rPr>
        <w:t xml:space="preserve">Principal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financial analyses performed by Lucid to arrive at the Lucid Opinion. Some of the summaries of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Lucid performed certain procedures, including each of the financial analyses described below, and reviewed with the Boundless Bio Board of Directors the assumptions on which such analyses were based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historical financial results of Boundless Bio and Serapha. Neither Boundless Bio nor Serapha’s management provided Lucid with, and Lucid did not otherwise have access to, any financial forecasts or projections with respect to Serapha or Boundless Bio. Accordingly, Lucid did not perform a discounted cash flow analysis or any other analysis based on financial forecasts or projections. </w:t>
      </w:r>
    </w:p>
    <w:p>
      <w:pPr>
        <w:pStyle w:val="TextBody"/>
        <w:bidi w:val="0"/>
        <w:spacing w:before="240" w:after="0"/>
        <w:jc w:val="left"/>
        <w:rPr>
          <w:rFonts w:ascii="Times New Roman" w:hAnsi="Times New Roman"/>
          <w:sz w:val="20"/>
        </w:rPr>
      </w:pPr>
      <w:r>
        <w:rPr>
          <w:rFonts w:ascii="Times New Roman" w:hAnsi="Times New Roman"/>
          <w:sz w:val="20"/>
        </w:rPr>
        <w:t xml:space="preserve">In selecting comparable companies and transactions for the analyses described below, Lucid sought to identify biopharmaceutical companies and transactions involving companies operating in therapeutic areas relevant to Serapha, including degenerative liver and lung diseases and gene therapy, as well as companies with product candidates at comparable stages of development. Given the limited number of publicly traded early-stage companies focused on these therapeutic areas, together with the limited number of IPO and M&amp;A transactions involving such companies in recent years, Lucid included the publicly available preclinical and clinical-stage companies and transactions that met the applicable parameters of its analyses and expanded certain analyses to include select companies with lead candidates in later stages of clinical development that Lucid believed provided relevant additional valuation context. Lucid recognized that companies with lead candidates at different stages of clinical development are not directly comparable to Serapha given differences in development stage, clinical and regulatory risk and proximity to potential commercialization. Accordingly, Lucid considered such companies and transactions as reference points within a broader range of valuation analyses and did not view any single company, transaction, analysis or comparable company set as determinative or rely upon such analysis in isolation. Lucid did not exclude from the applicable analyses any company or transaction that satisfied the selection parameters described for such analysis.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Valuation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the Lucid Opinion, Lucid utilized a Serapha Valuation (as defined in the Merger Agreement) of $303.7 million, which is calculated by adding the negotiated Serapha Equity Value of $73.7 million plus the total proceeds contemplated by the Serapha Pre-Closing Financing ($230.0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Initial Public Offering Transactions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the initial public offerings (“IPOs”) of 12 degenerative liver &amp; lung disease-focused biopharmaceutical companies that have completed an IPO since July 2020 and whose lead product at the time of IPO was in preclinical or clinical stage of development. Although the companies referred to below were used for comparison purposes, none of these companies are directly comparable to Serapha. Accordingly, the analysis involves considerations and judgments concerning differences in historical financial and operating characteristics of the selected companies. These companies, which are referred to as the “Selected Precedent IPO Companies – Degenerative Liver &amp; Lung Disease Companies,” were: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AN2 Therapeutics, Inc.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Avalyn Pharma Inc.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CAMP4 Therapeutics </w:t>
            </w:r>
          </w:p>
        </w:tc>
      </w:tr>
    </w:tbl>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110"/>
        <w:gridCol w:w="60"/>
        <w:gridCol w:w="2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Contineum Therapeutics, Inc.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 Biomedicines, Inc.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110"/>
        <w:gridCol w:w="60"/>
        <w:gridCol w:w="1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Inventiva S.A. </w:t>
            </w:r>
          </w:p>
        </w:tc>
      </w:tr>
    </w:tbl>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110"/>
        <w:gridCol w:w="60"/>
        <w:gridCol w:w="1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Sagimet Biosciences Inc.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Sionna Therapeutics, Inc.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Terns Pharmaceuticals, Inc.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Upstream Bio,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total enterprise value at IPO is defined as the pre-money equity value plus indebtedness, liquidation value of preferred stock and non-controlling interest, minus cash and cash equivalents, in each case at the time of the applicable IPO. The Selected Precedent IPO Companies – Degenerative Liver &amp; Lung Disease Companies had total enterprise values between $137.0 million and $1.4 billion. Lucid derived a median total enterprise value of $269.1 million for the Selected Precedent IPO Companies – Degenerative Liver &amp; Lung Disease Companies. Using the 25th percentile and the 75th percentile of the enterprise values, Lucid then derived a range of implied total equity values for Serapha by adding $230.0 million in net cash at closing, resulting in a range of approximately $399.0 million to $631.6 million.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IPO Companies – Degenerative Liver &amp; Lung Disease Companies </w:t>
      </w:r>
    </w:p>
    <w:p>
      <w:pPr>
        <w:pStyle w:val="TextBody"/>
        <w:bidi w:val="0"/>
        <w:spacing w:before="0" w:after="0"/>
        <w:jc w:val="left"/>
        <w:rPr/>
      </w:pPr>
      <w:r>
        <w:rPr/>
        <w:t> </w:t>
      </w:r>
    </w:p>
    <w:tbl>
      <w:tblPr>
        <w:tblW w:w="5309" w:type="dxa"/>
        <w:jc w:val="left"/>
        <w:tblInd w:w="0" w:type="dxa"/>
        <w:tblLayout w:type="fixed"/>
        <w:tblCellMar>
          <w:top w:w="0" w:type="dxa"/>
          <w:left w:w="0" w:type="dxa"/>
          <w:bottom w:w="0" w:type="dxa"/>
          <w:right w:w="0" w:type="dxa"/>
        </w:tblCellMar>
      </w:tblPr>
      <w:tblGrid>
        <w:gridCol w:w="995"/>
        <w:gridCol w:w="120"/>
        <w:gridCol w:w="2825"/>
        <w:gridCol w:w="120"/>
        <w:gridCol w:w="186"/>
        <w:gridCol w:w="988"/>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Filing Date</w:t>
            </w:r>
          </w:p>
        </w:tc>
        <w:tc>
          <w:tcPr>
            <w:tcW w:w="12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Issuer</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b/>
              </w:rPr>
            </w:pPr>
            <w:r>
              <w:rPr>
                <w:b/>
              </w:rPr>
              <w:t>Enterprise</w:t>
              <w:br/>
              <w:t>Value ($M)</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4/29/2026</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Avalyn Pharma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314.2</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2/26/2026</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Generate Biomedicines,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1,417.7</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2/6/2025</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Sionna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427.2</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Upstream Bio,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142.1</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CAMP4 Therapeutics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137.0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4/4/2024</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Contineum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174.2</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7/13/2023</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Sagimet Biosciences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251.3</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10/19/2022</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Prime Medicine,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1,305.7</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3/29/2022</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AN2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153.5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2/4/2021</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Terns Pharmaceuticals,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218.0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10/15/2020</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Aligos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286.9</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7/9/2020</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Inventiva S.A.</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393.1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Initial Public Offering Transactions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the IPOs of 12 gene therapy-focused biopharmaceutical companies that have completed an IPO since February 2020 and whose lead product at the time of IPO was in preclinical or clinical stage of development. Although the companies referred to below were used for comparison purposes, none of these companies are directly comparable to Serapha. Accordingly, the analysis involves considerations and judgments concerning differences in historical financial and operating characteristics of the selected companies. These companies, which are referred to as the “Selected Precedent IPO Companies – Gene Therapy Companies,” were: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4D Molecular Therapeutics, Inc.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CAMP4 Therapeutics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Caribou Biosciences, Inc. </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75"/>
        <w:gridCol w:w="110"/>
        <w:gridCol w:w="60"/>
        <w:gridCol w:w="1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CG Oncology, Inc.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Foghorn Therapeutics Inc. </w:t>
            </w:r>
          </w:p>
        </w:tc>
      </w:tr>
    </w:tbl>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75"/>
        <w:gridCol w:w="110"/>
        <w:gridCol w:w="60"/>
        <w:gridCol w:w="1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Genenta S.p.A.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Lexeo Therapeutics, Inc.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Maze Therapeutics, Inc.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Passage Bio, Inc. </w:t>
            </w:r>
          </w:p>
        </w:tc>
      </w:tr>
    </w:tbl>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110"/>
        <w:gridCol w:w="60"/>
        <w:gridCol w:w="1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Taysha Gene Therapies,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total enterprise value at IPO is defined as the pre-money equity value plus indebtedness, liquidation value of preferred stock and non-controlling interest, minus cash and cash equivalents, in each case at the time of the applicable IPO. The Selected Precedent IPO – Gene Therapy Companies had total enterprise values between $129.3 million and $1.3 billion. Lucid derived a median total enterprise value of $377.5 million for the Selected Precedent IPO Companies – Gene Therapy Companies. Using the 25th percentile and the 75th percentile of the enterprise values, Lucid then derived a range of implied total equity values for Serapha by adding $230.0 million in net cash at closing, resulting in a range of approximately $481.6 million to $725.1 million.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IPO Companies – Gene Therapy Companies </w:t>
      </w:r>
    </w:p>
    <w:p>
      <w:pPr>
        <w:pStyle w:val="TextBody"/>
        <w:bidi w:val="0"/>
        <w:spacing w:before="0" w:after="0"/>
        <w:jc w:val="left"/>
        <w:rPr/>
      </w:pPr>
      <w:r>
        <w:rPr/>
        <w:t> </w:t>
      </w:r>
    </w:p>
    <w:tbl>
      <w:tblPr>
        <w:tblW w:w="5579" w:type="dxa"/>
        <w:jc w:val="left"/>
        <w:tblInd w:w="0" w:type="dxa"/>
        <w:tblLayout w:type="fixed"/>
        <w:tblCellMar>
          <w:top w:w="0" w:type="dxa"/>
          <w:left w:w="0" w:type="dxa"/>
          <w:bottom w:w="0" w:type="dxa"/>
          <w:right w:w="0" w:type="dxa"/>
        </w:tblCellMar>
      </w:tblPr>
      <w:tblGrid>
        <w:gridCol w:w="995"/>
        <w:gridCol w:w="120"/>
        <w:gridCol w:w="3095"/>
        <w:gridCol w:w="120"/>
        <w:gridCol w:w="186"/>
        <w:gridCol w:w="988"/>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Filing Date</w:t>
            </w:r>
          </w:p>
        </w:tc>
        <w:tc>
          <w:tcPr>
            <w:tcW w:w="12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Issuer</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b/>
              </w:rPr>
            </w:pPr>
            <w:r>
              <w:rPr>
                <w:b/>
              </w:rPr>
              <w:t xml:space="preserve">Enterprise </w:t>
              <w:br/>
              <w:t>Value ($M)</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1/30/2025</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Maze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363.3</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10/10/2024</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CAMP4 Therapeutics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137.0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1/24/2024</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CG Oncology,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638.5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11/2/2023</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Lexeo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145.6</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10/19/2022</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Prime Medicine,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1,305.7</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12/15/2021</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Genenta S.p.A.</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129.3</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7/22/2021</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Caribou Biosciences,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473.8</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12/10/2020</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4D Molecular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298.4</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10/22/2020</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Foghorn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391.3</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10/15/2020</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Aligos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286.9</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9/24/2020</w:t>
            </w:r>
          </w:p>
        </w:tc>
        <w:tc>
          <w:tcPr>
            <w:tcW w:w="120" w:type="dxa"/>
            <w:tcBorders/>
            <w:shd w:fill="CCEEFF" w:val="clear"/>
            <w:vAlign w:val="center"/>
          </w:tcPr>
          <w:p>
            <w:pPr>
              <w:pStyle w:val="TableContents"/>
              <w:bidi w:val="0"/>
              <w:spacing w:before="0" w:after="283"/>
              <w:jc w:val="left"/>
              <w:rPr/>
            </w:pPr>
            <w:r>
              <w:rPr/>
              <w:t>  </w:t>
            </w:r>
          </w:p>
        </w:tc>
        <w:tc>
          <w:tcPr>
            <w:tcW w:w="3095" w:type="dxa"/>
            <w:tcBorders/>
            <w:shd w:fill="CCEEFF" w:val="clear"/>
            <w:vAlign w:val="center"/>
          </w:tcPr>
          <w:p>
            <w:pPr>
              <w:pStyle w:val="TableContents"/>
              <w:bidi w:val="0"/>
              <w:spacing w:before="0" w:after="283"/>
              <w:jc w:val="left"/>
              <w:rPr/>
            </w:pPr>
            <w:r>
              <w:rPr/>
              <w:t>Taysha Gene Therapies,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558.8</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2/27/2020</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Passage Bio,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417.1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Analysis of Selected Publicly Traded Companies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data for 22 publicly traded degenerative liver &amp; lung disease-focused biopharmaceutical companies with lead candidates in preclinical or clinical stage development that share similar business characteristics to Serapha including their focus on degenerative liver or lung diseases, the indications targeted by their lead product candidates and the stage of development of such lead product candidates (referred to as the “Selected Publicly Traded Companies – Degenerative Liver &amp; Lung Disease Companies”). Lucid considered these characteristics collectively in exercising its professional judgement regarding comparability and did not require each selected company to share every characteristic of Serapha. Although the companies referred to below were used for comparison purposes, none of those companies is directly comparable to Serapha. Accordingly, the analysis involves considerations and judgments concerning differences in historical and financial and operating characteristics of the selected companies. The total enterprise values are based on closing stock prices on June 18, 2026. The Selected Publicly Traded Companies were: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Aligos Therapeutics, Inc.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Altimmune, Inc.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AN2 Therapeutics, Inc.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Arbutus Biopharma Corporation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10"/>
        <w:gridCol w:w="6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Arcturus Therapeutics Holdings Inc.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Assembly Biosciences, Inc.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Avalyn Pharma Inc.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Beam Therapeutics Inc. </w:t>
            </w:r>
          </w:p>
        </w:tc>
      </w:tr>
    </w:tbl>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110"/>
        <w:gridCol w:w="60"/>
        <w:gridCol w:w="2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Contineum Therapeutics,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Galectin Therapeutics Inc.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110"/>
        <w:gridCol w:w="60"/>
        <w:gridCol w:w="1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Inventiva S.A.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MiNK Therapeutics, Inc.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Precision BioSciences, Inc. </w:t>
            </w:r>
          </w:p>
        </w:tc>
      </w:tr>
    </w:tbl>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110"/>
        <w:gridCol w:w="60"/>
        <w:gridCol w:w="1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ProQR Therapeutics N.V.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110"/>
        <w:gridCol w:w="60"/>
        <w:gridCol w:w="1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Rein Therapeutics Inc.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Sagimet Biosciences Inc.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10"/>
        <w:gridCol w:w="60"/>
        <w:gridCol w:w="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Savara Inc.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Seres Therapeutics, Inc.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Sionna Therapeutics, Inc.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Vir Biotechnology, Inc.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Selected Publicly Traded Companies – Degenerative Liver &amp; Lung Disease Companies had total enterprise values between $(22.0) million and $2.2 billion. Lucid derived a median total enterprise value of $276.0 million for the Selected Publicly Traded Companies – Degenerative Liver &amp; Lung Disease Companies. Using the 25th percentile and the 75th percentile of the enterprise values, Lucid then derived a range of implied total equity values for Serapha by adding $230.0 million in net cash at closing, resulting in a range of approximately $322.2 million to $1.1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Publicly Traded Companies – Degenerative Liver &amp; Lung Disease Companies </w:t>
      </w:r>
    </w:p>
    <w:p>
      <w:pPr>
        <w:pStyle w:val="TextBody"/>
        <w:bidi w:val="0"/>
        <w:spacing w:before="0" w:after="0"/>
        <w:jc w:val="left"/>
        <w:rPr/>
      </w:pPr>
      <w:r>
        <w:rPr/>
        <w:t> </w:t>
      </w:r>
    </w:p>
    <w:tbl>
      <w:tblPr>
        <w:tblW w:w="4424" w:type="dxa"/>
        <w:jc w:val="left"/>
        <w:tblInd w:w="0" w:type="dxa"/>
        <w:tblLayout w:type="fixed"/>
        <w:tblCellMar>
          <w:top w:w="0" w:type="dxa"/>
          <w:left w:w="0" w:type="dxa"/>
          <w:bottom w:w="0" w:type="dxa"/>
          <w:right w:w="0" w:type="dxa"/>
        </w:tblCellMar>
      </w:tblPr>
      <w:tblGrid>
        <w:gridCol w:w="2960"/>
        <w:gridCol w:w="120"/>
        <w:gridCol w:w="186"/>
        <w:gridCol w:w="988"/>
        <w:gridCol w:w="170"/>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 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b/>
              </w:rPr>
            </w:pPr>
            <w:r>
              <w:rPr>
                <w:b/>
              </w:rPr>
              <w:t xml:space="preserve">Enterprise </w:t>
              <w:br/>
              <w:t>Value ($M)</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Beam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2,238.4</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Sionna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1,473.4</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Savara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1,199.2</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Vir Biotechnology,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1,085.4</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Avalyn Pharma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1,134.3</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Inventiva S.A.</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875.3</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Arbutus Biopharma Corporation</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810.8</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630.0</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Prime Medicine,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447.0</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Sagimet Biosciences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325.5</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Galectin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308.3</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Assembly Biosciences,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243.6</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Contineum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196.7</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Altimmune,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183.0</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AN2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93.4</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Precision BioSciences,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91.8</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ProQR Therapeutics N.V.</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113.3</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Rein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75.9</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MiNK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50.8</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Seres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Arcturus Therapeutics Holdings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Aligos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(22.0</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Analysis of Selected Publicly Traded Companies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data for 17 publicly traded gene therapy-focused biopharmaceutical companies with lead candidates in preclinical or clinical stage development that share similar business characteristics to Serapha including their focus on gene therapy or related genetic medicine technologies, the indications targeted by their lead product candidates and the stage of development of such lead product candidates (referred to as the “Selected Publicly Traded Companies – Gene Therapy Companies”). Lucid considered these characteristics collectively in exercising its professional judgment regarding comparability and did not require each selected company to share every characteristic of Serapha. Although the companies referred to below were used for comparison purposes, none of those companies is directly comparable to Serapha. Accordingly, the analysis involves considerations and judgments concerning differences in historical financial and operating characteristics of the selected companies. The total enterprise values are based on closing stock prices on June 18, 2026. The Selected Publicly Traded Companies were: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Beam Therapeutics Inc.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Benitec Biopharma Inc.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110"/>
        <w:gridCol w:w="60"/>
        <w:gridCol w:w="1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Cellectis S.A.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Editas Medicine, Inc.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Intellia Therapeutics, Inc.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Lexeo Therapeutics, Inc.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MeiraGTx Holdings plc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Ocugen, Inc.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Opus Genetics, Inc.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Precision BioSciences, Inc. </w:t>
            </w:r>
          </w:p>
        </w:tc>
      </w:tr>
    </w:tbl>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110"/>
        <w:gridCol w:w="60"/>
        <w:gridCol w:w="1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Prime Medicine, Inc.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75"/>
        <w:gridCol w:w="110"/>
        <w:gridCol w:w="6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REGENXBIO Inc.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Solid Biosciences Inc.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Taysha Gene Therapies, Inc.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Tenaya Therapeutics, Inc. </w:t>
            </w:r>
          </w:p>
        </w:tc>
      </w:tr>
    </w:tbl>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75"/>
        <w:gridCol w:w="110"/>
        <w:gridCol w:w="60"/>
        <w:gridCol w:w="1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uniQure N.V.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Selected Publicly Traded Companies – Gene Therapy Companies had total enterprise values between $73.2 million and $2.9 billion. Lucid derived a median total enterprise value of $422.2 million for the Selected Publicly Traded Companies – Gene Therapy Companies. Using the 25th percentile and the 75th percentile of the enterprise values, Lucid then derived a range of implied total equity values for Serapha by adding $230.0 million in net cash at closing, resulting in a range of approximately $459.7 million to $1.3 billion. Lucid then compared that figure to the Serapha Valuation of $303.7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Publicly Traded Companies – Gene Therapy Companies </w:t>
      </w:r>
    </w:p>
    <w:p>
      <w:pPr>
        <w:pStyle w:val="TextBody"/>
        <w:bidi w:val="0"/>
        <w:spacing w:before="0" w:after="0"/>
        <w:jc w:val="left"/>
        <w:rPr/>
      </w:pPr>
      <w:r>
        <w:rPr/>
        <w:t> </w:t>
      </w:r>
    </w:p>
    <w:tbl>
      <w:tblPr>
        <w:tblW w:w="3684" w:type="dxa"/>
        <w:jc w:val="left"/>
        <w:tblInd w:w="0" w:type="dxa"/>
        <w:tblLayout w:type="fixed"/>
        <w:tblCellMar>
          <w:top w:w="0" w:type="dxa"/>
          <w:left w:w="0" w:type="dxa"/>
          <w:bottom w:w="0" w:type="dxa"/>
          <w:right w:w="0" w:type="dxa"/>
        </w:tblCellMar>
      </w:tblPr>
      <w:tblGrid>
        <w:gridCol w:w="2315"/>
        <w:gridCol w:w="120"/>
        <w:gridCol w:w="186"/>
        <w:gridCol w:w="988"/>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 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b/>
              </w:rPr>
            </w:pPr>
            <w:r>
              <w:rPr>
                <w:b/>
              </w:rPr>
              <w:t xml:space="preserve">Enterprise </w:t>
              <w:br/>
              <w:t>Value ($M)</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uniQure N.V.</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2,889.6</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Beam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2,238.4</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Intellia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1,855.7</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Taysha Gene Therapies,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1,595.7</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MeiraGTx Holdings plc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1,070.8</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630.0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Prime Medicine,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447.0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REGENXBIO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447.4</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Ocugen,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422.2</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Solid Biosciences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412.8</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Editas Medicine,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302.0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Opus Genetics,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274.6</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Benitec Biopharma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229.7</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Lexeo Therapeutics,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198.0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Cellectis S.A.</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89.4</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Precision BioSciences, Inc.</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91.8</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73.2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Degenerative Liver &amp; Lung Disease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10 merger transactions involving degenerative liver &amp; lung disease-focused biopharmaceutical companies with a lead candidate in preclinical or clinical stage development (referred to as the “Selected Precedent M&amp;A Transactions – Degenerative Liver &amp; Lung Disease Companies”). Although the precedent transactions referred to below were used for comparison purposes, none of the target companies is directly comparable to Serapha. Accordingly, the analysis involves considerations and judgments concerning differences in historical and financial and operating characteristics of the companies involved and other factors that could affect the merger value of such transactions. Lucid reviewed the total enterprise values of the target companies, including potential future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The Selected Precedent M&amp;A Transactions – Degenerative Liver &amp; Lung Disease Companies had total enterprise values between $50.9 million and $4.7 billion. Lucid derived a median total enterprise value of $460.0 million for the Selected Precedent M&amp;A Transactions – Degenerative Liver &amp; Lung Disease Companies. Using the 25th percentile and the 75th percentile of the enterprise values, Lucid then derived a range of implied total enterprise values for Serapha by adding $230.0 million in net cash at closing, resulting in a range of approximately $385.0 million to $1.8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Degenerative Liver &amp; Lung Disease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
        <w:gridCol w:w="120"/>
        <w:gridCol w:w="3048"/>
        <w:gridCol w:w="120"/>
        <w:gridCol w:w="3823"/>
        <w:gridCol w:w="120"/>
        <w:gridCol w:w="308"/>
        <w:gridCol w:w="1632"/>
        <w:gridCol w:w="77"/>
      </w:tblGrid>
      <w:tr>
        <w:trPr/>
        <w:tc>
          <w:tcPr>
            <w:tcW w:w="9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0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center"/>
          </w:tcPr>
          <w:p>
            <w:pPr>
              <w:pStyle w:val="TableContents"/>
              <w:bidi w:val="0"/>
              <w:spacing w:before="0" w:after="283"/>
              <w:jc w:val="left"/>
              <w:rPr/>
            </w:pPr>
            <w:r>
              <w:rPr/>
              <w:t>  </w:t>
            </w:r>
          </w:p>
        </w:tc>
        <w:tc>
          <w:tcPr>
            <w:tcW w:w="38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Acquirer</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Implied Enterprise</w:t>
              <w:br/>
              <w:t>Value ($M)</w:t>
            </w:r>
          </w:p>
        </w:tc>
        <w:tc>
          <w:tcPr>
            <w:tcW w:w="77" w:type="dxa"/>
            <w:tcBorders/>
            <w:vAlign w:val="center"/>
          </w:tcPr>
          <w:p>
            <w:pPr>
              <w:pStyle w:val="TableContents"/>
              <w:bidi w:val="0"/>
              <w:spacing w:before="0" w:after="283"/>
              <w:jc w:val="left"/>
              <w:rPr/>
            </w:pPr>
            <w:r>
              <w:rPr/>
              <w:t> </w:t>
            </w:r>
          </w:p>
        </w:tc>
      </w:tr>
      <w:tr>
        <w:trPr/>
        <w:tc>
          <w:tcPr>
            <w:tcW w:w="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5/12/2026</w:t>
            </w:r>
          </w:p>
        </w:tc>
        <w:tc>
          <w:tcPr>
            <w:tcW w:w="120" w:type="dxa"/>
            <w:tcBorders/>
            <w:shd w:fill="CCEEFF" w:val="clear"/>
            <w:vAlign w:val="center"/>
          </w:tcPr>
          <w:p>
            <w:pPr>
              <w:pStyle w:val="TableContents"/>
              <w:bidi w:val="0"/>
              <w:spacing w:before="0" w:after="283"/>
              <w:jc w:val="left"/>
              <w:rPr/>
            </w:pPr>
            <w:r>
              <w:rPr/>
              <w:t>  </w:t>
            </w:r>
          </w:p>
        </w:tc>
        <w:tc>
          <w:tcPr>
            <w:tcW w:w="3048" w:type="dxa"/>
            <w:tcBorders/>
            <w:shd w:fill="CCEEFF" w:val="clear"/>
            <w:vAlign w:val="center"/>
          </w:tcPr>
          <w:p>
            <w:pPr>
              <w:pStyle w:val="TableContents"/>
              <w:bidi w:val="0"/>
              <w:spacing w:before="0" w:after="283"/>
              <w:jc w:val="left"/>
              <w:rPr/>
            </w:pPr>
            <w:r>
              <w:rPr/>
              <w:t>Kezar Life Sciences, Inc</w:t>
            </w:r>
          </w:p>
        </w:tc>
        <w:tc>
          <w:tcPr>
            <w:tcW w:w="120" w:type="dxa"/>
            <w:tcBorders/>
            <w:shd w:fill="CCEEFF" w:val="clear"/>
            <w:vAlign w:val="center"/>
          </w:tcPr>
          <w:p>
            <w:pPr>
              <w:pStyle w:val="TableContents"/>
              <w:bidi w:val="0"/>
              <w:spacing w:before="0" w:after="283"/>
              <w:jc w:val="left"/>
              <w:rPr/>
            </w:pPr>
            <w:r>
              <w:rPr/>
              <w:t>  </w:t>
            </w:r>
          </w:p>
        </w:tc>
        <w:tc>
          <w:tcPr>
            <w:tcW w:w="3823" w:type="dxa"/>
            <w:tcBorders/>
            <w:shd w:fill="CCEEFF" w:val="clear"/>
            <w:vAlign w:val="center"/>
          </w:tcPr>
          <w:p>
            <w:pPr>
              <w:pStyle w:val="TableContents"/>
              <w:bidi w:val="0"/>
              <w:spacing w:before="0" w:after="283"/>
              <w:jc w:val="left"/>
              <w:rPr/>
            </w:pPr>
            <w:r>
              <w:rPr/>
              <w:t>Aurinia Pharmaceuticals Inc.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50.9</w:t>
            </w:r>
          </w:p>
        </w:tc>
        <w:tc>
          <w:tcPr>
            <w:tcW w:w="77" w:type="dxa"/>
            <w:tcBorders/>
            <w:shd w:fill="CCEEFF" w:val="clear"/>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1/26/2026</w:t>
            </w:r>
          </w:p>
        </w:tc>
        <w:tc>
          <w:tcPr>
            <w:tcW w:w="120"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Bluejay Therapeutics, Inc.</w:t>
            </w:r>
          </w:p>
        </w:tc>
        <w:tc>
          <w:tcPr>
            <w:tcW w:w="120" w:type="dxa"/>
            <w:tcBorders/>
            <w:vAlign w:val="center"/>
          </w:tcPr>
          <w:p>
            <w:pPr>
              <w:pStyle w:val="TableContents"/>
              <w:bidi w:val="0"/>
              <w:spacing w:before="0" w:after="283"/>
              <w:jc w:val="left"/>
              <w:rPr/>
            </w:pPr>
            <w:r>
              <w:rPr/>
              <w:t>  </w:t>
            </w:r>
          </w:p>
        </w:tc>
        <w:tc>
          <w:tcPr>
            <w:tcW w:w="3823" w:type="dxa"/>
            <w:tcBorders/>
            <w:vAlign w:val="center"/>
          </w:tcPr>
          <w:p>
            <w:pPr>
              <w:pStyle w:val="TableContents"/>
              <w:bidi w:val="0"/>
              <w:spacing w:before="0" w:after="283"/>
              <w:jc w:val="left"/>
              <w:rPr/>
            </w:pPr>
            <w:r>
              <w:rPr/>
              <w:t>Mirum Pharmaceuticals, Inc.</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620.0</w:t>
            </w:r>
          </w:p>
        </w:tc>
        <w:tc>
          <w:tcPr>
            <w:tcW w:w="77" w:type="dxa"/>
            <w:tcBorders/>
            <w:vAlign w:val="center"/>
          </w:tcPr>
          <w:p>
            <w:pPr>
              <w:pStyle w:val="TableContents"/>
              <w:bidi w:val="0"/>
              <w:spacing w:before="0" w:after="283"/>
              <w:jc w:val="left"/>
              <w:rPr/>
            </w:pPr>
            <w:r>
              <w:rPr/>
              <w:t> </w:t>
            </w:r>
          </w:p>
        </w:tc>
      </w:tr>
      <w:tr>
        <w:trPr/>
        <w:tc>
          <w:tcPr>
            <w:tcW w:w="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12/9/2025</w:t>
            </w:r>
          </w:p>
        </w:tc>
        <w:tc>
          <w:tcPr>
            <w:tcW w:w="120" w:type="dxa"/>
            <w:tcBorders/>
            <w:shd w:fill="CCEEFF" w:val="clear"/>
            <w:vAlign w:val="center"/>
          </w:tcPr>
          <w:p>
            <w:pPr>
              <w:pStyle w:val="TableContents"/>
              <w:bidi w:val="0"/>
              <w:spacing w:before="0" w:after="283"/>
              <w:jc w:val="left"/>
              <w:rPr/>
            </w:pPr>
            <w:r>
              <w:rPr/>
              <w:t>  </w:t>
            </w:r>
          </w:p>
        </w:tc>
        <w:tc>
          <w:tcPr>
            <w:tcW w:w="3048" w:type="dxa"/>
            <w:tcBorders/>
            <w:shd w:fill="CCEEFF" w:val="clear"/>
            <w:vAlign w:val="center"/>
          </w:tcPr>
          <w:p>
            <w:pPr>
              <w:pStyle w:val="TableContents"/>
              <w:bidi w:val="0"/>
              <w:spacing w:before="0" w:after="283"/>
              <w:jc w:val="left"/>
              <w:rPr/>
            </w:pPr>
            <w:r>
              <w:rPr/>
              <w:t>Akero Therapeutics, Inc.</w:t>
            </w:r>
          </w:p>
        </w:tc>
        <w:tc>
          <w:tcPr>
            <w:tcW w:w="120" w:type="dxa"/>
            <w:tcBorders/>
            <w:shd w:fill="CCEEFF" w:val="clear"/>
            <w:vAlign w:val="center"/>
          </w:tcPr>
          <w:p>
            <w:pPr>
              <w:pStyle w:val="TableContents"/>
              <w:bidi w:val="0"/>
              <w:spacing w:before="0" w:after="283"/>
              <w:jc w:val="left"/>
              <w:rPr/>
            </w:pPr>
            <w:r>
              <w:rPr/>
              <w:t>  </w:t>
            </w:r>
          </w:p>
        </w:tc>
        <w:tc>
          <w:tcPr>
            <w:tcW w:w="3823" w:type="dxa"/>
            <w:tcBorders/>
            <w:shd w:fill="CCEEFF" w:val="clear"/>
            <w:vAlign w:val="center"/>
          </w:tcPr>
          <w:p>
            <w:pPr>
              <w:pStyle w:val="TableContents"/>
              <w:bidi w:val="0"/>
              <w:spacing w:before="0" w:after="283"/>
              <w:jc w:val="left"/>
              <w:rPr/>
            </w:pPr>
            <w:r>
              <w:rPr/>
              <w:t>Novo Nordisk Inc.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4,700.0</w:t>
            </w:r>
          </w:p>
        </w:tc>
        <w:tc>
          <w:tcPr>
            <w:tcW w:w="77" w:type="dxa"/>
            <w:tcBorders/>
            <w:shd w:fill="CCEEFF" w:val="clear"/>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12/1/2025</w:t>
            </w:r>
          </w:p>
        </w:tc>
        <w:tc>
          <w:tcPr>
            <w:tcW w:w="120"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Tessera Therapeutics, Inc.</w:t>
            </w:r>
          </w:p>
        </w:tc>
        <w:tc>
          <w:tcPr>
            <w:tcW w:w="120" w:type="dxa"/>
            <w:tcBorders/>
            <w:vAlign w:val="center"/>
          </w:tcPr>
          <w:p>
            <w:pPr>
              <w:pStyle w:val="TableContents"/>
              <w:bidi w:val="0"/>
              <w:spacing w:before="0" w:after="283"/>
              <w:jc w:val="left"/>
              <w:rPr/>
            </w:pPr>
            <w:r>
              <w:rPr/>
              <w:t>  </w:t>
            </w:r>
          </w:p>
        </w:tc>
        <w:tc>
          <w:tcPr>
            <w:tcW w:w="3823" w:type="dxa"/>
            <w:tcBorders/>
            <w:vAlign w:val="center"/>
          </w:tcPr>
          <w:p>
            <w:pPr>
              <w:pStyle w:val="TableContents"/>
              <w:bidi w:val="0"/>
              <w:spacing w:before="0" w:after="283"/>
              <w:jc w:val="left"/>
              <w:rPr/>
            </w:pPr>
            <w:r>
              <w:rPr/>
              <w:t>Regeneron Pharmaceuticals, Inc.</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150.0</w:t>
            </w:r>
          </w:p>
        </w:tc>
        <w:tc>
          <w:tcPr>
            <w:tcW w:w="77" w:type="dxa"/>
            <w:tcBorders/>
            <w:vAlign w:val="center"/>
          </w:tcPr>
          <w:p>
            <w:pPr>
              <w:pStyle w:val="TableContents"/>
              <w:bidi w:val="0"/>
              <w:spacing w:before="0" w:after="283"/>
              <w:jc w:val="left"/>
              <w:rPr/>
            </w:pPr>
            <w:r>
              <w:rPr/>
              <w:t> </w:t>
            </w:r>
          </w:p>
        </w:tc>
      </w:tr>
      <w:tr>
        <w:trPr/>
        <w:tc>
          <w:tcPr>
            <w:tcW w:w="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10/30/2025</w:t>
            </w:r>
          </w:p>
        </w:tc>
        <w:tc>
          <w:tcPr>
            <w:tcW w:w="120" w:type="dxa"/>
            <w:tcBorders/>
            <w:shd w:fill="CCEEFF" w:val="clear"/>
            <w:vAlign w:val="center"/>
          </w:tcPr>
          <w:p>
            <w:pPr>
              <w:pStyle w:val="TableContents"/>
              <w:bidi w:val="0"/>
              <w:spacing w:before="0" w:after="283"/>
              <w:jc w:val="left"/>
              <w:rPr/>
            </w:pPr>
            <w:r>
              <w:rPr/>
              <w:t>  </w:t>
            </w:r>
          </w:p>
        </w:tc>
        <w:tc>
          <w:tcPr>
            <w:tcW w:w="3048" w:type="dxa"/>
            <w:tcBorders/>
            <w:shd w:fill="CCEEFF" w:val="clear"/>
            <w:vAlign w:val="center"/>
          </w:tcPr>
          <w:p>
            <w:pPr>
              <w:pStyle w:val="TableContents"/>
              <w:bidi w:val="0"/>
              <w:spacing w:before="0" w:after="283"/>
              <w:jc w:val="left"/>
              <w:rPr/>
            </w:pPr>
            <w:r>
              <w:rPr/>
              <w:t>89bio, Inc</w:t>
            </w:r>
          </w:p>
        </w:tc>
        <w:tc>
          <w:tcPr>
            <w:tcW w:w="120" w:type="dxa"/>
            <w:tcBorders/>
            <w:shd w:fill="CCEEFF" w:val="clear"/>
            <w:vAlign w:val="center"/>
          </w:tcPr>
          <w:p>
            <w:pPr>
              <w:pStyle w:val="TableContents"/>
              <w:bidi w:val="0"/>
              <w:spacing w:before="0" w:after="283"/>
              <w:jc w:val="left"/>
              <w:rPr/>
            </w:pPr>
            <w:r>
              <w:rPr/>
              <w:t>  </w:t>
            </w:r>
          </w:p>
        </w:tc>
        <w:tc>
          <w:tcPr>
            <w:tcW w:w="3823" w:type="dxa"/>
            <w:tcBorders/>
            <w:shd w:fill="CCEEFF" w:val="clear"/>
            <w:vAlign w:val="center"/>
          </w:tcPr>
          <w:p>
            <w:pPr>
              <w:pStyle w:val="TableContents"/>
              <w:bidi w:val="0"/>
              <w:spacing w:before="0" w:after="283"/>
              <w:jc w:val="left"/>
              <w:rPr/>
            </w:pPr>
            <w:r>
              <w:rPr/>
              <w:t>Roche Pharma, Inc.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2,400.0</w:t>
            </w:r>
          </w:p>
        </w:tc>
        <w:tc>
          <w:tcPr>
            <w:tcW w:w="77" w:type="dxa"/>
            <w:tcBorders/>
            <w:shd w:fill="CCEEFF" w:val="clear"/>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9/11/2025</w:t>
            </w:r>
          </w:p>
        </w:tc>
        <w:tc>
          <w:tcPr>
            <w:tcW w:w="120"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DURECT Corporation</w:t>
            </w:r>
          </w:p>
        </w:tc>
        <w:tc>
          <w:tcPr>
            <w:tcW w:w="120" w:type="dxa"/>
            <w:tcBorders/>
            <w:vAlign w:val="center"/>
          </w:tcPr>
          <w:p>
            <w:pPr>
              <w:pStyle w:val="TableContents"/>
              <w:bidi w:val="0"/>
              <w:spacing w:before="0" w:after="283"/>
              <w:jc w:val="left"/>
              <w:rPr/>
            </w:pPr>
            <w:r>
              <w:rPr/>
              <w:t>  </w:t>
            </w:r>
          </w:p>
        </w:tc>
        <w:tc>
          <w:tcPr>
            <w:tcW w:w="3823" w:type="dxa"/>
            <w:tcBorders/>
            <w:vAlign w:val="center"/>
          </w:tcPr>
          <w:p>
            <w:pPr>
              <w:pStyle w:val="TableContents"/>
              <w:bidi w:val="0"/>
              <w:spacing w:before="0" w:after="283"/>
              <w:jc w:val="left"/>
              <w:rPr/>
            </w:pPr>
            <w:r>
              <w:rPr/>
              <w:t>Bausch Health Companies, Inc.</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63.0</w:t>
            </w:r>
          </w:p>
        </w:tc>
        <w:tc>
          <w:tcPr>
            <w:tcW w:w="77" w:type="dxa"/>
            <w:tcBorders/>
            <w:vAlign w:val="center"/>
          </w:tcPr>
          <w:p>
            <w:pPr>
              <w:pStyle w:val="TableContents"/>
              <w:bidi w:val="0"/>
              <w:spacing w:before="0" w:after="283"/>
              <w:jc w:val="left"/>
              <w:rPr/>
            </w:pPr>
            <w:r>
              <w:rPr/>
              <w:t> </w:t>
            </w:r>
          </w:p>
        </w:tc>
      </w:tr>
      <w:tr>
        <w:trPr/>
        <w:tc>
          <w:tcPr>
            <w:tcW w:w="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7/7/2025</w:t>
            </w:r>
          </w:p>
        </w:tc>
        <w:tc>
          <w:tcPr>
            <w:tcW w:w="120" w:type="dxa"/>
            <w:tcBorders/>
            <w:shd w:fill="CCEEFF" w:val="clear"/>
            <w:vAlign w:val="center"/>
          </w:tcPr>
          <w:p>
            <w:pPr>
              <w:pStyle w:val="TableContents"/>
              <w:bidi w:val="0"/>
              <w:spacing w:before="0" w:after="283"/>
              <w:jc w:val="left"/>
              <w:rPr/>
            </w:pPr>
            <w:r>
              <w:rPr/>
              <w:t>  </w:t>
            </w:r>
          </w:p>
        </w:tc>
        <w:tc>
          <w:tcPr>
            <w:tcW w:w="3048" w:type="dxa"/>
            <w:tcBorders/>
            <w:shd w:fill="CCEEFF" w:val="clear"/>
            <w:vAlign w:val="center"/>
          </w:tcPr>
          <w:p>
            <w:pPr>
              <w:pStyle w:val="TableContents"/>
              <w:bidi w:val="0"/>
              <w:spacing w:before="0" w:after="283"/>
              <w:jc w:val="left"/>
              <w:rPr/>
            </w:pPr>
            <w:r>
              <w:rPr/>
              <w:t>Boston Pharmaceuticals</w:t>
            </w:r>
          </w:p>
        </w:tc>
        <w:tc>
          <w:tcPr>
            <w:tcW w:w="120" w:type="dxa"/>
            <w:tcBorders/>
            <w:shd w:fill="CCEEFF" w:val="clear"/>
            <w:vAlign w:val="center"/>
          </w:tcPr>
          <w:p>
            <w:pPr>
              <w:pStyle w:val="TableContents"/>
              <w:bidi w:val="0"/>
              <w:spacing w:before="0" w:after="283"/>
              <w:jc w:val="left"/>
              <w:rPr/>
            </w:pPr>
            <w:r>
              <w:rPr/>
              <w:t>  </w:t>
            </w:r>
          </w:p>
        </w:tc>
        <w:tc>
          <w:tcPr>
            <w:tcW w:w="3823" w:type="dxa"/>
            <w:tcBorders/>
            <w:shd w:fill="CCEEFF" w:val="clear"/>
            <w:vAlign w:val="center"/>
          </w:tcPr>
          <w:p>
            <w:pPr>
              <w:pStyle w:val="TableContents"/>
              <w:bidi w:val="0"/>
              <w:spacing w:before="0" w:after="283"/>
              <w:jc w:val="left"/>
              <w:rPr/>
            </w:pPr>
            <w:r>
              <w:rPr/>
              <w:t>GSK plc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1,200.0</w:t>
            </w:r>
          </w:p>
        </w:tc>
        <w:tc>
          <w:tcPr>
            <w:tcW w:w="77" w:type="dxa"/>
            <w:tcBorders/>
            <w:shd w:fill="CCEEFF" w:val="clear"/>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5/30/2024</w:t>
            </w:r>
          </w:p>
        </w:tc>
        <w:tc>
          <w:tcPr>
            <w:tcW w:w="120"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Inhibrx, Inc.</w:t>
            </w:r>
          </w:p>
        </w:tc>
        <w:tc>
          <w:tcPr>
            <w:tcW w:w="120" w:type="dxa"/>
            <w:tcBorders/>
            <w:vAlign w:val="center"/>
          </w:tcPr>
          <w:p>
            <w:pPr>
              <w:pStyle w:val="TableContents"/>
              <w:bidi w:val="0"/>
              <w:spacing w:before="0" w:after="283"/>
              <w:jc w:val="left"/>
              <w:rPr/>
            </w:pPr>
            <w:r>
              <w:rPr/>
              <w:t>  </w:t>
            </w:r>
          </w:p>
        </w:tc>
        <w:tc>
          <w:tcPr>
            <w:tcW w:w="3823" w:type="dxa"/>
            <w:tcBorders/>
            <w:vAlign w:val="center"/>
          </w:tcPr>
          <w:p>
            <w:pPr>
              <w:pStyle w:val="TableContents"/>
              <w:bidi w:val="0"/>
              <w:spacing w:before="0" w:after="283"/>
              <w:jc w:val="left"/>
              <w:rPr/>
            </w:pPr>
            <w:r>
              <w:rPr/>
              <w:t>Sanofi SA</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1,700.0</w:t>
            </w:r>
          </w:p>
        </w:tc>
        <w:tc>
          <w:tcPr>
            <w:tcW w:w="77" w:type="dxa"/>
            <w:tcBorders/>
            <w:vAlign w:val="center"/>
          </w:tcPr>
          <w:p>
            <w:pPr>
              <w:pStyle w:val="TableContents"/>
              <w:bidi w:val="0"/>
              <w:spacing w:before="0" w:after="283"/>
              <w:jc w:val="left"/>
              <w:rPr/>
            </w:pPr>
            <w:r>
              <w:rPr/>
              <w:t> </w:t>
            </w:r>
          </w:p>
        </w:tc>
      </w:tr>
      <w:tr>
        <w:trPr/>
        <w:tc>
          <w:tcPr>
            <w:tcW w:w="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12/13/2022</w:t>
            </w:r>
          </w:p>
        </w:tc>
        <w:tc>
          <w:tcPr>
            <w:tcW w:w="120" w:type="dxa"/>
            <w:tcBorders/>
            <w:shd w:fill="CCEEFF" w:val="clear"/>
            <w:vAlign w:val="center"/>
          </w:tcPr>
          <w:p>
            <w:pPr>
              <w:pStyle w:val="TableContents"/>
              <w:bidi w:val="0"/>
              <w:spacing w:before="0" w:after="283"/>
              <w:jc w:val="left"/>
              <w:rPr/>
            </w:pPr>
            <w:r>
              <w:rPr/>
              <w:t>  </w:t>
            </w:r>
          </w:p>
        </w:tc>
        <w:tc>
          <w:tcPr>
            <w:tcW w:w="3048" w:type="dxa"/>
            <w:tcBorders/>
            <w:shd w:fill="CCEEFF" w:val="clear"/>
            <w:vAlign w:val="center"/>
          </w:tcPr>
          <w:p>
            <w:pPr>
              <w:pStyle w:val="TableContents"/>
              <w:bidi w:val="0"/>
              <w:spacing w:before="0" w:after="283"/>
              <w:jc w:val="left"/>
              <w:rPr/>
            </w:pPr>
            <w:r>
              <w:rPr/>
              <w:t>Wave Life Sciences Ltd.</w:t>
            </w:r>
          </w:p>
        </w:tc>
        <w:tc>
          <w:tcPr>
            <w:tcW w:w="120" w:type="dxa"/>
            <w:tcBorders/>
            <w:shd w:fill="CCEEFF" w:val="clear"/>
            <w:vAlign w:val="center"/>
          </w:tcPr>
          <w:p>
            <w:pPr>
              <w:pStyle w:val="TableContents"/>
              <w:bidi w:val="0"/>
              <w:spacing w:before="0" w:after="283"/>
              <w:jc w:val="left"/>
              <w:rPr/>
            </w:pPr>
            <w:r>
              <w:rPr/>
              <w:t>  </w:t>
            </w:r>
          </w:p>
        </w:tc>
        <w:tc>
          <w:tcPr>
            <w:tcW w:w="3823" w:type="dxa"/>
            <w:tcBorders/>
            <w:shd w:fill="CCEEFF" w:val="clear"/>
            <w:vAlign w:val="center"/>
          </w:tcPr>
          <w:p>
            <w:pPr>
              <w:pStyle w:val="TableContents"/>
              <w:bidi w:val="0"/>
              <w:spacing w:before="0" w:after="283"/>
              <w:jc w:val="left"/>
              <w:rPr/>
            </w:pPr>
            <w:r>
              <w:rPr/>
              <w:t>GSK plc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170.0</w:t>
            </w:r>
          </w:p>
        </w:tc>
        <w:tc>
          <w:tcPr>
            <w:tcW w:w="77" w:type="dxa"/>
            <w:tcBorders/>
            <w:shd w:fill="CCEEFF" w:val="clear"/>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10/8/2020</w:t>
            </w:r>
          </w:p>
        </w:tc>
        <w:tc>
          <w:tcPr>
            <w:tcW w:w="120"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Arrowhead Pharmaceuticals, Inc.</w:t>
            </w:r>
          </w:p>
        </w:tc>
        <w:tc>
          <w:tcPr>
            <w:tcW w:w="120" w:type="dxa"/>
            <w:tcBorders/>
            <w:vAlign w:val="center"/>
          </w:tcPr>
          <w:p>
            <w:pPr>
              <w:pStyle w:val="TableContents"/>
              <w:bidi w:val="0"/>
              <w:spacing w:before="0" w:after="283"/>
              <w:jc w:val="left"/>
              <w:rPr/>
            </w:pPr>
            <w:r>
              <w:rPr/>
              <w:t>  </w:t>
            </w:r>
          </w:p>
        </w:tc>
        <w:tc>
          <w:tcPr>
            <w:tcW w:w="3823" w:type="dxa"/>
            <w:tcBorders/>
            <w:vAlign w:val="center"/>
          </w:tcPr>
          <w:p>
            <w:pPr>
              <w:pStyle w:val="TableContents"/>
              <w:bidi w:val="0"/>
              <w:spacing w:before="0" w:after="283"/>
              <w:jc w:val="left"/>
              <w:rPr/>
            </w:pPr>
            <w:r>
              <w:rPr/>
              <w:t>Takeda Pharmaceutical Company Limited</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300.0</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Precedent M&amp;A Transactions – Gene Therapy Companies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9 merger transactions involving gene therapy-focused biopharmaceutical companies that had a lead candidate in preclinical or clinical stage development (referred to as the “Selected Precedent M&amp;A Transactions – Gene Therapy Companies”). Although the precedent transactions referred to below were used for comparison purposes, none of the target companies is directly comparable to Serapha. Accordingly, the analysis involves considerations and judgments concerning differences in historical and financial and operating characteristics of the companies involved and other factors that could affect the merger value of such transactions. Lucid reviewed the total enterprise values of the target companies, including potential future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The Selected Precedent M&amp;A Transactions – Gene Therapy Companies had total enterprise values between $68.0 million and $1.0 billion. Lucid derived a median total enterprise value of $487.0 million for the Selected Precedent M&amp;A Transactions – Gene Therapy Companies. Using the 25th percentile and the 75th percentile of the enterprise values, Lucid then derived a range of implied total enterprise values for Serapha by adding $230.0 million in net cash at closing, resulting in a range of approximately $380.0 million to $1.1 billion. Lucid then compared that figure to the Serapha Valuation of $303.7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M&amp;A Transactions – Gene Therapy Companies </w:t>
      </w:r>
    </w:p>
    <w:p>
      <w:pPr>
        <w:pStyle w:val="TextBody"/>
        <w:bidi w:val="0"/>
        <w:spacing w:before="0" w:after="0"/>
        <w:jc w:val="left"/>
        <w:rPr/>
      </w:pPr>
      <w:r>
        <w:rPr/>
        <w:t> </w:t>
      </w:r>
    </w:p>
    <w:tbl>
      <w:tblPr>
        <w:tblW w:w="10115" w:type="dxa"/>
        <w:jc w:val="left"/>
        <w:tblInd w:w="0" w:type="dxa"/>
        <w:tblLayout w:type="fixed"/>
        <w:tblCellMar>
          <w:top w:w="0" w:type="dxa"/>
          <w:left w:w="0" w:type="dxa"/>
          <w:bottom w:w="0" w:type="dxa"/>
          <w:right w:w="0" w:type="dxa"/>
        </w:tblCellMar>
      </w:tblPr>
      <w:tblGrid>
        <w:gridCol w:w="995"/>
        <w:gridCol w:w="120"/>
        <w:gridCol w:w="3125"/>
        <w:gridCol w:w="120"/>
        <w:gridCol w:w="3620"/>
        <w:gridCol w:w="120"/>
        <w:gridCol w:w="308"/>
        <w:gridCol w:w="1632"/>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center"/>
          </w:tcPr>
          <w:p>
            <w:pPr>
              <w:pStyle w:val="TableContents"/>
              <w:bidi w:val="0"/>
              <w:spacing w:before="0" w:after="283"/>
              <w:jc w:val="left"/>
              <w:rPr/>
            </w:pPr>
            <w:r>
              <w:rPr/>
              <w:t>  </w:t>
            </w:r>
          </w:p>
        </w:tc>
        <w:tc>
          <w:tcPr>
            <w:tcW w:w="3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Acquirer</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Implied Enterprise</w:t>
              <w:br/>
              <w:t>Value ($M)</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12/9/2025</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Adverum Biotechnologies, Inc.</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Eli Lilly and Company Limited</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365.0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12/1/2025</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Tessera Therapeutics, Inc.</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Regeneron Pharmaceuticals, Inc.</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150.0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7/25/2025</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Verve Therapeutics, Inc.</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Eli Lilly and Company Limited</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1/8/2025</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Poseida Therapeutics, Inc.</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Roche Pharma, Inc.</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9/25/2023</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LogicBio Therapeutics, Inc.</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AstraZeneca PLC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68.0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12/1/2022</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Akouos, Inc.</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Eli Lilly and Company Limited</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487.0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11/16/2022</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Decibel Therapeutics, Inc.</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Regeneron Pharmaceuticals, Inc.</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109.0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12/22/2021</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Gyroscope Therapeutics Limited</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Novartis Pharmaceuticals Corporation</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800.0</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1/22/2021</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Prevail Therapeutics Inc.</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Eli Lilly and Company Limited</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880.0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Valuation </w:t>
      </w:r>
    </w:p>
    <w:p>
      <w:pPr>
        <w:pStyle w:val="TextBody"/>
        <w:bidi w:val="0"/>
        <w:spacing w:before="120" w:after="0"/>
        <w:jc w:val="left"/>
        <w:rPr>
          <w:rFonts w:ascii="Times New Roman" w:hAnsi="Times New Roman"/>
          <w:b/>
          <w:sz w:val="20"/>
        </w:rPr>
      </w:pPr>
      <w:r>
        <w:rPr>
          <w:rFonts w:ascii="Times New Roman" w:hAnsi="Times New Roman"/>
          <w:b/>
          <w:sz w:val="20"/>
        </w:rPr>
        <w:t xml:space="preserve">Analysis of Precedent Reverse Merger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Lucid reviewed certain publicly available information for life sciences reverse merger transactions dating back to January 2018 (referred to as the “Selected Precedent Reverse Merger Transactions”). Although the transactions referred to below were used for comparison purposes, none of these transactions or the companies involved are directly comparable to Boundless Bio or Serapha. Accordingly, the analysis involves considerations and judgments concerning differences in the characteristics of such transactions and the companies involved. Lucid reviewed the total premium to cash delivered to each target, along with other quantitative metrics. </w:t>
      </w:r>
    </w:p>
    <w:p>
      <w:pPr>
        <w:pStyle w:val="TextBody"/>
        <w:bidi w:val="0"/>
        <w:spacing w:before="240" w:after="0"/>
        <w:jc w:val="left"/>
        <w:rPr>
          <w:rFonts w:ascii="Times New Roman" w:hAnsi="Times New Roman"/>
          <w:sz w:val="20"/>
        </w:rPr>
      </w:pPr>
      <w:r>
        <w:rPr>
          <w:rFonts w:ascii="Times New Roman" w:hAnsi="Times New Roman"/>
          <w:sz w:val="20"/>
        </w:rPr>
        <w:t xml:space="preserve">Lucid reviewed the value delivered for the public vehicle (net of cash) from the Selected Precedent Reverse Merger Transactions, which ranged from $0.0 million to $44.0 million. Lucid derived a median value of $10.0 million and 25th and 75th percentiles of $6.0 million and $16.0 million, respectively. In addition, Lucid reviewed the value delivered for the public vehicle (net of cash) from Selected Precedent Reverse Merger Transactions in which the public vehicle delivered less than $10.0 million, and derived a median value of $5.0 million. Lucid also reviewed such values for Selected Precedent Reverse Merger Transactions in which the concurrent financing exceeded $75 million, and derived a median value of $9.0 million. This compares to the premium to net cash given to Boundless Bio pursuant to the Merger Agreement of $12.5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Precedent Reverse Merger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5"/>
        <w:gridCol w:w="120"/>
        <w:gridCol w:w="3380"/>
        <w:gridCol w:w="120"/>
        <w:gridCol w:w="4183"/>
        <w:gridCol w:w="120"/>
        <w:gridCol w:w="328"/>
        <w:gridCol w:w="892"/>
        <w:gridCol w:w="77"/>
      </w:tblGrid>
      <w:tr>
        <w:trPr/>
        <w:tc>
          <w:tcPr>
            <w:tcW w:w="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3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center"/>
          </w:tcPr>
          <w:p>
            <w:pPr>
              <w:pStyle w:val="TableContents"/>
              <w:bidi w:val="0"/>
              <w:spacing w:before="0" w:after="283"/>
              <w:jc w:val="left"/>
              <w:rPr/>
            </w:pPr>
            <w:r>
              <w:rPr/>
              <w:t>  </w:t>
            </w:r>
          </w:p>
        </w:tc>
        <w:tc>
          <w:tcPr>
            <w:tcW w:w="418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Delivered</w:t>
              <w:br/>
              <w:t>for Public</w:t>
              <w:br/>
              <w:t>Vehicle</w:t>
              <w:br/>
              <w:t>Net of Cash</w:t>
              <w:br/>
              <w:t>($M)</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6/10/2026</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Azora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Adial Pharmaceuticals Inc. (Nasdaq: ADIL)</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10</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2/18/2026</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Faeth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Sensei Bio (Nasdaq: SNSE)</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9</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11/10/2025</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Damora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Galecto (Nasdaq: GLTO)</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8</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10/30/2025</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Kadimastem (NewCelX)</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NLS Pharmaceuticals (Nasdaq: NLSP)</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11</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10/1/2025</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KE Sdn Bhd (Black Titan Corp)</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Titan Pharmaceuticals (Nasdaq: TTNP)</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8/14/2025</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Vyome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ReShape Lifesciences (Nasdaq: RSLS)</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10</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7/25/2025</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Inmagene</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Ikena Oncology (Nasdaq: IKNA)</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22</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7/2/2025</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Pelthos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Channel Therapeutics (NYSEAM: CHRO)</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15</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6/16/2025</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Crescent Biopharma</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GlycoMimetics (Nasdaq: GLYC)</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10</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4/28/2025</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Jade Biosciences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Aerovate Therapeutics (Nasdaq: AVTE)</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8</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4/15/2025</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Tvardi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Cara Therapeutics (Nasdaq: CARA)</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20</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3/18/2025</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Kalaris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AlloVir (Nasdaq: ALVR)</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21</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12/13/2024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Palvella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Pieris Pharmaceuticals (Nasdaq: PIRS)</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10</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10/22/2024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Opus Genetics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Ocuphire Pharma (Nasdaq: OCUP)</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NA</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10/17/2024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TuHURA Biosciences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Kintara Therapeutics (Nasdaq: KTRA)</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11</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10/9/2024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Wex Pharmaceuticals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Virios Therapeutics (Nasdaq: VIRI)</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6</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9/3/2024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Oruka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ARCA Biopharma (Nasdaq: ABIO)</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6</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8/12/2024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Firefly Neurosciences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WaveDancer (Nasdaq: WAVD)</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14</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6/20/2024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Tectonic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AVROBIO (Nasdaq: AVRO)</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13</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Trawsfynydd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Onconova Therapeutics (Nasdaq: ONTX)</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11</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3/26/2024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Serina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AgeX Therapeutics (Nasdaq: AGE)</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6</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3/25/2024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Q32 Bio</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Homology Medicines (Nasdaq: FIXX)</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20</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3/21/2024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LENZ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Graphite Bio (Nasdaq: GRPH)</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12</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3/14/2024</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Immunogenx</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First Wave BioPharma (FWBI)</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15</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3/6/2024</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Adaptive Phage Therapeutics</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Biomx (NYSEAM: PHGE)</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12/27/2023</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Cyclo Therapeutics (Nasdaq: CYTH)</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Applied Molecular Transport (Nasdaq: AMTI)</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12/18/2023</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Neurogene</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Neoleukin Therapeutics (Nasdaq: NLTX)</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14</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11/13/2023</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Cartesian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Selecta Biosciences (Nasdaq: RNAC)</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13</w:t>
            </w:r>
          </w:p>
        </w:tc>
        <w:tc>
          <w:tcPr>
            <w:tcW w:w="77"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11/3/2023</w:t>
            </w:r>
          </w:p>
        </w:tc>
        <w:tc>
          <w:tcPr>
            <w:tcW w:w="12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r>
              <w:rPr/>
              <w:t>Korro Bio</w:t>
            </w:r>
          </w:p>
        </w:tc>
        <w:tc>
          <w:tcPr>
            <w:tcW w:w="120" w:type="dxa"/>
            <w:tcBorders/>
            <w:shd w:fill="CCEEFF" w:val="clear"/>
            <w:vAlign w:val="center"/>
          </w:tcPr>
          <w:p>
            <w:pPr>
              <w:pStyle w:val="TableContents"/>
              <w:bidi w:val="0"/>
              <w:spacing w:before="0" w:after="283"/>
              <w:jc w:val="left"/>
              <w:rPr/>
            </w:pPr>
            <w:r>
              <w:rPr/>
              <w:t>  </w:t>
            </w:r>
          </w:p>
        </w:tc>
        <w:tc>
          <w:tcPr>
            <w:tcW w:w="4183" w:type="dxa"/>
            <w:tcBorders/>
            <w:shd w:fill="CCEEFF" w:val="clear"/>
            <w:vAlign w:val="center"/>
          </w:tcPr>
          <w:p>
            <w:pPr>
              <w:pStyle w:val="TableContents"/>
              <w:bidi w:val="0"/>
              <w:spacing w:before="0" w:after="283"/>
              <w:jc w:val="left"/>
              <w:rPr/>
            </w:pPr>
            <w:r>
              <w:rPr/>
              <w:t>Frequency Therapeutics (Nasdaq: FREQ)</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15</w:t>
            </w:r>
          </w:p>
        </w:tc>
        <w:tc>
          <w:tcPr>
            <w:tcW w:w="77"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10/31/2023</w:t>
            </w:r>
          </w:p>
        </w:tc>
        <w:tc>
          <w:tcPr>
            <w:tcW w:w="1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Lung Therapeutics</w:t>
            </w:r>
          </w:p>
        </w:tc>
        <w:tc>
          <w:tcPr>
            <w:tcW w:w="120" w:type="dxa"/>
            <w:tcBorders/>
            <w:vAlign w:val="center"/>
          </w:tcPr>
          <w:p>
            <w:pPr>
              <w:pStyle w:val="TableContents"/>
              <w:bidi w:val="0"/>
              <w:spacing w:before="0" w:after="283"/>
              <w:jc w:val="left"/>
              <w:rPr/>
            </w:pPr>
            <w:r>
              <w:rPr/>
              <w:t>  </w:t>
            </w:r>
          </w:p>
        </w:tc>
        <w:tc>
          <w:tcPr>
            <w:tcW w:w="4183" w:type="dxa"/>
            <w:tcBorders/>
            <w:vAlign w:val="center"/>
          </w:tcPr>
          <w:p>
            <w:pPr>
              <w:pStyle w:val="TableContents"/>
              <w:bidi w:val="0"/>
              <w:spacing w:before="0" w:after="283"/>
              <w:jc w:val="left"/>
              <w:rPr/>
            </w:pPr>
            <w:r>
              <w:rPr/>
              <w:t>Aileron Therapeutics (Nasdaq: ALRN)</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10</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2"/>
        <w:gridCol w:w="120"/>
        <w:gridCol w:w="3506"/>
        <w:gridCol w:w="120"/>
        <w:gridCol w:w="4061"/>
        <w:gridCol w:w="120"/>
        <w:gridCol w:w="166"/>
        <w:gridCol w:w="1054"/>
        <w:gridCol w:w="76"/>
      </w:tblGrid>
      <w:tr>
        <w:trPr/>
        <w:tc>
          <w:tcPr>
            <w:tcW w:w="9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8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50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center"/>
          </w:tcPr>
          <w:p>
            <w:pPr>
              <w:pStyle w:val="TableContents"/>
              <w:bidi w:val="0"/>
              <w:spacing w:before="0" w:after="283"/>
              <w:jc w:val="left"/>
              <w:rPr/>
            </w:pPr>
            <w:r>
              <w:rPr/>
              <w:t>  </w:t>
            </w:r>
          </w:p>
        </w:tc>
        <w:tc>
          <w:tcPr>
            <w:tcW w:w="4061"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Delivered</w:t>
              <w:br/>
              <w:t>for Public</w:t>
              <w:br/>
              <w:t>Vehicle</w:t>
              <w:br/>
              <w:t>Net of Cash</w:t>
              <w:br/>
              <w:t>($M)</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10/16/2023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Notable Labs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Vascular Biogenics Ltd. (Nasdaq: VBLT)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20</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9/11/2023</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Dianthus Therapeutics</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Magenta Therapeutics (Nasdaq: MGTA)</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20</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8/16/2023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EIP Pharma (CervoMed)</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Diffusion Pharmaceuticals (Nasdaq: DFFN)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10</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6/29/2023</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TeraImmune</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Baudax Bio (Nasdaq: BXRX)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6/22/2023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Spyre Therapeutics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Aeglea BioTherapeutics (Nasdaq: AGLE)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25</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6/1/2023</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Elicio Therapeutics</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Angion Biomedica (Nasdaq: ANGN)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7</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4/22/2023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GRI Bio</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Vallon Pharmaceuticals (Nasdaq: VLON)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29</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3/20/2023</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CalciMedica</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Graybug Vision (Nasdaq: GRAY)</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3/7/2023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Carisma Therapeutics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Sesen Bio (Nasdaq: SESN)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15</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2/23/2023</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Enliven Therapeutics</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Imara (Nasdaq: IMRA)</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1/9/2023</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Catheter Precision, Inc.</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Ra Medical Systems (NYSE: RMED)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12/29/2022</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Disc Medicine</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Gemini Therapeutics (Nasdaq: GMTX)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12/27/2022</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GNI Group (Gyre Therapeutics)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Catalyst Biosciences (Nasdaq: CBIO)</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9</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12/19/2022</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Kineta, Inc.</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Yumanity Therapeutics (Nasdaq: YMTX)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26</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11/8/2022</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ARS Pharmaceuticals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Silverback Therapeutics (Nasdaq: SBTX)</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9/28/2022</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Aceragen, Inc.</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Idera Pharmaceuticals (Nasdaq: IDRA)</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7</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9/15/2022</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Lisata Therapeutics (Cend)</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Caladrius Biosciences (Nasdaq: CLBS)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25</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8/30/2022</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Vivani Medical (Nano Precision)</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Second Sight Medical (Nasdaq: EYES)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7/5/2022</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Syros Pharmaceuticals (Nasdaq: SYRS)</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Tyme Technologies (Nasdaq: TYME)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8</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5/16/2022</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Aprea Therapeutics, Inc.</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Atrin Pharmaceuticals (NasdaqGS: APRE)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10/24/2021</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Quoin Pharmaceuticals, Inc.</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Cellect Biotechnology Ltd. (Nasdaq: APOP)</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13</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8/26/2021</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Aadi Bioscience, Inc.</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Aerpio Pharmaceuticals, Inc. (Nasdaq: ARPO)</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8/3/2021</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Decoy Biosystems, Inc.</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Indaptus Therapeutics (Intec) (Nasdaq: INDP)</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10</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7/27/2021</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Cytocom, Inc. (Statera)</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Cleveland BioLabs, Inc. (Nasdaq: CBLI)</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6/28/2021</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Tempest Therapeutics Inc.</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Millendo Therapeutics, Inc. (Nasdaq: MLND)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19</w:t>
            </w:r>
          </w:p>
        </w:tc>
        <w:tc>
          <w:tcPr>
            <w:tcW w:w="76" w:type="dxa"/>
            <w:tcBorders/>
            <w:shd w:fill="CCEEFF" w:val="clear"/>
            <w:vAlign w:val="center"/>
          </w:tcPr>
          <w:p>
            <w:pPr>
              <w:pStyle w:val="TableContents"/>
              <w:bidi w:val="0"/>
              <w:spacing w:before="0" w:after="283"/>
              <w:jc w:val="left"/>
              <w:rPr/>
            </w:pPr>
            <w:r>
              <w:rPr/>
              <w:t> </w:t>
            </w:r>
          </w:p>
        </w:tc>
      </w:tr>
      <w:tr>
        <w:trPr/>
        <w:tc>
          <w:tcPr>
            <w:tcW w:w="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6/15/2021</w:t>
            </w:r>
          </w:p>
        </w:tc>
        <w:tc>
          <w:tcPr>
            <w:tcW w:w="120" w:type="dxa"/>
            <w:tcBorders/>
            <w:vAlign w:val="center"/>
          </w:tcPr>
          <w:p>
            <w:pPr>
              <w:pStyle w:val="TableContents"/>
              <w:bidi w:val="0"/>
              <w:spacing w:before="0" w:after="283"/>
              <w:jc w:val="left"/>
              <w:rPr/>
            </w:pPr>
            <w:r>
              <w:rPr/>
              <w:t>  </w:t>
            </w:r>
          </w:p>
        </w:tc>
        <w:tc>
          <w:tcPr>
            <w:tcW w:w="3506" w:type="dxa"/>
            <w:tcBorders/>
            <w:vAlign w:val="center"/>
          </w:tcPr>
          <w:p>
            <w:pPr>
              <w:pStyle w:val="TableContents"/>
              <w:bidi w:val="0"/>
              <w:spacing w:before="0" w:after="283"/>
              <w:jc w:val="left"/>
              <w:rPr/>
            </w:pPr>
            <w:r>
              <w:rPr/>
              <w:t>ReShape Lifesciences Inc.</w:t>
            </w:r>
          </w:p>
        </w:tc>
        <w:tc>
          <w:tcPr>
            <w:tcW w:w="120" w:type="dxa"/>
            <w:tcBorders/>
            <w:vAlign w:val="center"/>
          </w:tcPr>
          <w:p>
            <w:pPr>
              <w:pStyle w:val="TableContents"/>
              <w:bidi w:val="0"/>
              <w:spacing w:before="0" w:after="283"/>
              <w:jc w:val="left"/>
              <w:rPr/>
            </w:pPr>
            <w:r>
              <w:rPr/>
              <w:t>  </w:t>
            </w:r>
          </w:p>
        </w:tc>
        <w:tc>
          <w:tcPr>
            <w:tcW w:w="4061" w:type="dxa"/>
            <w:tcBorders/>
            <w:vAlign w:val="center"/>
          </w:tcPr>
          <w:p>
            <w:pPr>
              <w:pStyle w:val="TableContents"/>
              <w:bidi w:val="0"/>
              <w:spacing w:before="0" w:after="283"/>
              <w:jc w:val="left"/>
              <w:rPr/>
            </w:pPr>
            <w:r>
              <w:rPr/>
              <w:t>Obalon Therapeutics, Inc. (Nasdaq: OBLN)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4/27/2021</w:t>
            </w:r>
          </w:p>
        </w:tc>
        <w:tc>
          <w:tcPr>
            <w:tcW w:w="120" w:type="dxa"/>
            <w:tcBorders/>
            <w:shd w:fill="CCEEFF" w:val="clear"/>
            <w:vAlign w:val="center"/>
          </w:tcPr>
          <w:p>
            <w:pPr>
              <w:pStyle w:val="TableContents"/>
              <w:bidi w:val="0"/>
              <w:spacing w:before="0" w:after="283"/>
              <w:jc w:val="left"/>
              <w:rPr/>
            </w:pPr>
            <w:r>
              <w:rPr/>
              <w:t>  </w:t>
            </w:r>
          </w:p>
        </w:tc>
        <w:tc>
          <w:tcPr>
            <w:tcW w:w="3506" w:type="dxa"/>
            <w:tcBorders/>
            <w:shd w:fill="CCEEFF" w:val="clear"/>
            <w:vAlign w:val="center"/>
          </w:tcPr>
          <w:p>
            <w:pPr>
              <w:pStyle w:val="TableContents"/>
              <w:bidi w:val="0"/>
              <w:spacing w:before="0" w:after="283"/>
              <w:jc w:val="left"/>
              <w:rPr/>
            </w:pPr>
            <w:r>
              <w:rPr/>
              <w:t>Leading BioSciences, Inc. (Palisade)</w:t>
            </w:r>
          </w:p>
        </w:tc>
        <w:tc>
          <w:tcPr>
            <w:tcW w:w="120" w:type="dxa"/>
            <w:tcBorders/>
            <w:shd w:fill="CCEEFF" w:val="clear"/>
            <w:vAlign w:val="center"/>
          </w:tcPr>
          <w:p>
            <w:pPr>
              <w:pStyle w:val="TableContents"/>
              <w:bidi w:val="0"/>
              <w:spacing w:before="0" w:after="283"/>
              <w:jc w:val="left"/>
              <w:rPr/>
            </w:pPr>
            <w:r>
              <w:rPr/>
              <w:t>  </w:t>
            </w:r>
          </w:p>
        </w:tc>
        <w:tc>
          <w:tcPr>
            <w:tcW w:w="4061" w:type="dxa"/>
            <w:tcBorders/>
            <w:shd w:fill="CCEEFF" w:val="clear"/>
            <w:vAlign w:val="center"/>
          </w:tcPr>
          <w:p>
            <w:pPr>
              <w:pStyle w:val="TableContents"/>
              <w:bidi w:val="0"/>
              <w:spacing w:before="0" w:after="283"/>
              <w:jc w:val="left"/>
              <w:rPr/>
            </w:pPr>
            <w:r>
              <w:rPr/>
              <w:t>Seneca Biopharma, Inc. (Nasdaq: SNCA)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30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5"/>
        <w:gridCol w:w="120"/>
        <w:gridCol w:w="3150"/>
        <w:gridCol w:w="120"/>
        <w:gridCol w:w="4414"/>
        <w:gridCol w:w="120"/>
        <w:gridCol w:w="166"/>
        <w:gridCol w:w="1054"/>
        <w:gridCol w:w="76"/>
      </w:tblGrid>
      <w:tr>
        <w:trPr/>
        <w:tc>
          <w:tcPr>
            <w:tcW w:w="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1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center"/>
          </w:tcPr>
          <w:p>
            <w:pPr>
              <w:pStyle w:val="TableContents"/>
              <w:bidi w:val="0"/>
              <w:spacing w:before="0" w:after="283"/>
              <w:jc w:val="left"/>
              <w:rPr/>
            </w:pPr>
            <w:r>
              <w:rPr/>
              <w:t>  </w:t>
            </w:r>
          </w:p>
        </w:tc>
        <w:tc>
          <w:tcPr>
            <w:tcW w:w="441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Delivered</w:t>
              <w:br/>
              <w:t>for Public</w:t>
              <w:br/>
              <w:t>Vehicle</w:t>
              <w:br/>
              <w:t>Net of Cash</w:t>
              <w:br/>
              <w:t>($M)</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4/16/2021</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MyMD Pharmaceuticals,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Akers Biosciences, Inc. (Nasdaq: AKER)</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3/31/2021</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StemoniX Inc. (Vyant Bio)</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Cancer Genetics, Inc. (Nasdaq: CGIX)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3/16/2021</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ChemomAb Ltd.</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Anchiano Therapeutics Ltd. (Nasdaq: ANCN)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15</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2/24/2021</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Viracta Therapeutics,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Sunesis Pharmaceuticals (Nasdaq: SNSS)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16</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1/28/2021</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Quellis Biosciences, Inc. (Astria)</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Catabasis Pharmaceuticals (Nasdaq: CATB)</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25</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12/22/2020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Yumanity Therapeutics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Proteostasis Therapeutics (Nasdaq: PTI)</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34</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Petros Pharmaceuticals,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Neurotrope, Inc. (NasdaqCM: NTRP)</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11/23/2020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F-star Therapeutics, Limited</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Spring Bank Pharmaceuticals, Inc.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23</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11/5/2020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Ocuphire Pharma,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Rexahn Pharmaceuticals (Nasdaq: REXN)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16</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10/27/2020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Viridian Therapeutics,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Miragen Therapeutics, Inc. (NasdaqCM: MGEN)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15</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9/15/2020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Adicet Bio,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resTORbio, Inc. (NasdaqGS: TORC)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8</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9/14/2020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Anelixis Therapeutics (Eledon)</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Novus Therapeutics, Inc. (NasdaqCM: NVUS)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7/6/2020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Kiq Bio (Cogent)</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Unum Therapeutics, Inc. (NASDAQ: UMRX)</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17</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6/15/2020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Forte Biosciences,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Tocagen Inc. (NasdaqGS: TOCA)</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8</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5/28/2020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Larimar Therapeutics,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Zafgen, Inc. (NasdaqGS: ZFGN)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5/26/2020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Histogen,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Conatus Pharmaceuticals (Nasdaq: CNAT)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23</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5/22/2020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Qualigen,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Ritter Pharmaceuticals (Nasdaq: RTTR)</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NA</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5/18/2020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Timber Pharmaceuticals,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BioPharmX Corporation (AMEX: BPMX)</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16</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4/1/2020</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Curetis NV (Euronext: CURE)</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OpGen, Inc. (NasdaqCM: OPGN)</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7</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1/9/2020</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Protara Therapeutics,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Proteon Therapeutics, Inc. (NASDAQ: PRTO)</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12/30/2019</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NeuroBo Pharmaceuticals,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Gemphire Therapeutics Inc. (NASDAQ: GEMP)</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8</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11/7/2019</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Venus Concept Ltd.</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Restoration Robotics, Inc. (NASDAQ: HAIR)</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20</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9/27/2019</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Ocugen, Inc.</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Histogenics Corporation (NASDAQ: HSGX)</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NA</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8/31/2019</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Brickell Biotech, Inc.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Vical Incorporated (NASDAQ: VICL)</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7/31/2019</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ESSA Pharma (NASDAQ: EPIX)</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Realm Therapeutics plc (NASDAQ: RLM)</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w:t>
            </w:r>
          </w:p>
        </w:tc>
        <w:tc>
          <w:tcPr>
            <w:tcW w:w="76" w:type="dxa"/>
            <w:tcBorders/>
            <w:shd w:fill="CCEEFF" w:val="clear"/>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7/22/2019</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Salarius Pharmaceuticals, LLC</w:t>
            </w:r>
          </w:p>
        </w:tc>
        <w:tc>
          <w:tcPr>
            <w:tcW w:w="120" w:type="dxa"/>
            <w:tcBorders/>
            <w:vAlign w:val="center"/>
          </w:tcPr>
          <w:p>
            <w:pPr>
              <w:pStyle w:val="TableContents"/>
              <w:bidi w:val="0"/>
              <w:spacing w:before="0" w:after="283"/>
              <w:jc w:val="left"/>
              <w:rPr/>
            </w:pPr>
            <w:r>
              <w:rPr/>
              <w:t>  </w:t>
            </w:r>
          </w:p>
        </w:tc>
        <w:tc>
          <w:tcPr>
            <w:tcW w:w="4414" w:type="dxa"/>
            <w:tcBorders/>
            <w:vAlign w:val="center"/>
          </w:tcPr>
          <w:p>
            <w:pPr>
              <w:pStyle w:val="TableContents"/>
              <w:bidi w:val="0"/>
              <w:spacing w:before="0" w:after="283"/>
              <w:jc w:val="left"/>
              <w:rPr/>
            </w:pPr>
            <w:r>
              <w:rPr/>
              <w:t>Flex Pharma, Inc. (NASDAQ: FLKS)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7/15/2019</w:t>
            </w:r>
          </w:p>
        </w:tc>
        <w:tc>
          <w:tcPr>
            <w:tcW w:w="120" w:type="dxa"/>
            <w:tcBorders/>
            <w:shd w:fill="CCEEFF" w:val="clear"/>
            <w:vAlign w:val="center"/>
          </w:tcPr>
          <w:p>
            <w:pPr>
              <w:pStyle w:val="TableContents"/>
              <w:bidi w:val="0"/>
              <w:spacing w:before="0" w:after="283"/>
              <w:jc w:val="left"/>
              <w:rPr/>
            </w:pPr>
            <w:r>
              <w:rPr/>
              <w:t>  </w:t>
            </w:r>
          </w:p>
        </w:tc>
        <w:tc>
          <w:tcPr>
            <w:tcW w:w="3150" w:type="dxa"/>
            <w:tcBorders/>
            <w:shd w:fill="CCEEFF" w:val="clear"/>
            <w:vAlign w:val="center"/>
          </w:tcPr>
          <w:p>
            <w:pPr>
              <w:pStyle w:val="TableContents"/>
              <w:bidi w:val="0"/>
              <w:spacing w:before="0" w:after="283"/>
              <w:jc w:val="left"/>
              <w:rPr/>
            </w:pPr>
            <w:r>
              <w:rPr/>
              <w:t>NeuBase Therapeutics</w:t>
            </w:r>
          </w:p>
        </w:tc>
        <w:tc>
          <w:tcPr>
            <w:tcW w:w="120" w:type="dxa"/>
            <w:tcBorders/>
            <w:shd w:fill="CCEEFF" w:val="clear"/>
            <w:vAlign w:val="center"/>
          </w:tcPr>
          <w:p>
            <w:pPr>
              <w:pStyle w:val="TableContents"/>
              <w:bidi w:val="0"/>
              <w:spacing w:before="0" w:after="283"/>
              <w:jc w:val="left"/>
              <w:rPr/>
            </w:pPr>
            <w:r>
              <w:rPr/>
              <w:t>  </w:t>
            </w:r>
          </w:p>
        </w:tc>
        <w:tc>
          <w:tcPr>
            <w:tcW w:w="4414" w:type="dxa"/>
            <w:tcBorders/>
            <w:shd w:fill="CCEEFF" w:val="clear"/>
            <w:vAlign w:val="center"/>
          </w:tcPr>
          <w:p>
            <w:pPr>
              <w:pStyle w:val="TableContents"/>
              <w:bidi w:val="0"/>
              <w:spacing w:before="0" w:after="283"/>
              <w:jc w:val="left"/>
              <w:rPr/>
            </w:pPr>
            <w:r>
              <w:rPr/>
              <w:t>Ohr Pharmaceutical (NASDAQ: OHRP)</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7</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4"/>
        <w:gridCol w:w="120"/>
        <w:gridCol w:w="3209"/>
        <w:gridCol w:w="120"/>
        <w:gridCol w:w="4356"/>
        <w:gridCol w:w="120"/>
        <w:gridCol w:w="228"/>
        <w:gridCol w:w="992"/>
        <w:gridCol w:w="76"/>
      </w:tblGrid>
      <w:tr>
        <w:trPr/>
        <w:tc>
          <w:tcPr>
            <w:tcW w:w="9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8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Closed Date</w:t>
            </w:r>
          </w:p>
        </w:tc>
        <w:tc>
          <w:tcPr>
            <w:tcW w:w="120" w:type="dxa"/>
            <w:tcBorders/>
            <w:vAlign w:val="center"/>
          </w:tcPr>
          <w:p>
            <w:pPr>
              <w:pStyle w:val="TableContents"/>
              <w:bidi w:val="0"/>
              <w:spacing w:before="0" w:after="283"/>
              <w:jc w:val="left"/>
              <w:rPr/>
            </w:pPr>
            <w:r>
              <w:rPr/>
              <w:t>  </w:t>
            </w:r>
          </w:p>
        </w:tc>
        <w:tc>
          <w:tcPr>
            <w:tcW w:w="32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Surviving Company</w:t>
            </w:r>
          </w:p>
        </w:tc>
        <w:tc>
          <w:tcPr>
            <w:tcW w:w="120" w:type="dxa"/>
            <w:tcBorders/>
            <w:vAlign w:val="center"/>
          </w:tcPr>
          <w:p>
            <w:pPr>
              <w:pStyle w:val="TableContents"/>
              <w:bidi w:val="0"/>
              <w:spacing w:before="0" w:after="283"/>
              <w:jc w:val="left"/>
              <w:rPr/>
            </w:pPr>
            <w:r>
              <w:rPr/>
              <w:t>  </w:t>
            </w:r>
          </w:p>
        </w:tc>
        <w:tc>
          <w:tcPr>
            <w:tcW w:w="435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Public Company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Delivered</w:t>
              <w:br/>
              <w:t>for Public</w:t>
              <w:br/>
              <w:t>Vehicle</w:t>
              <w:br/>
              <w:t>Net of Cash</w:t>
              <w:br/>
              <w:t>($M)</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6/10/2019</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Oncternal Therapeutics, Inc.</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GTx, Inc. (NASDAQ: GTXI)</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6/9/2019</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Edesa Biotech Inc.</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Stellar Biotechnologies, Inc. (NASDAQ: SBOT)</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2</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5/9/2019</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Armata Pharmaceuticals (f.k.a C3J)</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Ampliphi Biosciences (NYSE: APHB)</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5/6/2019</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Adynxx, Inc.</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Alliqua BioMedical, Inc. (NASDAQ: ALQA)</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4/23/2019</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Mereo BioPharma (AIM: MPH)</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Oncomed Pharmaceuticals (NASDAQ: OMED)</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20</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4/12/2019</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Immunic AG</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Vital Therapies, Inc. (NASDAQ: VTL)</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10</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3/26/2019</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Enlivex Therapeutics Ltd.</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Bioblast Pharma Ltd. (NASDAQ: ORPN)</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3/18/2019</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PDS Biotechnology Corporation</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Edge Therapeutics, Inc. (NASDAQ: EDGE)</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3/13/2019</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X4 Pharmaceuticals, Inc.</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Arsanis, Inc. (NASDAQ: ASNS)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29</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1/24/2019</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Seelos Therapeutics, Inc.</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Apricus Biosciences, Inc. (NASDAQ: APRI)</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8</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12/7/2018</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Millendo Therapeutics, Inc.</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OvaScience, Inc. (NASDAQ: OVAS)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10/12/2018</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Aravive Biologics, Inc.</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Versartis, Inc. (NASDAQ: VSAR)</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0</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2/13/2018</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Vaxart, Inc.</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Aviragen Therapeutics, Inc. (NASDAQ: AVIR)</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44</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1/30/2018</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Innovate Biopharmaceuticals, Inc.</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Monster Digital, Inc. (NASDAQ: MSDI)</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1/17/2018</w:t>
            </w:r>
          </w:p>
        </w:tc>
        <w:tc>
          <w:tcPr>
            <w:tcW w:w="120"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left"/>
              <w:rPr/>
            </w:pPr>
            <w:r>
              <w:rPr/>
              <w:t>Evofem Biosciences, Inc.</w:t>
            </w:r>
          </w:p>
        </w:tc>
        <w:tc>
          <w:tcPr>
            <w:tcW w:w="120" w:type="dxa"/>
            <w:tcBorders/>
            <w:shd w:fill="CCEEFF" w:val="clear"/>
            <w:vAlign w:val="center"/>
          </w:tcPr>
          <w:p>
            <w:pPr>
              <w:pStyle w:val="TableContents"/>
              <w:bidi w:val="0"/>
              <w:spacing w:before="0" w:after="283"/>
              <w:jc w:val="left"/>
              <w:rPr/>
            </w:pPr>
            <w:r>
              <w:rPr/>
              <w:t>  </w:t>
            </w:r>
          </w:p>
        </w:tc>
        <w:tc>
          <w:tcPr>
            <w:tcW w:w="4356" w:type="dxa"/>
            <w:tcBorders/>
            <w:shd w:fill="CCEEFF" w:val="clear"/>
            <w:vAlign w:val="center"/>
          </w:tcPr>
          <w:p>
            <w:pPr>
              <w:pStyle w:val="TableContents"/>
              <w:bidi w:val="0"/>
              <w:spacing w:before="0" w:after="283"/>
              <w:jc w:val="left"/>
              <w:rPr/>
            </w:pPr>
            <w:r>
              <w:rPr/>
              <w:t>Neothetics, Inc. (NASDAQ: NEOT)</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29</w:t>
            </w:r>
          </w:p>
        </w:tc>
        <w:tc>
          <w:tcPr>
            <w:tcW w:w="76" w:type="dxa"/>
            <w:tcBorders/>
            <w:shd w:fill="CCEEFF" w:val="cle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1/4/2018</w:t>
            </w:r>
          </w:p>
        </w:tc>
        <w:tc>
          <w:tcPr>
            <w:tcW w:w="120"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left"/>
              <w:rPr/>
            </w:pPr>
            <w:r>
              <w:rPr/>
              <w:t>Rocket Pharmaceuticals, Ltd</w:t>
            </w:r>
          </w:p>
        </w:tc>
        <w:tc>
          <w:tcPr>
            <w:tcW w:w="12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283"/>
              <w:jc w:val="left"/>
              <w:rPr/>
            </w:pPr>
            <w:r>
              <w:rPr/>
              <w:t>Inotek Pharmaceuticals Corp (NASDAQ: ITEK)</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Lucid. The preparation of a fairness opinion involves various determinations as to the most appropriate and relevant methods of financial analysis and the application of these methods to the particular circumstances. Therefore, such an opinion is not readily susceptible to partial analysis or summary description. Lucid did not attribute any particular weight to any analysis or factor considered by it, but rather made qualitative judgments as to the significance and relevance of each analysis and factor. Accordingly, notwithstanding the separate factors summarized above, Lucid believes, and advised the Boundless Bio Board of Directors, that its analyses must be considered as a whole. Selecting portions of its analyses and the factors considered by it without considering all analyses and factors could create an incomplete view of the process underlying the Lucid Opinion. In performing its analyses, Lucid made numerous assumptions with respect to industry performance, business and economic conditions and other matters, many of which are beyond the control of Boundless Bio and Serapha. These analyses performed by Lucid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Boundless Bio, Serapha, Lucid or any other person assumes responsibility if future results are materially different from those projected. The analyses supplied by Lucid and the Lucid Opinion were among several factors taken into consideration by the Boundless Bio Board of Directors in making its decision to enter into the Merger Agreement and should not be considered as determinative of such a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Lucid was selected by the Boundless Bio Board of Directors to render an opinion to the Boundless Bio Board of Directors because Lucid is a nationally recognized investment banking firm and as part of its investment banking business, Lucid is continually engaged in the valuation of businesses and their securities in connection with mergers, negotiated underwritings, secondary distributions of listed and unlisted securities, private placements and valuations for corporate and other purposes. In addition, in the ordinary course of its business, Lucid and its affiliates may trade the equity securities of Boundless Bio for its own account and for the accounts of their customers, and, accordingly, may at any time hold a long or short position in such securities. In the two years preceding the date hereof, Lucid has not had a relationship with Boundless Bio or its affiliates and has not received any fees from Boundless Bio or any of its affiliates. In the two years preceding the date hereof, Lucid has not had a relationship with Serapha or any of its affiliates and has not received any fees from Serapha or any of its affiliates, including RTW Investments, LP (“RTW Investments”), RA Capital Management, L.P. (“RA Capital Management”) or any of their affiliates. Lucid and its affiliates may in the future seek to provide investment banking or financial advisory services to Boundless Bio and/or Serapha and/or certain of their respective affiliates and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Engagement Letter, as of the time the Merger Agreement was approved, if the Merger is consummated, Lucid will be entitled to receive a transaction fee of $1,300,000 payable in cash at the closing of the transaction. Lucid received a $25,000 upfront initial fee and a fee for the Lucid Opinion of $200,000 upon delivery of the Lucid Opinion, that is non-creditable to the $1,300,000 transaction fee and which is not contingent upon consummation of the Merger. Additionally, Boundless Bio has agreed to reimburse Lucid for its out-of-pocket expenses (up to $50,000) and has agreed to indemnify Lucid against certain liabilities, including liabilities under U.S. federal securities laws. The terms of the fee arrangement with Lucid, which are customary in transactions of this nature, were negotiated at arm’s length between Boundless Bio and Lucid, and the Boundless Bio Board of Directors was aware of the arrangement. </w:t>
      </w:r>
    </w:p>
    <w:p>
      <w:pPr>
        <w:pStyle w:val="TextBody"/>
        <w:bidi w:val="0"/>
        <w:spacing w:before="360" w:after="0"/>
        <w:jc w:val="left"/>
        <w:rPr>
          <w:rFonts w:ascii="Times New Roman" w:hAnsi="Times New Roman"/>
          <w:b/>
          <w:sz w:val="20"/>
        </w:rPr>
      </w:pPr>
      <w:bookmarkStart w:id="18" w:name="tx108148_603"/>
      <w:bookmarkEnd w:id="18"/>
      <w:r>
        <w:rPr>
          <w:rFonts w:ascii="Times New Roman" w:hAnsi="Times New Roman"/>
          <w:b/>
          <w:sz w:val="20"/>
        </w:rPr>
        <w:t xml:space="preserve">Interests of Boundless Bio’s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Boundless Bio Board of Directors with respect to approving the Nasdaq Stock Issuance Proposal, Nasdaq Reverse Split Proposal, Authorized Share Increase Proposal, Stock Plan Proposal, ESPP Proposal and Adjournment Proposal, stockholders should be aware that Boundless Bio’s current directors and officers and certain former directors and executive officers who were directors and officers at the time of entry into the Merger Agreement have interests in the Merger that are different from, or in addition to, the interests of Boundless Bio’s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was aware of these potential conflicts of interest and considered them, among other matters, in reaching its decision to approve the Merger Agreement and the Merger, and to recommend that Boundless Bio’s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Certain material payments to the current and/or former executives of Boundless Bio are factored into the calculation of Boundless Bio Net Cash as deductions, including any bonus, retention payments, severance, change in control payments or similar payment obligations (including payments with “single trigger” provisions triggered at and as of the consummation of the transactions contemplated hereby) that are due or payable to any director, officer, employee or consultant as a result of the consummation of the Contemplated Transactions or any Boundless Bio Legacy Transaction, together with any payroll taxes associated therewith. The amount of the Boundless Bio Pre-Closing Dividend payable to Boundless Bio stockholders is directly affected by the amount of payments made to Boundless Bio current and/or former executives at Closing. Any increase in such payments will reduce Boundless Bio Net Cash and, accordingly, reduce the aggregate amount of the Boundless Bio Pre-Closing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2026, Boundless Bio’s current non-employee directors and executive officers beneficially owned, in the aggregate, approximately 2.83% of the shares of Boundless Bio Common Stock, which for purposes of this subsection excludes any shares of Boundless Bio Common Stock issuable upon exercise of Boundless Bio Options held by such individuals.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Boundless Bio Options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Boundless Bio Continuing Option to reflect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Boundless Bio Options held as of September 30, 2026 by each of the individuals who are, or were at any point during the 2025 fiscal year, Boundless Bio’s executive officers and Boundless Bio’s non-employee directors. The number of shares of Boundless Bio Common Stock underlying such Boundless Bio Options and the applicable exercise prices of such Boundless Bio Options will be adjusted appropriately to reflect the Nasdaq Reverse Split and the Boundless Bio Pre-Closing Dividend. As noted above, all Boundless Bio Options became fully vested and exercisable immediately on the date of the signing of the Merger Agreement. </w:t>
      </w:r>
    </w:p>
    <w:p>
      <w:pPr>
        <w:pStyle w:val="TextBody"/>
        <w:bidi w:val="0"/>
        <w:spacing w:before="0" w:after="0"/>
        <w:jc w:val="left"/>
        <w:rPr/>
      </w:pPr>
      <w:r>
        <w:rPr/>
        <w:t> </w:t>
      </w:r>
    </w:p>
    <w:tbl>
      <w:tblPr>
        <w:tblW w:w="9240" w:type="dxa"/>
        <w:jc w:val="left"/>
        <w:tblInd w:w="0" w:type="dxa"/>
        <w:tblLayout w:type="fixed"/>
        <w:tblCellMar>
          <w:top w:w="0" w:type="dxa"/>
          <w:left w:w="0" w:type="dxa"/>
          <w:bottom w:w="0" w:type="dxa"/>
          <w:right w:w="0" w:type="dxa"/>
        </w:tblCellMar>
      </w:tblPr>
      <w:tblGrid>
        <w:gridCol w:w="2600"/>
        <w:gridCol w:w="120"/>
        <w:gridCol w:w="164"/>
        <w:gridCol w:w="2691"/>
        <w:gridCol w:w="60"/>
        <w:gridCol w:w="120"/>
        <w:gridCol w:w="682"/>
        <w:gridCol w:w="2728"/>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28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 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 Average Exercise Price</w:t>
            </w:r>
            <w:r>
              <w:rPr/>
              <w:br/>
            </w:r>
            <w:r>
              <w:rPr>
                <w:b/>
              </w:rPr>
              <w:t>of Options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26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sz w:val="4"/>
                <w:szCs w:val="4"/>
              </w:rPr>
            </w:pPr>
            <w:r>
              <w:rPr>
                <w:sz w:val="4"/>
                <w:szCs w:val="4"/>
              </w:rPr>
            </w:r>
          </w:p>
        </w:tc>
        <w:tc>
          <w:tcPr>
            <w:tcW w:w="272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Zachary D. Hornby(1)</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1,870,447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right"/>
              <w:rPr/>
            </w:pPr>
            <w:r>
              <w:rPr/>
              <w:t>3.00</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Neil Abdollahian(2)</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27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Doebele, M.D., Ph.D. (1)</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410,000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right"/>
              <w:rPr/>
            </w:pPr>
            <w:r>
              <w:rPr/>
              <w:t>1.69</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Hassig, Ph.D. (1)</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656,282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right"/>
              <w:rPr/>
            </w:pPr>
            <w:r>
              <w:rPr/>
              <w:t>2.58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Hinkle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319,160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Jessica Oien, J.D.</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501,669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right"/>
              <w:rPr/>
            </w:pPr>
            <w:r>
              <w:rPr/>
              <w:t>2.37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133,366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right"/>
              <w:rPr/>
            </w:pPr>
            <w:r>
              <w:rPr/>
              <w:t>4.25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Brennan, Ph.D.(3)</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Kristina Burow(4)</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26,438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right"/>
              <w:rPr/>
            </w:pPr>
            <w:r>
              <w:rPr/>
              <w:t>16.00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Christensen, Ph.D.</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102,756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right"/>
              <w:rPr/>
            </w:pPr>
            <w:r>
              <w:rPr/>
              <w:t>4.97</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Lew</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691" w:type="dxa"/>
            <w:tcBorders/>
            <w:shd w:fill="CCEEFF" w:val="clear"/>
            <w:vAlign w:val="center"/>
          </w:tcPr>
          <w:p>
            <w:pPr>
              <w:pStyle w:val="TableContents"/>
              <w:bidi w:val="0"/>
              <w:spacing w:before="0" w:after="283"/>
              <w:jc w:val="right"/>
              <w:rPr/>
            </w:pPr>
            <w:r>
              <w:rPr/>
              <w:t>102,756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w:t>
            </w:r>
          </w:p>
        </w:tc>
        <w:tc>
          <w:tcPr>
            <w:tcW w:w="2728" w:type="dxa"/>
            <w:tcBorders/>
            <w:shd w:fill="CCEEFF" w:val="cle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Whiting, Pharm.D.</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right"/>
              <w:rPr/>
            </w:pPr>
            <w:r>
              <w:rPr/>
              <w:t>102,756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w:t>
            </w:r>
          </w:p>
        </w:tc>
        <w:tc>
          <w:tcPr>
            <w:tcW w:w="2728" w:type="dxa"/>
            <w:tcBorders/>
            <w:vAlign w:val="center"/>
          </w:tcPr>
          <w:p>
            <w:pPr>
              <w:pStyle w:val="TableContents"/>
              <w:bidi w:val="0"/>
              <w:spacing w:before="0" w:after="283"/>
              <w:jc w:val="right"/>
              <w:rPr/>
            </w:pPr>
            <w:r>
              <w:rPr/>
              <w:t>4.97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(1)</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Hornby and Drs. Doebele and Hassig’s employment with Boundless Bio terminated effective July 1, 2026. </w:t>
            </w:r>
          </w:p>
        </w:tc>
      </w:tr>
    </w:tbl>
    <w:tbl>
      <w:tblPr>
        <w:tblW w:w="7735" w:type="dxa"/>
        <w:jc w:val="left"/>
        <w:tblInd w:w="0" w:type="dxa"/>
        <w:tblLayout w:type="fixed"/>
        <w:tblCellMar>
          <w:top w:w="0" w:type="dxa"/>
          <w:left w:w="0" w:type="dxa"/>
          <w:bottom w:w="0" w:type="dxa"/>
          <w:right w:w="0" w:type="dxa"/>
        </w:tblCellMar>
      </w:tblPr>
      <w:tblGrid>
        <w:gridCol w:w="305"/>
        <w:gridCol w:w="7430"/>
      </w:tblGrid>
      <w:tr>
        <w:trPr/>
        <w:tc>
          <w:tcPr>
            <w:tcW w:w="305" w:type="dxa"/>
            <w:tcBorders/>
            <w:vAlign w:val="center"/>
          </w:tcPr>
          <w:p>
            <w:pPr>
              <w:pStyle w:val="TableContents"/>
              <w:bidi w:val="0"/>
              <w:spacing w:before="0" w:after="283"/>
              <w:jc w:val="left"/>
              <w:rPr/>
            </w:pPr>
            <w:r>
              <w:rPr/>
              <w:t>(2)</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Abdollahian’s employment with Boundless Bio terminated effective January 10, 2025. </w:t>
            </w:r>
          </w:p>
        </w:tc>
      </w:tr>
    </w:tbl>
    <w:tbl>
      <w:tblPr>
        <w:tblW w:w="7615" w:type="dxa"/>
        <w:jc w:val="left"/>
        <w:tblInd w:w="0" w:type="dxa"/>
        <w:tblLayout w:type="fixed"/>
        <w:tblCellMar>
          <w:top w:w="0" w:type="dxa"/>
          <w:left w:w="0" w:type="dxa"/>
          <w:bottom w:w="0" w:type="dxa"/>
          <w:right w:w="0" w:type="dxa"/>
        </w:tblCellMar>
      </w:tblPr>
      <w:tblGrid>
        <w:gridCol w:w="305"/>
        <w:gridCol w:w="7310"/>
      </w:tblGrid>
      <w:tr>
        <w:trPr/>
        <w:tc>
          <w:tcPr>
            <w:tcW w:w="305" w:type="dxa"/>
            <w:tcBorders/>
            <w:vAlign w:val="center"/>
          </w:tcPr>
          <w:p>
            <w:pPr>
              <w:pStyle w:val="TableContents"/>
              <w:bidi w:val="0"/>
              <w:spacing w:before="0" w:after="283"/>
              <w:jc w:val="left"/>
              <w:rPr/>
            </w:pPr>
            <w:r>
              <w:rPr/>
              <w:t>(3)</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Brennan resigned from the Boundless Bio Board of Directors effective March 3, 2026.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Burow did not stand for re-election at the 2026 annual meeting of Boundless Bio’s stockholders and ceased to serve on the Boundless Bio Board of Directors effective June 15,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Separation Agreements and Consulting Agreements with Zachary D. Hornby, Robert Doebele, M.D., Ph.D. and Christian Hassig, Ph.D. </w:t>
      </w:r>
    </w:p>
    <w:p>
      <w:pPr>
        <w:pStyle w:val="TextBody"/>
        <w:bidi w:val="0"/>
        <w:spacing w:before="120" w:after="0"/>
        <w:jc w:val="left"/>
        <w:rPr>
          <w:rFonts w:ascii="Times New Roman" w:hAnsi="Times New Roman"/>
          <w:sz w:val="20"/>
        </w:rPr>
      </w:pPr>
      <w:r>
        <w:rPr>
          <w:rFonts w:ascii="Times New Roman" w:hAnsi="Times New Roman"/>
          <w:sz w:val="20"/>
        </w:rPr>
        <w:t xml:space="preserve">Effective July 1, 2026, Zachary D. Hornby ceased serving as Boundless Bio’s President and Chief Executive Officer, Robert Doebele, M.D., Ph.D. ceased serving as Boundless Bio’s Chief Medical Officer, and Christian Hassig, Ph.D. ceased serving as Boundless Bio’s Chief Scientific Officer. In connection with their departures, each of Mr. Hornby and Drs. Doebele and Hassig entered into a separation agreement with Boundless Bio (the “Boundless Bio Separation Agreements”). Subject to Mr. Hornby and Drs. Doebele and Hassig’s execution and non-revocation of a release of claims and continued compliance with post-termination obligations, the Boundless Bio Separation Agreements provide for the following severance benefits: (i) a lump sum cash severance payment in an amount representing nine months’ (twelve months’ for Mr. Hornby) base salary, (ii) subject to and conditioned upon the occurrence of the Merger, an additional true-up severance payment in an amount representing twelve months’ (eighteen months’ for Mr. Hornby) base salary plus 1.0 times (1.5 times for Mr. Hornby) their respective target bonuses for 2026 less the amount of cash severance previously paid, payable in a lump sum upon the closing of the Merger, and (iii) up to nine months (twelve months for Mr. Hornby) of COBRA premium payments (increased to twelve months (eighteen months for Mr. Hornby) in the event of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effective July 2, 2026, each of Mr. Hornby and Drs. Doebele and Hassig entered into a consulting agreement with Boundless Bio, pursuant to which they will provide limited transitional services to Boundless Bio.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Offer Letters with Jessica Oien, J.D. and David Hinkle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effective July 1, 2026, each of Jessica Oien and David Hinkle entered into an amended and restated offer letter with Boundless Bio, which governs the terms of their employment with Boundless Bio as its Chief Legal Officer, Corporate Secretary and “principal executive officer” and its Senior Vice President, Finance, Controller, Treasurer, and “principal financial and accounting officer”, respectively (the “A&amp;R Offer Letters”). The A&amp;R Offer Letters provide for, among others, the following additional compensation: (i) in addition to receiving their current base salaries ($480,000 for Ms. Oien and $394,400 for Mr. Hinkle), additional monthly compensation of $50,000 for Ms. Oien and $25,000 for Mr. Hinkle, (ii) a transaction bonus accruing in the amount of $50,000 for Ms. Oien and $25,000 for Mr. Hinkle for each month of employment following July 1, 2026 (provided, that, the transaction bonuses will be capped at $500,000 for Ms. Oien and $250,000 for Mr. Hinkle) (each, a “Transaction Bonus”), and (iii) for Ms. Oien, an additional one-time bonus of $50,000 in the event the Merger Agreement is terminated and Boundless Bio enters into a binding term sheet with a new counterparty to effectuate a similar transaction. The Transaction Bonuses will be payable to Ms. Oien and Mr. Hinkle upon the closing of the Merger, or, if earlier, upon a termination of their employment by Boundless Bio without “cause”, their resignation for “good reason,” or their death or “disability” (as such terms are defined below). Neither Ms. Oien nor Mr. Hinkle will be eligible to earn any annual performance bonus for 2026 or thereafter.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Ms. Oien and Mr. Hinkle remain entitled to their existing severance benefits under Boundless Bio’s Severance and Change in Control Severance Plan, which severance benefits will be paid upon the closing of the Merger, or if earlier, upon certain qualifying terminations of employment, as modified by the terms of the A&amp;R Offer Letters. Upon the closing of a “change in control” (as defined below), Ms. Oien and Mr. Hinkle’s employment with Boundless Bio will automatically terminate and they will be entitled to the following severance payments and benefits: (i) a cash severance payment in an amount representing twelve months’ base salary plus 1.0 times their respective target bonuses for 2026, (ii) twelve months of COBRA premium payments plus a tax gross-up amount to cover any federal and state income and employment taxes arising therefrom, and (iii) any accrued Transaction Bonus through the date of termination, in each case, payable in a lump sum no later than the date of the closing of the change in control. In the event that Ms. Oien or Mr. Hinkle’s employment with Boundless Bio terminates as a result of Boundless Bio’s termination of their employment without cause or their resignation for good reason, in either case, prior to the occurrence of a change in control, they will be entitled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severance payments and benefits: (i) a cash severance payment in an amount representing nine months’ base salary, (ii) subject to and conditioned upon the occurrence of a change in control on or prior to March 15 of the calendar year following the calendar year in which their termination date occurs (a “Qualifying CIC”), an additional true-up severance payment in an amount representing twelve months’ base salary plus 1.0 times their respective target bonuses for 2026 less the amount of cash severance previously paid, (iii) nine months of COBRA premium payments (increased to twelve months in the event of a Qualifying CIC) plus a tax gross-up amount to cover any federal and state income and employment taxes arising therefrom, and (iv) any accrued Transaction Bonus through the date of termination, in each case, payable in a lump sum. Ms. Oien and Mr. Hinkle’s eligibility to receive the severance benefits described in this paragraph are subject to their execution and non-revocation of a release of claims and continued compliance with post-termination obligations. Ms. Oien and Mr. Hinkle are also eligible for outplacement services valued at up to $3,000 each.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“cause” means any of the following: (i) their commission of an act of fraud, embezzlement, or dishonesty, or the commission of some other illegal act by them, that has a demonstrable adverse impact on Boundless Bio or on any of its successors or affiliates; (ii) their conviction of, or plea of “guilty” or “no contest” to, a felony or any crime involving fraud, dishonesty, or moral turpitude under the laws of the United States or any state thereof; (iii) any intentional, unauthorized use or disclosure by them of Boundless Bio’s confidential information or trade secrets or those of any of its successors or affiliates; (iv) their gross negligence, insubordination, or material violation of any duty of loyalty to Boundless Bio or to any of its successors or affiliates, or any other demonstrable material misconduct on their part; (v) their ongoing and repeated failure or refusal to perform or neglect of their duties as required by any offer or employment letter with Boundless Bio or their ongoing and repeated failure or refusal to comply with the lawful instructions given to them by Boundless Bio’s chief executive officer or, with respect to the chief executive officer, the Boundless Bio Board of Directors, which failure, refusal, or neglect continues for 15 days following receipt of written notice from the Boundless Bio Board of Directors stating with specificity the nature of such failure, refusal, or neglect; or (vi) their willful, material breach of any of Boundless Bio’s policies or any material provision of any offer or employment letter or any confidential information agreement, proprietary information and inventions agreement. Prior to the determination that “cause” under clauses (iv), (v) or (vi) has occurred, Boundless Bio shall (A) provide to them in writing, in reasonable detail, the reasons for the determination that such “cause” exists, (B) afford them a reasonable opportunity to remedy any such conditions, if capable of being cured, (C) provide them an opportunity to be heard prior to the final decision to terminate their employment hereunder for such “cause” and (D) make any decision that such “cause” exists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“change in control” has the meaning set forth in the Boundless Bio 2024 Plan.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“disability” means total and permanent disability as defined in Section 22(e)(3)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A&amp;R Offer Letters, “good reason” means the occurrence of any of the following events or conditions without their written consent: (i) a material diminution in their authority, duties, or responsibilities; (ii) a material diminution in their base compensation, unless such a reduction is imposed across-the-board to all Boundless Bio senior management; (iii) a material change in the geographic location at which they must perform their duties from the location that was designated as their primary location immediately prior to such change (they and Boundless Bio agree that a change of more than 35 miles shall be material for this purpose); or (iv) any other action or inaction that constitutes a material breach by Boundless Bio or by any of its successors or affiliates of its obligations to them under any agreement between them and Boundless Bio or any of its affiliates. They must provide written notice to Boundless Bio of the occurrence of any of the foregoing events or conditions without their written consent within 60 days of the occurrence of such event. Boundless Bio or any of its successors or affiliates shall have a period of 30 days to cure such event or condition after receipt of written notice of such event. Their termination of employment by reason of resignation from employment with Boundless Bio for “good reason” must occur within 30 days following the expiration of the foregoing 30-day cure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Prior to the Effective Time, the Boundless Bio Board of Directors expects to declare the Boundless Bio Pre-Closing Dividend to holders of record of shares of Boundless Bio Common Stock outstanding prior to the Effective Time equal in the aggregate to Boundless Bio’s reasonable, good faith approximation of the amount by which Boundless Bio Net Cash will exceed $0 as of the Closing, and any of Boundless Bio’s directors and executive officers that are also Boundless Bio stockholders will share in any such Boundless Bio Pre-Closing Dividend proportionally to their ownership of Boundless Bio Common Stock as of that record date (please see the section titled “</w:t>
      </w:r>
      <w:r>
        <w:rPr>
          <w:rFonts w:ascii="Times New Roman" w:hAnsi="Times New Roman"/>
          <w:i/>
          <w:sz w:val="20"/>
        </w:rPr>
        <w:t>Principal Stockholders of Boundless Bio</w:t>
      </w:r>
      <w:r>
        <w:rPr>
          <w:rFonts w:ascii="Times New Roman" w:hAnsi="Times New Roman"/>
          <w:sz w:val="20"/>
        </w:rPr>
        <w:t xml:space="preserve">” beginning on page 383 of this proxy statement/prospectus for additional information regarding Boundless Bio’s directors’ and officers’ holdings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Boundless Bio Charter and the Boundless Bio Bylaws, Boundless Bio has entered into indemnification agreements with each of its directors and officers. These agreements provide for the indemnification of Boundless Bio’s directors and executive officers and, at times, their affiliates to the fullest extent permitted by Delaware law. Boundless Bio will advance expenses, including attorney’s fees, incurred in connection with any action or proceeding brought against Boundless Bio’s directors and executive officers arising from that person’s services as a director or officer brought on behalf of Boundless Bio or in furtherance of Boundless Bio’s rights, and certain of Boundless Bio’s directors or officers may have certain rights to advancement of expenses or insurance provided by their affiliates or other third parties, which indemnification relates to and might apply to the same proceedings arising out of such director’s or executive officer’s services to Boundless Bio. Boundless Bio believes that these provisions in the Boundless Bio Charter and the Boundless Bio Bylaws and the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bookmarkStart w:id="19" w:name="tx108148_651"/>
      <w:bookmarkStart w:id="20" w:name="tx108148_604"/>
      <w:bookmarkEnd w:id="19"/>
      <w:bookmarkEnd w:id="20"/>
      <w:r>
        <w:rPr>
          <w:rFonts w:ascii="Times New Roman" w:hAnsi="Times New Roman"/>
          <w:b/>
          <w:sz w:val="20"/>
        </w:rPr>
        <w:t xml:space="preserve">Interests of Serapha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Serapha Board of Directors with respect to approving the Nasdaq Stock Issuance Proposal, Nasdaq Reverse Split Proposal, Authorized Share Increase Proposal, Stock Plan Proposal, ESPP Proposal and Adjournment Proposal, stockholders should be aware that Serapha’s directors and executive officers have interests in the Merger that are different from, or in addition to, the interests of Serapha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Serapha Board of Directors was aware of these potential conflicts of interest and considered them, among other matters, in reaching its decision to approve the Merger Agreement and the Merger, and to recommend that Serapha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October 1, 2026, Serapha’s current non-employee directors and executive officers beneficially owned, in the aggregate, approximately 40.8% of the shares of Serapha Capital Stock, which for purposes of this subsection excludes any shares of Serapha Common Stock issuable upon exercise or settlement of Serapha Options and Serapha RSUs held by such individuals. Each of Serapha’s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RTW Investments, an affiliate of Piratip Pratumsuwan and Paul Lu, each a Serapha director, RA Capital Management, an affiliate of Laura Tadvalkar and Matthew Hammond, each a Serapha director, and Decheng Capital, an affiliate of Victor Tong, a Serapha director, also currently hold shares of Serapha Capital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table below sets forth the ownership of Serapha Capital Stock by RTW Investments, RA Capital Management and Decheng Capital as of October 1, 2026. RTW Investments, RA Capital Management and Decheng Capital have also agreed to purchase shares of Serapha Common Stock and Serapha Pre-Funded Warrants in the Serapha Pre-Closing Financing. For a more detailed discussion of these relationships, please see the section titled “</w:t>
      </w:r>
      <w:r>
        <w:rPr>
          <w:rFonts w:ascii="Times New Roman" w:hAnsi="Times New Roman"/>
          <w:i/>
          <w:sz w:val="20"/>
        </w:rPr>
        <w:t>Certain Relationships and Related Party Transactions of the Combined Company — Serapha Transactions</w:t>
      </w:r>
      <w:r>
        <w:rPr>
          <w:rFonts w:ascii="Times New Roman" w:hAnsi="Times New Roman"/>
          <w:sz w:val="20"/>
        </w:rPr>
        <w:t xml:space="preserve">” beginning on page 350 of this proxy statement/prospectus.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3920"/>
        <w:gridCol w:w="120"/>
        <w:gridCol w:w="72"/>
        <w:gridCol w:w="1328"/>
        <w:gridCol w:w="365"/>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w:t>
            </w:r>
            <w:r>
              <w:rPr/>
              <w:br/>
            </w:r>
            <w:r>
              <w:rPr>
                <w:b/>
              </w:rPr>
              <w:t>Capital Stock</w:t>
            </w:r>
            <w:r>
              <w:rPr/>
              <w:br/>
            </w:r>
            <w:r>
              <w:rPr>
                <w:b/>
              </w:rPr>
              <w:t>Held</w:t>
            </w:r>
          </w:p>
        </w:tc>
        <w:tc>
          <w:tcPr>
            <w:tcW w:w="36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RTW Holdings X, LLC</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10,767,111</w:t>
            </w:r>
          </w:p>
        </w:tc>
        <w:tc>
          <w:tcPr>
            <w:tcW w:w="365" w:type="dxa"/>
            <w:tcBorders/>
            <w:shd w:fill="CCEEFF" w:val="clear"/>
            <w:vAlign w:val="center"/>
          </w:tcPr>
          <w:p>
            <w:pPr>
              <w:pStyle w:val="TableContents"/>
              <w:bidi w:val="0"/>
              <w:spacing w:before="0" w:after="283"/>
              <w:jc w:val="left"/>
              <w:rPr/>
            </w:pPr>
            <w:r>
              <w:rPr/>
              <w:t>(1)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9,862,867</w:t>
            </w:r>
          </w:p>
        </w:tc>
        <w:tc>
          <w:tcPr>
            <w:tcW w:w="365" w:type="dxa"/>
            <w:tcBorders/>
            <w:vAlign w:val="center"/>
          </w:tcPr>
          <w:p>
            <w:pPr>
              <w:pStyle w:val="TableContents"/>
              <w:bidi w:val="0"/>
              <w:spacing w:before="0" w:after="283"/>
              <w:jc w:val="left"/>
              <w:rPr/>
            </w:pPr>
            <w:r>
              <w:rPr/>
              <w:t>(2)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3,333,555</w:t>
            </w:r>
          </w:p>
        </w:tc>
        <w:tc>
          <w:tcPr>
            <w:tcW w:w="365" w:type="dxa"/>
            <w:tcBorders/>
            <w:shd w:fill="CCEEFF" w:val="clear"/>
            <w:vAlign w:val="center"/>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8875" w:type="dxa"/>
        <w:jc w:val="left"/>
        <w:tblInd w:w="0" w:type="dxa"/>
        <w:tblLayout w:type="fixed"/>
        <w:tblCellMar>
          <w:top w:w="0" w:type="dxa"/>
          <w:left w:w="0" w:type="dxa"/>
          <w:bottom w:w="0" w:type="dxa"/>
          <w:right w:w="0" w:type="dxa"/>
        </w:tblCellMar>
      </w:tblPr>
      <w:tblGrid>
        <w:gridCol w:w="305"/>
        <w:gridCol w:w="8570"/>
      </w:tblGrid>
      <w:tr>
        <w:trPr/>
        <w:tc>
          <w:tcPr>
            <w:tcW w:w="305" w:type="dxa"/>
            <w:tcBorders/>
            <w:vAlign w:val="center"/>
          </w:tcPr>
          <w:p>
            <w:pPr>
              <w:pStyle w:val="TableContents"/>
              <w:bidi w:val="0"/>
              <w:spacing w:before="0" w:after="283"/>
              <w:jc w:val="left"/>
              <w:rPr/>
            </w:pPr>
            <w:r>
              <w:rPr/>
              <w:t>(1)</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4,100,000 shares of Serapha Common Stock and 6,667,111 shares of Serapha Preferred Stock. </w:t>
            </w:r>
          </w:p>
        </w:tc>
      </w:tr>
    </w:tbl>
    <w:tbl>
      <w:tblPr>
        <w:tblW w:w="8875" w:type="dxa"/>
        <w:jc w:val="left"/>
        <w:tblInd w:w="0" w:type="dxa"/>
        <w:tblLayout w:type="fixed"/>
        <w:tblCellMar>
          <w:top w:w="0" w:type="dxa"/>
          <w:left w:w="0" w:type="dxa"/>
          <w:bottom w:w="0" w:type="dxa"/>
          <w:right w:w="0" w:type="dxa"/>
        </w:tblCellMar>
      </w:tblPr>
      <w:tblGrid>
        <w:gridCol w:w="305"/>
        <w:gridCol w:w="8570"/>
      </w:tblGrid>
      <w:tr>
        <w:trPr/>
        <w:tc>
          <w:tcPr>
            <w:tcW w:w="305" w:type="dxa"/>
            <w:tcBorders/>
            <w:vAlign w:val="center"/>
          </w:tcPr>
          <w:p>
            <w:pPr>
              <w:pStyle w:val="TableContents"/>
              <w:bidi w:val="0"/>
              <w:spacing w:before="0" w:after="283"/>
              <w:jc w:val="left"/>
              <w:rPr/>
            </w:pPr>
            <w:r>
              <w:rPr/>
              <w:t>(2)</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1,862,334 shares of Serapha Common Stock and 8,000,533 shares of Serapha Preferred Stock. </w:t>
            </w:r>
          </w:p>
        </w:tc>
      </w:tr>
    </w:tbl>
    <w:tbl>
      <w:tblPr>
        <w:tblW w:w="4915" w:type="dxa"/>
        <w:jc w:val="left"/>
        <w:tblInd w:w="0" w:type="dxa"/>
        <w:tblLayout w:type="fixed"/>
        <w:tblCellMar>
          <w:top w:w="0" w:type="dxa"/>
          <w:left w:w="0" w:type="dxa"/>
          <w:bottom w:w="0" w:type="dxa"/>
          <w:right w:w="0" w:type="dxa"/>
        </w:tblCellMar>
      </w:tblPr>
      <w:tblGrid>
        <w:gridCol w:w="305"/>
        <w:gridCol w:w="4610"/>
      </w:tblGrid>
      <w:tr>
        <w:trPr/>
        <w:tc>
          <w:tcPr>
            <w:tcW w:w="305" w:type="dxa"/>
            <w:tcBorders/>
            <w:vAlign w:val="center"/>
          </w:tcPr>
          <w:p>
            <w:pPr>
              <w:pStyle w:val="TableContents"/>
              <w:bidi w:val="0"/>
              <w:spacing w:before="0" w:after="283"/>
              <w:jc w:val="left"/>
              <w:rPr/>
            </w:pPr>
            <w:r>
              <w:rPr/>
              <w:t>(3)</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3,333,555 shares of Serapha Preferred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Serapha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outstanding and unexercised Serapha Option will be converted into a Boundless Bio Option on the existing terms and conditions, with necessary adjustments to reflect the Exchange Ratio. Boundless Bio will assume the Serapha Equity Incentive Plan and each such outstanding Serapha Option in accordance with the terms (as in effect as of the date of the Merger Agreement) of the Serapha Equity Incentive Plan and the terms of the stock option agreement by which such Serapha Option is evidenced. In connection with the Merger, Boundless Bio will change its corporate name to “Serapha Bio, Inc.” and all Serapha Options it assumed in the Merger will be options to purchase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Serapha Options held as of October 1, 2026 by each of Serapha’s current executive officers.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1595"/>
        <w:gridCol w:w="120"/>
        <w:gridCol w:w="211"/>
        <w:gridCol w:w="919"/>
        <w:gridCol w:w="60"/>
        <w:gridCol w:w="120"/>
        <w:gridCol w:w="400"/>
        <w:gridCol w:w="745"/>
        <w:gridCol w:w="60"/>
        <w:gridCol w:w="120"/>
        <w:gridCol w:w="97"/>
        <w:gridCol w:w="1588"/>
        <w:gridCol w:w="60"/>
        <w:gridCol w:w="120"/>
        <w:gridCol w:w="352"/>
        <w:gridCol w:w="1108"/>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Vested</w:t>
            </w:r>
            <w:r>
              <w:rPr/>
              <w:br/>
            </w:r>
            <w:r>
              <w:rPr>
                <w:b/>
              </w:rPr>
              <w:t>Options</w:t>
            </w:r>
            <w:r>
              <w:rPr/>
              <w:br/>
            </w:r>
            <w:r>
              <w:rPr>
                <w:b/>
              </w:rP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br/>
              <w:t>of Vested</w:t>
              <w:b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 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Unvested</w:t>
              <w:br/>
              <w:t>Options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1,957,865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3.14</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Daphne Karydas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978,933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Serapha RSUs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Serapha RSU will be converted into an Assumed RSU on the existing terms and conditions, with necessary adjustments to reflect the Exchange Ratio. Boundless Bio will assume the Serapha Equity Incentive Plan and each such outstanding Serapha RSU in accordance with the terms (as in effect as of the date of the Merger Agreement) of the Serapha Equity Incentive Plan and the terms of the restricted stock unit agreement by which such Serapha RSU is evidenced. In connection with the Merger, Boundless Bio will change its corporate name to “Serapha Bio, Inc.” and all Serapha RSUs it assumed in the Merger will be restricted stock unit awards covering shares of Combined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Serapha RSUs held as of October 1, 2026 by each of Serapha’s current executive officers. The number of shares of common stock underlying such restricted stock unit awards will be adjusted appropriately to reflect the Exchange Ratio.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595"/>
        <w:gridCol w:w="120"/>
        <w:gridCol w:w="117"/>
        <w:gridCol w:w="1568"/>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Restricted Stock</w:t>
              <w:br/>
              <w:t>Units Held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978,933</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Daphne Karydas</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489,466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344 of this proxy statement/prospectus, certain of Serapha’s directors and executive officers are expected to become the directors and executive officers of the Combined Company upon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Executive Compensation </w:t>
      </w:r>
    </w:p>
    <w:p>
      <w:pPr>
        <w:pStyle w:val="TextBody"/>
        <w:bidi w:val="0"/>
        <w:spacing w:before="120" w:after="0"/>
        <w:jc w:val="left"/>
        <w:rPr>
          <w:rFonts w:ascii="Times New Roman" w:hAnsi="Times New Roman"/>
          <w:sz w:val="20"/>
        </w:rPr>
      </w:pPr>
      <w:r>
        <w:rPr>
          <w:rFonts w:ascii="Times New Roman" w:hAnsi="Times New Roman"/>
          <w:sz w:val="20"/>
        </w:rPr>
        <w:t>The current compensatory arrangements for the executive officers of Serapha are described in the section captioned “</w:t>
      </w:r>
      <w:r>
        <w:rPr>
          <w:rFonts w:ascii="Times New Roman" w:hAnsi="Times New Roman"/>
          <w:i/>
          <w:sz w:val="20"/>
        </w:rPr>
        <w:t>Serapha Executive Compensation</w:t>
      </w:r>
      <w:r>
        <w:rPr>
          <w:rFonts w:ascii="Times New Roman" w:hAnsi="Times New Roman"/>
          <w:sz w:val="20"/>
        </w:rPr>
        <w:t xml:space="preserve">” beginning on page 227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Serapha Charter and the Serapha Bylaws, Serapha has entered into indemnification agreements with each of its directors and officers. These agreements provide for the indemnification of Serapha’s directors and executive officers for reasonable expenses and liabilities incurred in connection with any action or proceeding brought against them by reason of the fact that they are or were agents of Serapha. Serapha believes that the Serapha Charter provisions, Serapha Bylaws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For a discussion of the indemnification and insurance provisions related to the Serapha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206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Effective Time, Merger Sub will merge with and into Serapha, with Serapha continuing as a wholly owned subsidiary of Boundless Bio and the surviving corporation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Serapha Capital Stock (including any shares of Serapha Capital Stock issued in the Serapha Pre-Closing Financing), excluding any shares of Serapha Capital Stock to be cancelled pursuant to the Merger Agreement, will be converted into the right to receive a number of shares of Boundless Bio Common Stock equal to the Exchange Ratio, (ii) each then-outstanding Serapha Option will be converted into and become an Assumed Option, subject to adjustment in accordance with the Merger Agreement, (iii) each then-outstanding Serapha RSU will be converted into and become an Assumed RSU, subject to adjustment in accordance with the Merger Agreement, and (iv) each then-outstanding and unexercised Serapha Warrant (including any Serapha Pre-Funded Warrants) will be converted into an Assumed Warrant, in each case subject to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Serapha Capital Stock may designate in writing to Boundless Bio and Serapha, at least 10 business days prior to the Closing, a Beneficial Ownership Limitation of between 0% and 19.99% of the shares of Boundless Bio Common Stock outstanding immediately after giving effect to the issuance of the Merger Consideration. A holder that does not make such a designation will be subject to a Beneficial Ownership Limitation of 9.99%. If the aggregate number of shares of Boundless Bio Common Stock that would otherwise be issued to a holder at the Effective Time, when aggregated with all securities then beneficially owned by such holder and its affiliates (calculated in accordance with Section 13(d) of the Exchange Act and Rule 13d-3 thereunder),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Effective Time, a holder may reset its Beneficial Ownership Limitation to a higher or lower percentage, not to exceed 19.99%, upon written notice to the surviving corporation, except that any increase will not take effect until the 61st day after such notice is delivered. Once a holder changes its Beneficial Ownership Limitation, it may not further change it without again providing the notice required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Boundless Bio Common Stock will be issued in connection with the Merger, and no certificates or scrip for any such fractional shares will be issued. Any fractional shares of Boundless Bio Common Stock resulting from the conversion of shares of Serapha Capital Stock (including any shares of Serapha Capital Stock issued in the Serapha Pre-Closing Financing) shall be issued as follows: (i) one share of Boundless Bio Common Stock if the aggregate amount of fractional shares of Boundless Bio Common Stock such holder of Serapha Capital Stock would otherwise be entitled to is equal to or exceeds 0.50; or (ii) no shares of Boundless Bio Common Stock if the aggregate amount of fractional shares of Boundless Bio Common Stock such holder of Serapha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Serapha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Boundless Bio and Serapha will jointly select an exchange agent and, at the Effective Time, Boundless Bio will deposit with the exchange agent evidence of book-entry shares representing the shares of Boundless Bio Capital Stock issuable pursuant to the terms of the Merger Agreement in exchange for shares of Serapha Capital Stock (including shares of Serapha Capital Stock issued in the Serapha Pre-Closing Financing or the Series A Financing) (excluding any shares to be cancelled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Boundless Bio and Serapha will cause the exchange agent to mail to each record holder of Serapha Capital Stock (including shares of Serapha Capital Stock issued in the Serapha Pre-Closing Financing or the Series A Financing (excluding any shares to be cancelled pursuant to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whole shares of Boundless Bio Capital Stock issuable to such holder pursuant to the Merger Agreement and any dividends or other distributions payable pursuant to the Merger Agreement. The surrendered certificates representing shares of Serapha Capital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or book-entry share representing Serapha Capital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SERAPHA CAPITAL STOCK SHOULD NOT SEND IN THEIR SERAPHA STOCK CERTIFICATES UNTIL THEY RECEIVE A LETTER OF TRANSMITTAL FROM THE EXCHANGE AGENT WITH INSTRUCTIONS FOR THE SURRENDER OF SERAPHA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Serapha stockholders and the approval by Boundless Bio stockholders of Boundless Bio Stockholder Matters, other than those conditions that by their nature are to be satisfied at the Closing. The Merger will become effective upon the filing of a Certificate of Merger with the Secretary of State of the State of Delaware or at such later time as is agreed by Boundless Bio and Serapha and specified in the Certificate of Merger. Neither Boundless Bio nor Serapha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Boundless Bio must comply with applicable federal and state securities laws and the rules and regulations of Nasdaq in connection with the issuance of shares of Boundless Bio Common Stock to Serapha’s stockholders in connection with the Contemplated Transactions and the filing of this proxy statement/prospectus with the SEC.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rPr>
      </w:pPr>
      <w:bookmarkStart w:id="21" w:name="tx108148_706"/>
      <w:bookmarkEnd w:id="21"/>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Merger that are generally applicable to U.S. Holders (as defined below) of Serapha Capital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Serapha nor Boundless Bio has sought or will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Serapha Capital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Serapha Capital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Serapha Capital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Serapha Capital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Serapha Capital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Serapha Capital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Serapha Capital Stock, the tax treatment of a partner in the partnership will depend on the status of the partner, the activities of the partnership, and certain determinations made at the partner level. Accordingly, a partnership holding Serapha Capital Stock and each partner in such partnership are urged to consult their tax advisors regarding the U.S. federal income tax considerations to them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Serapha Capital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assumptions, qualifications and limitations described herein, the Merger is intended to qualify as (1) a “reorganization” within the meaning of Section 368(a) of the Code and/or (2) an exchange of shares of Serapha Capital Stock for Boundless Bio Common Stock under Section 351(a) of the Code. Assuming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so qualifies, a U.S. Holder will not recognize gain or loss upon the exchange of its Serapha Capital Stock for Boundless Bio Common Stock. A U.S. Holder will have the same aggregate basis in its Boundless Bio Common Stock after the Merger as such U.S. Holder had in the corresponding Serapha Capital Stock immediately prior to the Merger. A U.S. Holder’s holding period in the Boundless Bio Common Stock immediately following the Merger will include such U.S. Holder’s holding period in the corresponding Serapha Capital Stock immediately prior to the Merger. If a U.S. Holder holds different blocks of Serapha Capital Stock (generally, Serapha Capital Stock acquired on different dates or at different prices), such U.S. Holder is urged to consult its tax advisor with respect to the determination of the tax bases and/or holding periods of the shares of Boundless Bio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income tax considerations of the Merger in light of its personal circumstances and the considerations to such U.S. Holder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who receives Boundless Bio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Under Treasury Regulations Section 1.368-3(b), each U.S. Holder who owned immediately before the Merger at least one percent (by vote or value) of the total outstanding Serapha Capital Stock or who owned Serapha Capital Stock with a basis of $1,000,000 or more is required to attach a statement to its tax return for the year in which the Merger is consummated that contains the information listed in Treasury Regulations Section 1.368-3(b). Similarly, under Treasury Regulations Section 1.351-3(a), each U.S. Holder who owned immediately after the Merger at least five percent (by vote or value) of the total outstanding Boundless Bio Common Stock is required to attach a statement to its tax return for the year in which the Merger is consummated that contains the information listed in Treasury Regulation Sections 1.351-3(a). Such statements must include the U.S. Holder’s tax basis in such U.S. Holder’s Serapha Capital Stock surrendered in the Merger, the fair market value of such Serapha Capital Stock, the date of the Merger, and the name and employer identification number of each of Serapha and Boundless Bio. Each U.S. Holder is urged to consult with its tax advisor to comply with these rules. </w:t>
      </w:r>
    </w:p>
    <w:p>
      <w:pPr>
        <w:pStyle w:val="TextBody"/>
        <w:bidi w:val="0"/>
        <w:spacing w:before="360" w:after="0"/>
        <w:jc w:val="left"/>
        <w:rPr>
          <w:rFonts w:ascii="Times New Roman" w:hAnsi="Times New Roman"/>
          <w:b/>
          <w:sz w:val="20"/>
        </w:rPr>
      </w:pPr>
      <w:bookmarkStart w:id="22" w:name="tx108148_720"/>
      <w:bookmarkEnd w:id="22"/>
      <w:r>
        <w:rPr>
          <w:rFonts w:ascii="Times New Roman" w:hAnsi="Times New Roman"/>
          <w:b/>
          <w:sz w:val="20"/>
        </w:rPr>
        <w:t xml:space="preserve">Material U.S. Federal Income Tax Considerations of the 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receipt of the Boundless Bio Pre-Closing Dividend that are generally applicable to U.S. Holders (as defined below) of Boundless Bio Common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Boundless Bio has not sought and will not seek any rulings from the IRS regarding the matters discussed below. There can be no assurance the IRS or a court will not take a contrary position to that discussed below regarding the tax considerations of the receipt of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Boundless Bio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Boundless Bio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Boundless Bio Common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Boundless Bio Common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Boundless Bio Common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Boundless Bio Common Stock, the tax treatment of a partner in the partnership will depend on the status of the partner, the activities of the partnership, and certain determinations made at the partner level. Accordingly, a partnership holding Boundless Bio Common Stock and each partner in such partnership are urged to consult their tax advisors regarding the U.S. federal income tax considerations to them of the receipt of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Boundless Bio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Boundless Bio Pre-Closing Dividend arising under U.S. federal estate or gift tax laws, the laws of any state, local or non-U.S. taxing jurisdiction or any applicable income tax treaty.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distribution of the Boundless Bio Pre-Closing Dividend generally will be included in a U.S. Holder’s income as ordinary dividend income to the extent of Boundless Bio’s current or accumulated earnings and profits. Distributions in excess of Boundless Bio’s current and accumulated earnings and profits will be treated as a tax-free return of capital to the extent of a U.S. Holder’s tax basis in Boundless Bio Common Stock and thereafter as capital gain from the sale or exchange of such common stock. Dividends received by a corporate U.S. Holder may be eligible for a dividends-received deduction, subject to applicable limitations. Dividends received by certain individuals and other non-corporate U.S. Holders generally are subject to a reduced rate of U.S. federal income tax, provided certain holding period and other requirements are satisfied. Each U.S. Holder is urged to consult its tax advisor with respect to the U.S. federal income tax considerations to it of the receipt of the Boundless Bio Pre-Closing Dividend. </w:t>
      </w:r>
    </w:p>
    <w:p>
      <w:pPr>
        <w:pStyle w:val="TextBody"/>
        <w:bidi w:val="0"/>
        <w:spacing w:before="360" w:after="0"/>
        <w:jc w:val="left"/>
        <w:rPr>
          <w:rFonts w:ascii="Times New Roman" w:hAnsi="Times New Roman"/>
          <w:b/>
          <w:sz w:val="20"/>
        </w:rPr>
      </w:pPr>
      <w:bookmarkStart w:id="23" w:name="tx108148_230"/>
      <w:bookmarkEnd w:id="23"/>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Boundless Bio Common Stock are currently listed on Nasdaq under the symbol “BOLD.” Boundless Bio has agreed to use commercially reasonable efforts to (a) maintain its listing on Nasdaq until the Effective Time and to obtain approval of the listing of the Combined Company on Nasdaq; (b) to the extent required by the rules and regulations of Nasdaq, prepare and submit to Nasdaq a notification form for the listing of the shares of Boundless Bio Common Stock to be issued in connection with the Merger and transactions contemplated thereunder, and to cause such shares to be approved for listing (subject to official notice of issuance); (c) prepare and timely submit to Nasdaq a notification form for the Nasdaq Reverse Split (if required) and to submit a copy of the amendment to the Boundless Bio Charter effecting the Nasdaq Reverse Split, certified by the Secretary of State of the State of Delaware, to Nasdaq on the Closing Date; and (d) to the extent required by Nasdaq Marketplace Rule 5110, assist Serapha in preparing and filing an initial listing application for the Boundless Bio Common Stock issued to Serapha stockholders (the “Nasdaq Listing Application”) and to cause such Nasdaq Listing Application to be conditionally approved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Boundless Bio’s and Serapha’s obligation to complete the Merger is subject to the satisfaction or waiver by each of the parties, at or prior to the Closing, of various conditions, including that the Nasdaq Listing Application shall have been approved.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approved, Boundless Bio anticipates that the Combined Company common stock will be listed on Nasdaq following the Closing under the trading symbol “AATD.” In order for the Nasdaq Listing Application to be accepted, among other requirements, the Combined Company must maintain a bid price of $4.00 or higher for a certain period of time following the Nasdaq Reverse Split. </w:t>
      </w:r>
    </w:p>
    <w:p>
      <w:pPr>
        <w:pStyle w:val="TextBody"/>
        <w:bidi w:val="0"/>
        <w:spacing w:before="360" w:after="0"/>
        <w:jc w:val="left"/>
        <w:rPr>
          <w:rFonts w:ascii="Times New Roman" w:hAnsi="Times New Roman"/>
          <w:b/>
          <w:sz w:val="20"/>
        </w:rPr>
      </w:pPr>
      <w:bookmarkStart w:id="24" w:name="tx108148_231"/>
      <w:bookmarkEnd w:id="24"/>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Boundless Bio as a reverse merger and will be accounted for as an in-substance reverse recapitalization of Boundless Bio by Serapha in accordance with U.S. GAAP as, at close, the transaction is, in essence, the issuance of equity by Serapha for Boundless Bio’s net assets, consisting of nominal assets and liabilities before the Merger. For accounting purposes, Serapha is considered to be acquiring the assets and liabilities of Boundless Bio in this transaction based on the terms of the Merger Agreement and other factors, including: (i) Serapha’s equity holders will own a substantial majority of the voting rights in the Combined Company; (ii) Serapha’s largest stockholder will retain the largest interest in the Combined Company; (iii) Serapha will designate all of the initial members of the board of directors of the Combined Company; and (iv) certain members of Serapha’s executive management team will become the management of the Combined Company. The Combined Company will be named Serapha Bio, Inc. In addition, Serapha concluded that any in-process research and development assets of Boundless Bio at the closing of the Merger would be de-minimis. Accordingly, upon the closing of the Merger, Boundless Bio is expected to have no or nominal operations for accounting purposes and the Merger is expected to be treated as the equivalent of Serapha issuing stock to acquire the net assets of Boundless Bio. As a result of the Merger, the net assets of Boundless Bio will be stated at fair value, which approximates carrying value, with no goodwill or other intangible assets recorded,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historical results of operations prior to the Merger will be those of Serapha.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bookmarkStart w:id="25" w:name="tx108148_635"/>
      <w:bookmarkEnd w:id="25"/>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Boundless Bio stockholders are not entitled to appraisal rights in connection with the Merger. Serapha stockholders are entitled to appraisal rights in connection with the Merger under Section 262 of the DGCL. However, in order to perfect appraisal rights under Section 262 of the DGCL, a stockholder must not have consented to the Merger in writing, and so, accordingly, Serapha stockholders who execute and deliver the Serapha Stockholder Written Consents adopting and approving the Merger Agreement and the Contemplated Transactions will be deemed to have waived, and will not be entitled to exercise, appraisal rights under Section 262 with respect to their shares.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Serapha’s stockholders’ appraisal rights under Delaware law and is qualified in its entirety by reference to the text of the relevant provisions of Delaware law, which are attached as </w:t>
      </w:r>
      <w:r>
        <w:rPr>
          <w:rFonts w:ascii="Times New Roman" w:hAnsi="Times New Roman"/>
          <w:i/>
          <w:sz w:val="20"/>
        </w:rPr>
        <w:t>Annex F</w:t>
      </w:r>
      <w:r>
        <w:rPr>
          <w:rFonts w:ascii="Times New Roman" w:hAnsi="Times New Roman"/>
          <w:sz w:val="20"/>
        </w:rPr>
        <w:t xml:space="preserve"> in this proxy statement/prospectus. Stockholders intending to exercise appraisal rights should carefully review </w:t>
      </w:r>
      <w:r>
        <w:rPr>
          <w:rFonts w:ascii="Times New Roman" w:hAnsi="Times New Roman"/>
          <w:i/>
          <w:sz w:val="20"/>
        </w:rPr>
        <w:t>Annex F</w:t>
      </w:r>
      <w:r>
        <w:rPr>
          <w:rFonts w:ascii="Times New Roman" w:hAnsi="Times New Roman"/>
          <w:sz w:val="20"/>
        </w:rPr>
        <w:t xml:space="preserve">. Failure to follow precisely any of the statutory procedures set forth in </w:t>
      </w:r>
      <w:r>
        <w:rPr>
          <w:rFonts w:ascii="Times New Roman" w:hAnsi="Times New Roman"/>
          <w:i/>
          <w:sz w:val="20"/>
        </w:rPr>
        <w:t>Annex F</w:t>
      </w:r>
      <w:r>
        <w:rPr>
          <w:rFonts w:ascii="Times New Roman" w:hAnsi="Times New Roman"/>
          <w:sz w:val="20"/>
        </w:rPr>
        <w:t xml:space="preserve"> may result in a termination or waiver of these rights. This summary does not constitute legal or other advice, nor does it constitute a recommendation that Serapha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Serapha will notify its stockholders that the Merger has been approved, the effective date of the Merger and that appraisal rights are available to any stockholder who has not approved the Merger. Holders of shares of Serapha Capital Stock who desire to exercise their appraisal rights must deliver a written demand for appraisal to Serapha within 20 days after the date of mailing of that notice, and that stockholder must not have delivered a written consent approving the Merger. A demand for appraisal must reasonably inform Serapha of the identity of the stockholder and that such stockholder intends thereby to demand appraisal of the shares of Serapha Capital Stock held by such stockholder. Failure to deliver a written consent approving the Merger will not in and of itself constitute a written demand for appraisal satisfying the requirements of Section 262. All demands for appraisal should be addressed to c/o Serapha Bio, Inc., 40 10th Avenue, Floor 7, New York, NY 10014, and should be executed by, or on behalf of, the record holder of shares of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SERAPHA WITHIN 20 DAYS AFTER THE DATE SERAPHA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Serapha Capital Stock as provided for in the Merger Agreement, but you will have no appraisal rights with respect to your shares of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Serapha Capital Stock must be made by, or in the name of, the registered stockholder, fully and correctly, as the stockholder’s name appears on the stockholder’s stock certificate(s). Beneficial owners who do not also hold the shares of record may not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make appraisal demands to Serapha.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Serapha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Serapha. If, following a demand for appraisal, you have withdrawn your demand for appraisal in accordance with Section 262, you will have the right to receive the Merger consideration for your shares of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Serapha,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Serapha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08148_11"/>
      <w:bookmarkEnd w:id="26"/>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Boundless Bio, Serapha,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Boundless Bio and Merger Sub, on the one hand, and Serapha,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Boundless Bio and Serapha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Boundless Bio or Serapha, because they were made as of specific dates, may be intended merely as a risk allocation mechanism between Boundless Bio, Merger Sub and Serapha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Closing, Merger Sub, a wholly owned subsidiary of Boundless Bio, will merge with and into Serapha, with Serapha surviving the Merger as a wholly owned subsidiary of Boundless Bio.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Serapha stockholders and the approval by Boundless Bio stockholders of the Boundless Bio Stockholder Matters, other than those conditions that by their nature are to be satisfied at the Closing. The Merger will become effective upon the filing of the Certificate of Merger with the Secretary of State of the State of Delaware or at such later time as specified in the Certificate of Merger with the consent of Boundless Bio and Serapha. Neither Boundless Bio nor Serapha can predict the exact timing of the consummation of the Merger. </w:t>
      </w:r>
    </w:p>
    <w:p>
      <w:pPr>
        <w:pStyle w:val="TextBody"/>
        <w:bidi w:val="0"/>
        <w:spacing w:before="360" w:after="0"/>
        <w:jc w:val="left"/>
        <w:rPr>
          <w:rFonts w:ascii="Times New Roman" w:hAnsi="Times New Roman"/>
          <w:b/>
          <w:sz w:val="20"/>
        </w:rPr>
      </w:pPr>
      <w:bookmarkStart w:id="27" w:name="tx108148_607"/>
      <w:bookmarkEnd w:id="27"/>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share of Serapha Capital Stock (including shares of Serapha Common Stock issued in the Serapha Pre-Closing Financing or the Series A Financing) outstanding immediately prior to the Effective Time (excluding any shares to be cancelled pursuant to the Merger Agreement), will be converted into the right to receive a number of shares of Boundless Bio Common Stock equal to the Exchange Ratio. No fractional shares of Boundless Bio Common Stock will be issued in connection with the Merger, and no certificates or scrip for any such fractional shares will be issued. Any fractional shares of Boundless Bio Common Stock resulting from the conversion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Capital Stock (including shares of Serapha Common Stock issued in the Serapha Pre-Closing Financing or the Series A Financing) shall be issued as follows: (i) one share of Boundless Bio Common Stock if the aggregate amount of fractional shares of Boundless Bio Common Stock such holder of Serapha Capital Stock would otherwise be entitled to is equal to or exceeds 0.50; or (ii) no shares of Boundless Bio Common Stock if the aggregate amount of fractional shares of Boundless Bio Common Stock such holder of Serapha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bookmarkStart w:id="28" w:name="tx108148_701"/>
      <w:bookmarkEnd w:id="28"/>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Boundless Bio and Serapha securityholders a percentage of the Combined Company. Based on Boundless Bio’s and Serapha’s capitalization as of October 1, 2026, the Exchange Ratio was estimated to be equal to approximately 8.6737 shares of Boundless Bio Common Stock for each share of Serapha Capital Stock. This estimate is subject to adjustment prior to the closing of the Merger for Boundless Bio Net Cash as of the Cash Determination Time (and as a result, Boundless Bio securityholders could own less, and Serapha securityholders (including, for this purpose, investors in the Serapha Pre-Closing Financing) could own more, or vice versa, of the Combined Company). Boundless Bio management currently anticipates that Boundless Bio Net Cash as of Closing will be approximately $0, after giving effect to the Boundless Bio Pre-Closing Dividend, which is expected to be approximately $44 million to $48 million.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Serapha Pre-Closing Financing, and certain other assumptions, immediately following the completion of the Merger, Boundless Bio securityholders would own approximately 3.8% of the capital stock of the Combined Company post-Merger on a fully-diluted basis, and Serapha securityholders, including shares of Serapha Common Stock and Serapha Pre-Funded Warrants purchased in the Serapha Pre-Closing Financing, would own approximately 96.2% of the capital stock of the Combined Company post-Merger on a fully-diluted basis. Under certain circumstances further described in the Merger Agreement, the ownership percentages may be adjusted up or down including, but not limited to, if Boundless Bio Net Cash as of Closing is lower than $0. Boundless Bio management currently anticipates Boundless Bio Net Cash as of Closing will be approximately $0, after giving effect to the Boundless Bio Pre-Closing Dividend, which is expected to be approximately $44 million to $48 million, and the currently estimated ownership percentages reflect this projection. Certain material payments to the executives of Boundless Bio are factored into the calculation of Boundless Bio Net Cash as deductions, including any bonus, retention payments, severance, change-in-control payments or similar payment obligations (including payments with “single-trigger” provisions triggered at and as of the consummation of the Contemplated Transactions) that are due or payable to any director, officer, employee or consultant as a result of the consummation of the Contemplated Transactions or any Boundless Bio Legacy Transaction, together with any payroll taxes associated therewith. There can be no assurance that any of these assumptions will be accurate at Closing when the final Exchange Ratio is determined. For more information on the Serapha Pre-Closing Financing,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Serapha Capital Stock used to calculate the Exchange Ratio, and therefore the relative ownership of the Combined Company, includes shares of Serapha Series A-1 Preferred Stock issuable upon exercise of the YolTech Warrant. The YolTech Warrant was issued to YolTech on June 12, 2026 in connection with the YolTech License Agreement and entitles YolTech to acquire a number of shares of Serapha Series A-1 Preferred Stock representing approximately 19.9% of Serapha’s fully-diluted capitalization measured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For purposes of determining the Serapha Outstanding Shares, and therefore the Exchange Ratio, the Serapha Series A-1 Preferred Stock issuable upon exercise of the YolTech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is included up to the Serapha Series A-1 Preferred Stock Initial Amount (up to 11,688,455 shares) but excludes a number of such shares equal to the Serapha Series A-1 Preferred Stock Remeasurement Maximum Amount (up to 5,888,538 shares). Like other shares of Serapha Capital Stock, the shares of Serapha Series A-1 Preferred Stock underlying the YolTech Warrant will be converted into shares of Boundless Bio Common Stock in the Merger in accordance with the Exchange Ratio, which will further dilute the ownership interests of Boundless Bio securityholders and other Serapha securityholders in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number of Serapha Merger Shares by the Serapha Outstanding Shares, in which: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Serapha Valuation and (ii) the Boundless Bio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Allocation Percentage” means the quotient (expressed as a percentage and rounded to four decimal places) determined by dividing (i) the Boundless Bio Valuation by (ii) the Aggregate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Outstanding Shares” means, without duplication, (including, without limitation, the effects of the Nasdaq Reverse Split, if completed) the total number of shares of Boundless Bio Capital Stock outstanding immediately prior to the Effective Time expressed on a fully-diluted basis and as converted to Boundless Bio Common Stock basis and assuming, without limitation or duplication, the issuance of shares of Boundless Bio Common Stock in respect of all Boundless Bio Continuing Option, warrants or other rights or commitments to receive shares of Boundless Bio Common Stock or Boundless Bio Preferred Stock (or securities convertible or exercisable into shares of Boundless Bio Common Stock or Boundless Bio Preferred Stock, but excluding any Boundless Bio Capital Stock issuable in accordance with the Merger Agreement), whether conditional or unconditional, that are outstanding as of immediately prior to the Effective Time. Notwithstanding any of the foregoing, no Boundless Bio Cancelled Option will be included in the total number of shares of Boundless Bio Common Stock outstanding for purposes of determining the Boundless Bio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Valuation” means (i) $12,500,000, </w:t>
            </w:r>
            <w:r>
              <w:rPr>
                <w:rFonts w:ascii="Times New Roman" w:hAnsi="Times New Roman"/>
                <w:i/>
                <w:sz w:val="20"/>
              </w:rPr>
              <w:t>minus</w:t>
            </w:r>
            <w:r>
              <w:rPr>
                <w:rFonts w:ascii="Times New Roman" w:hAnsi="Times New Roman"/>
                <w:sz w:val="20"/>
              </w:rPr>
              <w:t xml:space="preserve"> (ii) the Boundless Bio Net Cash Deficiency (if any), </w:t>
            </w:r>
            <w:r>
              <w:rPr>
                <w:rFonts w:ascii="Times New Roman" w:hAnsi="Times New Roman"/>
                <w:i/>
                <w:sz w:val="20"/>
              </w:rPr>
              <w:t>plus</w:t>
            </w:r>
            <w:r>
              <w:rPr>
                <w:rFonts w:ascii="Times New Roman" w:hAnsi="Times New Roman"/>
                <w:sz w:val="20"/>
              </w:rPr>
              <w:t xml:space="preserve"> (iii) the Boundless Bio Net Cash Surplus (if any); provided, that in no event will the Boundless Bio Valuation exceed $15,000,000. For the avoidance of doubt, the Serapha Pre-Closing Financing Proceeds will not be included in the calculation or determination of the Boundless Bio Valuation or any component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Net Cash Deficiency” means, if Boundless Bio Net Cash is less than $0, then the amount, if any, that $0 exceeds the Boundless Bio Net Cash, calculated as of the Cash Determination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Boundless Bio Net Cash Surplus” means, if Boundless Bio Net Cash is greater than $0, then the amount, if any, that the Boundless Bio Net Cash exceeds $0, calculated as of the Cash Determination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Boundless Bio Shares” means the quotient determined by dividing (i) the Boundless Bio Outstanding Shares by (ii) the Boundless Bio Allocation Percentage. The estimated Exchange Ratio for purposes of the unaudited pro forma condensed combined financial information was derived on a fully-diluted basis as of      , 2026 using a stipulated value of Serapha of approximately $    million (excluding the Serapha Pre-Closing Financing) and of Boundless Bio of approximately $    million. For more information, see “Unaudited Pro Forma Condensed Combined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Allocation Percentage” means the quotient (expressed as a percentage and rounded to four decimal places) determined by dividing (i) the Serapha Valuation by (ii) the Aggregate Valuation.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pPr>
            <w:r>
              <w:rPr/>
              <w:t>“</w:t>
            </w:r>
            <w:r>
              <w:rPr>
                <w:rFonts w:ascii="Times New Roman" w:hAnsi="Times New Roman"/>
                <w:sz w:val="20"/>
              </w:rPr>
              <w:t xml:space="preserve">Serapha Equity Value” means $73,700,000.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Merger Shares” means the product determined by multiplying (i) the Post-Closing Boundless Bio Shares by (ii) the Serapha Allocation Percentage.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Outstanding Shares” means, without duplication, the total number of shares of Serapha Capital Stock outstanding immediately prior to the Effective Time (including any shares of Serapha Common Stock or Serapha Preferred Stock that are issued in, or issuable upon the exercise or conversion of securities issued in, the Serapha Pre-Closing Financing, Serapha Series A-1 Preferred Stock equal to the Serapha Series A-1 Preferred Stock Initial Amount or any additional Serapha Series A-1 Preferred Stock in excess of the Serapha Series A-1 Preferred Stock Remeasurement Maximum Amount), expressed on a fully diluted and as converted to Serapha Common Stock basis assuming, without limitation or duplication, the exercise and/or settlement (as applicable) of all Serapha Options, Serapha RSUs, Serapha Warrants or other rights or commitments to receive shares of Serapha Common Stock or Serapha Preferred Stock (or securities convertible or exercisable into shares of Serapha Common Stock or Serapha Preferred Stock), whether conditional or unconditional or vested or unvested, that are outstanding as of immediately prior to the Effective Time, provided that “Serapha Outstanding Shares” shall exclude a number of Serapha Series A-1 Preferred Stock issued or issuable upon the exercise of the YolTech Warrant equal to the Serapha Series A-1 Preferred Stock Remeasurement Maximum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Pre-Closing Financing Proceeds” means the aggregate gross cash proceeds actually received by Serapha from the Serapha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Series A-1 Preferred Stock Initial Amount” means a number of shares of Serapha Series A-1 Preferred Stock underlying the YolTech Warrant equal to up to 11,688,455 shares, representing the Share Number (as defined in the YolTech Warrant) determined pursuant to the terms of the YolTech Warrant in connection with the consummation of the Series A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Serapha Series A-1 Preferred Stock Remeasurement Maximum Amount” means a number of shares of Serapha Series A-1 Preferred Stock underlying the YolTech Warrant equal to up to 5,888,538 shares, representing the number of shares added to the Serapha Series A-1 Preferred Stock Initial Amount pursuant to the adjustment mechanics set forth in the YolTech Warrant in connection with the consummation of subsequent Remeasurement Events prior to the expiration of the Anti-Dilution Period (each as defined in the YolTech Warrant).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left"/>
              <w:rPr/>
            </w:pPr>
            <w:r>
              <w:rPr/>
              <w:t>“</w:t>
            </w:r>
            <w:r>
              <w:rPr>
                <w:rFonts w:ascii="Times New Roman" w:hAnsi="Times New Roman"/>
                <w:sz w:val="20"/>
              </w:rPr>
              <w:t xml:space="preserve">Serapha Valuation” means the sum of the Serapha Equity Value plus the Serapha Pre-Closing Financing Proceeds.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Boundless Bio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“Boundless Bio Net Cash” means, as of 11:59 p.m. on the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Boundless Bio’s SEC filings and Boundless Bio’s balance sheet, including any proceeds actually received from a Boundless Bio Legacy Transaction;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prepaid expenses, accounts, interests, other receivables and deposits (excluding any tax refunds) as set forth in Boundless Bio’s disclosure letter;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minus </w:t>
      </w:r>
      <w:r>
        <w:rPr>
          <w:rFonts w:ascii="Times New Roman" w:hAnsi="Times New Roman"/>
          <w:sz w:val="20"/>
        </w:rPr>
        <w:t xml:space="preserve">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(iii)</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unpaid consolidated short term and long term contractual obligations and liabilities accrued by Boundless Bio as of the Closing Date, in each case determined in accordance with GAAP and, to the extent in accordance with GAAP, in a manner consistent with the manner in which such items were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historically determined and in accordance with the financial statements (including any related notes) contained or incorporated by reference in Boundless Bio’s SEC filings and Boundless Bio’s balance sheet;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3"/>
        <w:gridCol w:w="9827"/>
      </w:tblGrid>
      <w:tr>
        <w:trPr/>
        <w:tc>
          <w:tcPr>
            <w:tcW w:w="75"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(without duplication) of all fees and expenses incurred by Boundless Bio prior to the Effective Time in connection with the negotiation, execution and delivery of the Merger Agreement and the Contemplated Transactions or any Boundless Bio Legacy Transaction,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fees and expenses of legal counsel, accountants, financial advisors, investment bankers, brokers, consultants, tax advisors, and other professional advisors of Boundless Bio in connection with the Contemplated Transactions or any Boundless Bio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paid to the SEC in connection with filing this registration statement and any amendments and supplements thereto,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and expenses in connection with the printing, mailing and distribution of this proxy statement and any amendments and supplements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bonus, retention payments, severance, change in control payments or similar payment obligations (including payments with “single trigger” provisions triggered at and as of the consummation of the Contemplated Transactions) that are due or payable to any director, officer, employee or consultant as a result of the consummation of the Contemplated Transactions or any Boundless Bio Legacy Transaction, together with any payroll taxes associated therewith;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obtaining the D&amp;O tail policy pursuant to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(to the extent declared and unpaid) and all costs and expenses associated therewith;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290"/>
        <w:gridCol w:w="92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remaining rent payments and fees and expenses associated with terminating Boundless Bio’s real estate leases;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(vi)</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accrued and unpaid taxes of Boundless Bio and its subsidiaries for tax periods (or portions thereof) ending on or before the Closing Date,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4"/>
        <w:gridCol w:w="9776"/>
      </w:tblGrid>
      <w:tr>
        <w:trPr/>
        <w:tc>
          <w:tcPr>
            <w:tcW w:w="7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(vii)</w:t>
            </w:r>
          </w:p>
        </w:tc>
        <w:tc>
          <w:tcPr>
            <w:tcW w:w="9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relating to the winding down of Boundless Bio’s legacy business, including the sale, license or other disposition of any or all of Boundless Bio’s legacy business to the extent unpaid as of the Closing (including, without limitation, the out of pocket expense to be incurred by Boundless Bio as a result of the continued maintenance of employee plans, if any),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4"/>
        <w:gridCol w:w="9686"/>
      </w:tblGrid>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(viii)</w:t>
            </w:r>
          </w:p>
        </w:tc>
        <w:tc>
          <w:tcPr>
            <w:tcW w:w="96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Pre-Closing Dividend amount, to the extent not declared and paid prior to delivery of the Boundless Bio net cash schedule and without double-counting; </w:t>
            </w:r>
          </w:p>
        </w:tc>
      </w:tr>
    </w:tbl>
    <w:p>
      <w:pPr>
        <w:pStyle w:val="TextBody"/>
        <w:bidi w:val="0"/>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(ix)</w:t>
            </w:r>
          </w:p>
        </w:tc>
        <w:tc>
          <w:tcPr>
            <w:tcW w:w="9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$500,000 for each month, or portion thereof, after November 22, 2026 by which Closing is delayed primarily as a result of Serapha’s failure to provide the required Form S-4 information, which amount will begin accruing on November 23,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seven business days prior to the earlier of (i) the anticipated date for the Boundless Bio Special Meeting or (ii) the intended declaration of the Boundless Bio Pre-Closing Dividend, in each case as mutually agreed in good faith by Boundless Bio and Serapha, Boundless Bio will deliver to Serapha a net cash schedule setting forth, in reasonable detail, Boundless Bio’s good faith estimated calculation the components of the Boundless Bio Net Cash as of 11:59 p.m. on the business day prior to the anticipated closing date (referred to herein as the “Determination Time”), prepared and certified, via certificate in the form reasonably acceptable to Serapha, by Boundless Bio’s chief financial officer (or if there is no chief financial officer, the principal financial and accounting officer), as the case may be, and, if requested, the relevant work papers and back-up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or useful in preparing the net cash schedule. No later than three business days after delivery of such net cash schedule (the last day of such period referred to as the response date), Serapha will have the right to dispute any part of the net cash schedule by delivering a written notice to that effect to Boundless Bio (referred to herein as a “dispute notice”). Any dispute notice will identify, in reasonable detail and, to the extent known, the nature and amounts of any proposed revisions to the Boundless Bio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Serapha disputes the net cash schedule, the parties will attempt in good faith to resolve the disputed items and negotiate an agreed-upon determination of Boundless Bio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jointly selected by Boundless Bio and Serapha. The determination of the amount of Boundless Bio Net Cash made by such auditor will be final and binding on Boundless Bio and Serapha. </w:t>
      </w:r>
    </w:p>
    <w:p>
      <w:pPr>
        <w:pStyle w:val="TextBody"/>
        <w:bidi w:val="0"/>
        <w:spacing w:before="240" w:after="0"/>
        <w:jc w:val="left"/>
        <w:rPr>
          <w:rFonts w:ascii="Times New Roman" w:hAnsi="Times New Roman"/>
          <w:sz w:val="20"/>
        </w:rPr>
      </w:pPr>
      <w:r>
        <w:rPr>
          <w:rFonts w:ascii="Times New Roman" w:hAnsi="Times New Roman"/>
          <w:sz w:val="20"/>
        </w:rPr>
        <w:t xml:space="preserve">Boundless Bio Net Cash balance is subject to numerous factors, some of which are outside of Boundless Bio’s control. The actual amount of Boundless Bio Net Cash will depend significantly on the timing of the Closing. In addition, the Closing could be delayed if Boundless Bio and Serapha are not able to agree upon the amount of Boundless Bio Net Cash as of the Determination Time. </w:t>
      </w:r>
    </w:p>
    <w:p>
      <w:pPr>
        <w:pStyle w:val="TextBody"/>
        <w:bidi w:val="0"/>
        <w:spacing w:before="360" w:after="0"/>
        <w:jc w:val="left"/>
        <w:rPr>
          <w:rFonts w:ascii="Times New Roman" w:hAnsi="Times New Roman"/>
          <w:b/>
          <w:sz w:val="20"/>
        </w:rPr>
      </w:pPr>
      <w:bookmarkStart w:id="29" w:name="tx108148_608"/>
      <w:bookmarkEnd w:id="29"/>
      <w:r>
        <w:rPr>
          <w:rFonts w:ascii="Times New Roman" w:hAnsi="Times New Roman"/>
          <w:b/>
          <w:sz w:val="20"/>
        </w:rPr>
        <w:t xml:space="preserve">Treatment of Serapha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Boundless Bio will assume the Serapha Equity Incentive Plan and each Serapha Option that is outstanding and unexercised immediately prior to the Effective Time, whether or not vested, will be assumed and converted into an option to purchase shares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Serapha Option assumed by Boundless Bio may be exercised solely for shares of Boundless Bio Common Stock; (ii) the number of shares of Boundless Bio Common Stock subject to each outstanding Serapha Option assumed by Boundless Bio will be determined by multiplying (A) the number of shares of Serapha Common Stock that were subject to such Serapha Option assumed by Boundless Bio, as in effect immediately prior to the Effective Time, by (B) the Exchange Ratio, and rounding the resulting number down to the nearest whole number of shares of Boundless Bio Common Stock; and (iii) the per share exercise price of each Serapha Option assumed by Boundless Bio will be determined by dividing (A) the per share exercise price of such Serapha Option, as in effect immediately prior to the Effective Time, by (B) the Exchange Ratio, and rounding the resulting exercise price up to the nearest whole cent. Each Serapha Option assumed by Boundless Bio will otherwise continue in full force and effect and the term, exercisability, vesting schedule, acceleration rights and other terms and conditions of such Serapha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Serapha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sz w:val="20"/>
        </w:rPr>
      </w:pPr>
      <w:bookmarkStart w:id="30" w:name="tx108148_608a"/>
      <w:bookmarkEnd w:id="30"/>
      <w:r>
        <w:rPr>
          <w:rFonts w:ascii="Times New Roman" w:hAnsi="Times New Roman"/>
          <w:b/>
          <w:sz w:val="20"/>
        </w:rPr>
        <w:t xml:space="preserve">Treatment of Serapha RSUs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Boundless Bio will assume the Serapha Equity Incentive Plan and each Serapha RSU that is outstanding immediately prior to the Effective Time, whether or not vested, will be assumed and converted into a restricted stock unit award covering shares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Serapha RSU assumed by Boundless Bio may be settled solely for shares of Boundless Bio Common Stock; and (ii) the number of shares of Boundless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 Common Stock subject to each outstanding Serapha RSU assumed by Boundless Bio will be determined by multiplying (A) the number of shares of Serapha Common Stock that were subject to such Serapha RSU assumed by Boundless Bio, as in effect immediately prior to the Effective Time, by (B) the Exchange Ratio, and rounding the resulting number down to the nearest whole number of shares of Boundless Bio Common Stock. Each Serapha RSU assumed by Boundless Bio will otherwise continue in full force and effect and the term, vesting schedule, acceleration rights and other terms and conditions of such Serapha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Serapha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Combined Company’s compensation committee will succeed to the authority and responsibility of the Serapha Board of Directors as administrator of the Serapha Equity Incentive Plan. </w:t>
      </w:r>
    </w:p>
    <w:p>
      <w:pPr>
        <w:pStyle w:val="TextBody"/>
        <w:bidi w:val="0"/>
        <w:spacing w:before="360" w:after="0"/>
        <w:jc w:val="left"/>
        <w:rPr>
          <w:rFonts w:ascii="Times New Roman" w:hAnsi="Times New Roman"/>
          <w:b/>
          <w:sz w:val="20"/>
        </w:rPr>
      </w:pPr>
      <w:bookmarkStart w:id="31" w:name="tx108148_609"/>
      <w:bookmarkEnd w:id="31"/>
      <w:r>
        <w:rPr>
          <w:rFonts w:ascii="Times New Roman" w:hAnsi="Times New Roman"/>
          <w:b/>
          <w:sz w:val="20"/>
        </w:rPr>
        <w:t xml:space="preserve">Treatment of Serapha Warrants and Serapha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each Serapha Warrant (including any Serapha Pre-Funded Warrants issued pursuant to the Serapha Pre-Closing Financing), whether vested or unvested, that is outstanding and unexercised immediately prior to the Effective Time, will be converted into an Assumed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Assumed Warrant may be exercised solely for shares of Boundless Bio Common Stock; (ii) the number of shares of Boundless Bio Common Stock subject to each outstanding Assumed Warrant will be determined by multiplying (A) the number of shares of Serapha Common Stock subject to each Assumed Warrant immediately prior to the Effective Time (determined on an as-converted basis for any Serapha Warrant representing the right to acquire Serapha Preferred Stock), by (B) the Exchange Ratio (rounded up to the next whole share of Boundless Bio Common Stock to the extent the aggregate amount of fractional shares of Boundless Bio Common Stock such holder would otherwise be entitled to is equal to or exceeds 0.50, and otherwise rounded down); and (iii) such Assumed Warrant will have an exercise price per share (rounded up to the nearest whole cent) equal to dividing (A) the exercise price per share of Serapha Common Stock otherwise purchasable pursuant to such Assumed Warrant immediately prior to the Effective Time, by (B) the Exchange Ratio. Each Assumed Warrant will otherwise continue in full force and effect and on the same terms and conditions (including any vesting provisions and any provisions providing for accelerated vesting upon events) as were applicable under such Assumed Warrant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an Assumed Warrant in accordance with the terms of the Merger Agreement, such Assumed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Boundless Bio Common Stock subsequent to the Effective Time. In addition, the Boundless Bio Board of Directors or a committee thereof will succeed to the authority and responsibility of the Serapha Board of Directors or any committee thereof with respect to each Assumed Warrant in accordance with the terms of the Merger Agreement. </w:t>
      </w:r>
    </w:p>
    <w:p>
      <w:pPr>
        <w:pStyle w:val="TextBody"/>
        <w:bidi w:val="0"/>
        <w:spacing w:before="360" w:after="0"/>
        <w:jc w:val="left"/>
        <w:rPr>
          <w:rFonts w:ascii="Times New Roman" w:hAnsi="Times New Roman"/>
          <w:b/>
          <w:sz w:val="20"/>
        </w:rPr>
      </w:pPr>
      <w:bookmarkStart w:id="32" w:name="tx108148_609a"/>
      <w:bookmarkEnd w:id="32"/>
      <w:r>
        <w:rPr>
          <w:rFonts w:ascii="Times New Roman" w:hAnsi="Times New Roman"/>
          <w:b/>
          <w:sz w:val="20"/>
        </w:rPr>
        <w:t xml:space="preserve">Treatment of Boundless Bio Common Stock and Boundless Bio Options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Boundless Bio Common Stock described in Proposal No. 3 of this proxy statement/prospectus and the Nasdaq Reverse Split described in Proposal No. 2 of this proxy statement/prospectus, Boundless Bio Common Stock will remain unaffected by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Concurrently with the signing of the Merger Agreement, all outstanding Boundless Bio Options previously granted to Boundless Bio’s employees, executive officers, directors, and consultants under the Boundless Bio 2024 Plan and Boundless Bio 2018 Plan became fully vested and exercisable immediately. In addition, the exercise period of all outstanding Boundless Bio Options was extended to provide that such Boundless Bio Options will remain exercisable until the latest to occur of (i) March 31, 2027 (unless the Closing Date occurs prior to such date, in which case the exercise period will expire on the date that is three months following the Closing Date) or (ii) such later date provided in the applicable option agreement evidencing such Boundless Bio Options. With respect to any outstanding Boundless Bio Options that were repriced by Boundless Bio effective August 19, 2024, the premium end date of the Boundless Bio Options was accelerated to the date of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 each Boundless Bio Cancelled Option outstanding immediately prior to the Effective Time will be cancelled for no consideration, and (ii) each Boundless Bio Continuing Option at and following the Effective Time will remain outstanding and exercisable in accordance with its terms as in effect as of immediately prior to the Effective Time (taking into account any equitable adjustment made to each Continuing Option to reflect the Boundless Bio Pre-Closing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Serapha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Boundless Bio and Serapha will jointly select an exchange agent and, at the Effective Time, Boundless Bio will deposit with the exchange agent evidence of book-entry shares representing the shares of Boundless Bio Capital Stock issuable pursuant to the terms of the Merger Agreement in exchange for shares of Serapha Capital Stock (including shares of Serapha Capital Stock issued in the Serapha Pre-Closing Financing or the Series A Financing) (excluding any shares to be cancelled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Boundless Bio and Serapha will cause the exchange agent to mail to each record holder of Serapha Capital Stock (including shares of Serapha Capital Stock issued in the Serapha Pre-Closing Financing or the Series A Financing) (excluding any shares to be cancelled pursuant to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Boundless Bio Capital Stock issuable to such holder pursuant to the Merger Agreement and any dividends or other distributions payable pursuant to the Merger Agreement. The surrendered certificates representing shares of Serapha Capital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or book-entry share representing Serapha Capital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SERAPHA CAPITAL STOCK SHOULD NOT SEND IN THEIR SERAPHA STOCK CERTIFICATES UNTIL THEY RECEIVE A LETTER OF TRANSMITTAL FROM THE EXCHANGE AGENT WITH INSTRUCTIONS FOR THE SURRENDER OF SERAPHA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Boundless Bio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Boundless Bio who are not to continue as officers or directors of Boundless Bio will resign effective as of the Closing and the Boundless Bio Board of Directors will thereafter consist of a total of    new directors. Serapha has designated    to serve as members of the Boundless Bio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Closing, Kenneth Mills will serve as Chief Executive Officer and Daphne Karydas will serve as President and Chief Financial Officer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Boundless Bio Charter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agreed to amend the Boundless Bio Charter to (i) change the name of Boundless Bio to a name designated by Serapha at least five days prior to the Effective Time, (ii) effect the Nasdaq Reverse Split (to the extent applicable and necessary), (iii) increase the number of shares of Boundless Bio Capital Stock as described in the Authorized Share Increase Proposal, and (iv) make such other changes as are mutually agreeable to Boundless Bio and Serapha.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Boundless Bio and Merger Sub, on one hand, and Serapha, on the other hand, for a transaction of this type relating to, among other things: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subsidiaries and similar corporate matters;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Boundless Bio Special Meeting and that will be the subject of the Serapha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or result in any encumbrances on the parties’ assets or require the consent of any third party;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Boundless Bio,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the validity of material contracts to which the parties or their subsidiaries are a party and any default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owed to financial advisors and similar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payments and use of corporate funds;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control laws;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Serapha, ownership of Boundless Bio Capital Stock;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Boundless Bio, the valid issuance in the Merger of Boundless Bio Common Stock; and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Pre-Closing Financing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Boundless Bio and Serapha form the basis of certain of the conditions to the obligations of Boundless Bio and Serapha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agreed that, except as contemplated or permitted by the Merger Agreement, as required by law, or unless Serapha has provided written consent, during the period commencing on the date of the Merger Agreement and continuing until the earlier to occur of the Effective Time and the termination of the Merger Agreement, Boundless Bio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Boundless Bio has also agreed that, subject to certain limited exceptions and except as contemplated or permitted by the Merger Agreement, as required by law, or unless Serapha has provided written consent, during the period commencing on the date of the Merger Agreement and continuing until the earlier to occur of the Effective Time and the termination of the Merger Agreement, it will not, and will not cause or permit any of its subsidiaries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(other than the Boundless Bio Pre-Closing Dividend) or make any other distribution in respect of any shares of its capital stock; or repurchase, redeem or otherwise reacquire any shares of capital stock or other securities (except for shares of Boundless Bio Common Stock from terminated employees, directors or consultants of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Boundless Bio Common Stock issued upon the valid exercise of outstanding Boundless Bio Options),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in excess of $25,000;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any officer, employee or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abandon, allow to lapse, license, sublicense or otherwise dispose of any intellectual property rights of Boundless Bio (other than pursuant to non-exclusive licenses in the ordinary course of business, pursuant to patent prosecution in the ordinary course of business or pursuant to the consummation of any Boundless Bio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or tax accounting period; enter into any material tax closing agreement or settle or compromise any material tax claim or assessment; consent to any extension or waiver of the limitation period applicable to or relating to any material tax claim or assessment; surrender any material claim for refund; or initiate or enter into any voluntary disclosure or similar agreement with, request any ruling from, or otherwise voluntarily disclose information to, any governmental authority with respect to any material taxes;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Boundless Bio or any of its subsidiaries, other than waivers, settlements or agreements for an amount not in excess of $1,000,000 in the aggregate (excluding amounts to be paid under existing insurance policies or renewals thereof); that do not impose any material restrictions on the operations or businesses of Boundless Bio or its subsidiaries, taken as a whole, or any equitable relief on, or the admission of wrongdoing by Boundless Bio or any of its subsidiaries; and that do not cause Boundless Bio Net Cash at Closing to drop below $0;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Boundless Bio or any of its subsidiaries to its customers or licensees; or agree to materially change pricing or royalties or other payments set or charged by persons who have licensed intellectual property to Boundless Bio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Boundless Bio or terminate any Boundless Bio material contract outside of the ordinary course of business;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give Serapha the right, directly or indirectly, to control or direct the operations of Boundless Bio prior to the Effective Time. Prior to the Effective Time, Boundless Bio will exercise, consistent with the terms and conditions of the Merger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Boundless Bio is expressly permitted to engage in a Boundless Bio Legacy Transaction and is expressly permitted to declare and pay the Boundless Bio Pre-Closing Dividend, up to an amount equal in the aggregate to Boundless Bio’s reasonable, good faith approximation of the amount by which Boundless Bio Net Cash will exceed $0. </w:t>
      </w:r>
    </w:p>
    <w:p>
      <w:pPr>
        <w:pStyle w:val="TextBody"/>
        <w:bidi w:val="0"/>
        <w:spacing w:before="240" w:after="0"/>
        <w:jc w:val="left"/>
        <w:rPr>
          <w:rFonts w:ascii="Times New Roman" w:hAnsi="Times New Roman"/>
          <w:sz w:val="20"/>
        </w:rPr>
      </w:pPr>
      <w:r>
        <w:rPr>
          <w:rFonts w:ascii="Times New Roman" w:hAnsi="Times New Roman"/>
          <w:sz w:val="20"/>
        </w:rPr>
        <w:t xml:space="preserve">Serapha has agreed that, except as contemplated or permitted by the Merger Agreement or the Securities Purchase Agreement, as required by law, or unless Boundless Bio has provided its written consent,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commencing on the date of the Merger Agreement and continuing until the earlier to occur of the Effective Time and the termination of the Merger Agreement, Serapha will use commercially reasonable efforts to conduct its business and operations in the ordinary course consistent with past practices and in material compliance with all applicable laws, regulations and certain contracts and continue to pay material current liabilities when due and payable. Serapha has also agreed that, subject to certain limited exceptions without the consent of Boundless Bio, during the period commencing on the date of the Merger Agreement and continuing until the earlier to occur of the Effective Time and the termination of the Merger Agreement, it will not, and will not cause or permit any of its subsidiaries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Serapha Common Stock from terminated employees, directors or consultants of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any of the foregoing actions with respect to more than 25% of the shares of Serapha Capital Stock outstanding as of the date of the Merger Agreement: any capital stock or other security of Serapha (except for shares of outstanding Serapha Common Stock issued upon the valid exercise and/or settlement (as applicable) of Serapha Options or Serapha RSUs); any option, warrant or right to acquire any capital stock or any other security; or any instrument convertible into or exchangeable for any capital stock or other security of Serapha;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equity interest or other interest in any other entity or enter into a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or guarantee any debt securities of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irrevocably dispose of any of its assets or properties, or grant any lien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abandon, allow to lapse, license, sublicense or otherwise dispose of any material intellectual property of Serapha, other than pursuant to non-exclusive licenses;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Serapha, other than waivers, settlements or agreements (i) for an amount not in excess of $100,000 in the aggregate (excluding amounts to be paid under existing insurance policies or renewals thereof) and (ii) that do not impose any material restrictions on the operations or businesses of Serapha or any equitable relief on, or the admission of wrongdoing by Serapha;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Serapha or terminate any Serapha material contract, including the YolTech License Agreement;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bookmarkStart w:id="33" w:name="tx108148_611"/>
      <w:bookmarkEnd w:id="33"/>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Boundless Bio and Serapha have agreed that, except as described below, Boundless Bio and Serapha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(other than Serapha or Boundless Bio)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(as defined below);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non-public information (other than an inquiry, indication of interest or request for information made or submitted by Serapha, on the one hand, or Boundless Bio, on the other hand, to the other party) that could reasonably be expected to lead to an Acquisition Proposal; provided, that “Acquisition Inquiry” will not include any inquiry, indication of interest or request for information relating to any Boundless Bio Legacy Transaction.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Serapha or any of its affiliates, on the one hand, or by or on behalf of Boundless Bio or any of its affiliates, on the other hand, to the other party) contemplating or otherwise relating to any Acquisition Transaction with such party; provided, that “Acquisition Proposal” will not include any offer or proposal relating to any Boundless Bio Legacy Transaction.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any Boundless Bio Legacy Transaction or the Serapha Pre-Closing Financing)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(A)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(B)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compliance with the Merger Agreement, prior to the approval of the Boundless Bio Stockholder Matters by the Required Boundless Bio Stockholder Vote, Boundless Bio may furnish non-public information regarding Boundless Bio and its subsidiaries to, and enter into discussions or negotiations with, any person in response to a bona fide written Acquisition Proposal by such person, which the Boundless Bio Board of Directors determines in good faith, after consultation with Boundless Bio’s financial advisors and outside legal counsel, constitutes or is reasonably likely to result in a Superior Offer (and is not withdrawn),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Acquisition Proposal was not obtained or made as a result of a breach of the foregoing in any material respect;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concludes in good faith based on the advice of outside legal counsel, that the failure to take such action would reasonably be expected to be inconsistent with the Boundless Bio Board of Directors’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48 hours prior to initially furnishing any such nonpublic information to, or entering into discussions with, such person, Boundless Bio gives Serapha written notice of the identity of such person (unless such disclosure is prohibited pursuant to the terms of any confidentiality agreement with such person or group that is in effect as of the date of the Merger Agreement), and of Boundless Bio’s intention to furnish nonpublic information to, or enter into discussions with, such person;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receives from such person an executed confidentiality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such nonpublic information to such person, Boundless Bio furnishes such nonpublic information to Serapha (to the extent not previously furnished by Boundless Bio to Serapha).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contrary to the Merger Agreement, Boundless Bio and its representatives may, in any event, contact any person to (i) seek to clarify the terms of any Acquisition Proposal made by such person to determine whether such Acquisition Proposal constitutes a Superior Offer and (ii) inform such person that has made such Acquisition Proposal of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(i) was not obtained or made as a direct or indirect result of a breach of the Merger Agreement, (ii) is on terms and conditions that the Boundless Bio Board of Directors or the Serapha Board of Directors,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amend the terms of the Merger Agreement, and following consultation with its outside legal counsel and financial advisors, if any, are more favorable, from a financial point of view, to Boundless Bio stockholders or Serapha stockholders, as applicable, than the terms of the Contemplated Transactions, (iii) is not subject to any financing conditions (and if financing is required, such financing is then fully committed to the third party) and (iv)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24 hours after such party receives any such Acquisition Proposal or Acquisition Inquiry) advise the other party in writing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bookmarkStart w:id="34" w:name="tx108148_612"/>
      <w:bookmarkEnd w:id="34"/>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Serapha and Boundless Bio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and adoption of the Merger Agreement by the Required Boundless Bio Stockholder Vote, if (i) Boundless Bio receives a bona fide written Acquisition Proposal that the Boundless Bio Board of Directors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Transaction or the consequences thereof, or (B) the fact, in and of itself, that Boundless Bio meets or exceeds internal budgets, plans or forecasts of its revenues, earnings or other financial performance or results of operations, or (C) any Boundless Bio Legacy Transaction) that affects the business, assets or operations of Boundless Bio and occurs or arises after the date of the Merger Agreement (a “Boundless Bio Intervening Event”), the Boundless Bio Board of Directors may amend, withdraw, or modify its recommendation in a manner adverse to Serapha.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Superior Offer, the Boundless Bio Board of Directors must first: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Serapha in good faith to make such adjustments to the terms and conditions of the Merger Agreement so that such Acquisition Proposal ceases to constitute a Superior Offer, during the required four business day notice period and provide Serapha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Serapha delivers a written offer to alter the terms or conditions of the Merger Agreement during the required four business day notice period, the Boundless Bio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Boundless Bio Intervening Event, the Boundless Bio Board of Directors must first promptly notify Serapha, in writing, at least four business days before making a change in its recommendation, stating the material facts and circumstances related to the applicable material development or change in circumstance and that the Boundless Bio Board of Directors intends to make a change in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Special Meeting and Written Consent of Serapha’s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obligated under the Merger Agreement to take all action necessary under applicable law to call, give notice of and hold a meeting of the holders of Boundless Bio Common Stock for the purpose of considering and voting to approve the Boundless Bio Stockholder Matters, as further described herein (the “Required Boundless Bio Stockholder Vote”). The Boundless Bio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Promptly after this registration statement on Form S-4 has been declared effective, and no later than two business days thereafter, Serapha is required to obtain the approval by written consent from the holders of a majority of the outstanding shares of Serapha Capital Stock, voting together as a single class on an as-converted basis, and the holders of a majority of the outstanding shares of Serapha Series A Preferred Stock, voting as a separate class, to (i) adopt and approve the Merger Agreement and Contemplated Transactions (including the Merger), (ii) acknowledge that the approval given thereby is irrevocable and that such stockholders are aware of their rights to demand appraisal for their shares pursuant to Section 262 of the DGCL, and that such stockholder has received and read a copy of Section 262 of the DGCL and (iii) acknowledge that by their approval of the Merger, they are not entitled to appraisal rights with respect to their shares in connection with the Merger and thereby waive any rights to receive payment of the fair value of their capital stock under the DGCL (the “Required Serapha Stockholder Vote”). Serapha stockholders who do not execute such written consents may be entitled to appraisal rights under Section 262 of the DGCL, as described in the section titled “</w:t>
      </w:r>
      <w:r>
        <w:rPr>
          <w:rFonts w:ascii="Times New Roman" w:hAnsi="Times New Roman"/>
          <w:i/>
          <w:sz w:val="20"/>
        </w:rPr>
        <w:t>The Merger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Appraisal Rights and Dissenters’ Rights</w:t>
      </w:r>
      <w:r>
        <w:rPr>
          <w:rFonts w:ascii="Times New Roman" w:hAnsi="Times New Roman"/>
          <w:sz w:val="20"/>
        </w:rPr>
        <w:t xml:space="preserve">.” Reasonably promptly following receipt of the Required Serapha Stockholder Vote, Serapha will prepare and mail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reasonable best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Boundless Bio and Serapha have not yet determined whether any filing under the HSR Act or any other antitrust or competition law is required in connection with the Contemplated Transactions, or whether any regulatory approval from antitrust authorities will be required to consummate the transactions. </w:t>
      </w:r>
    </w:p>
    <w:p>
      <w:pPr>
        <w:pStyle w:val="TextBody"/>
        <w:bidi w:val="0"/>
        <w:spacing w:before="360" w:after="0"/>
        <w:jc w:val="left"/>
        <w:rPr>
          <w:rFonts w:ascii="Times New Roman" w:hAnsi="Times New Roman"/>
          <w:b/>
          <w:sz w:val="20"/>
        </w:rPr>
      </w:pPr>
      <w:bookmarkStart w:id="35" w:name="tx108148_695"/>
      <w:bookmarkEnd w:id="35"/>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Boundless Bio and the Surviving Corporation will indemnify and hold harmless each person who is now, or has been at any time prior to the date of the Merger Agreement, or who becomes prior to the Effective Time, a director or officer of Boundless Bio or Serapha,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Boundless Bio or Serapha (including in connection with the Merger Agreement, any of the Contemplated Transactions or Boundless Bio’s initial public offering of shares of Boundless Bio Common Stock), whether asserted or claimed prior to, at or after the Effective Time, in each case, to the fullest extent permitted under the DGCL. From and after the Effective Time, Boundless Bio and the Surviving Corporation will also fulfill Boundless Bio’s and Serapha’s indemnity obligations, respectively, to each person who is, has been, or who becomes prior to the Effective Time, a director or officer of Boundless Bio or Serapha.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of the Surviving Corporation will contain provisions no less favorable with respect to indemnification, advancement of expenses and exculpation of present and former directors and officers as those presently set forth in the Boundless Bio Charter and the Boundless Bio Bylaws. The provisions of the certificate of incorporation and bylaws of Boundless Bio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indemnified officer or director, unless such amendment, modification or repeal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Boundless Bio will maintain directors’ and officers’ liability insurance policies, with an effective date as of the Closing Date, on commercially available terms and conditions and with coverage limits customary for U.S. public companies similarly situated to Boundless Bio. In addition, Boundless Bio will secure and purchase a six-year “tail policy” on Boundless Bio’s existing directors’ and officers’ liability insurance policy with an effective date as of the Closing Date.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Boundless Bio expects to pay the Boundless Bio Pre-Closing Dividend to the holders of record of outstanding shares of Boundless Bio Common Stock as of a record date prior to the Effective Time, to be determined by the Boundless Bio Board of Directors, which is intended to be implemented and performed such that Boundless Bio Net Cash, after taking into account such Boundless Bio Pre-Closing Dividend, shall be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than $0 as of the Closing. The Boundless Bio Pre-Closing Dividend is expected to be approximately $44 to $48 million in the aggregate. The ex-dividend date in respect of such Boundless Bio Pre-Closing Dividend (i.e., the date on which shares of Boundless Bio Common Stock shall trade without the right to receive the Boundless Bio Pre-Closing Dividend) will be determined by Nasdaq. Boundless Bio stockholders of record who continue to hold their eligible shares of Boundless Bio Common Stock until market open on the ex-dividend date will be entitled to payment of the Boundless Bio Pre-Closing Dividend. If the Nasdaq Reverse Split Proposal is approved, Boundless Bio expects to (i) pay the Boundless Bio Pre-Closing Dividend and (ii) effect the Nasdaq Reverse Split following the payment of the Boundless Bio Pre-Closing Dividend and immediately prior to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Boundless Bio and Serapha has agreed to use its reasonable best efforts to take, or to cause to be taken, all actions necessary to consummate the Contemplated Transactions.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Contemplated Transactions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Contemplated Transactions;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Boundless Bio and Serapha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keep Serapha reasonably informed regarding any litigation or material developments in connection with any litigation against Boundless Bio and/or the Boundless Bio Board of Directors relating to the Merger Agreement or the Contemplated Transactions. Boundless Bio will have the right to control the defense of such litigation, but will reasonably consult with Serapha and consider in good faith any advice from Serapha and its representatives with respect to such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will promptly advise Boundless Bio of any initiation of or material developments in connection with any legal proceeding against Serapha and/or the Serapha Board of Directors relating to the Merger Agreement or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party will cooperate with the other party in the defense of any such litigation, including by providing access to relevant documents and making its officers and other representatives reasonably available;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use its commercially reasonable efforts to maintain its listing on Nasdaq and cause the shares of Boundless Bio Common Stock being issued in connection with the Contemplated Transactions to be approved for listing on Nasdaq at or prior to the Effective Time. </w:t>
            </w:r>
          </w:p>
        </w:tc>
      </w:tr>
    </w:tbl>
    <w:p>
      <w:pPr>
        <w:pStyle w:val="TextBody"/>
        <w:bidi w:val="0"/>
        <w:spacing w:before="360" w:after="0"/>
        <w:jc w:val="left"/>
        <w:rPr>
          <w:rFonts w:ascii="Times New Roman" w:hAnsi="Times New Roman"/>
          <w:b/>
          <w:sz w:val="20"/>
        </w:rPr>
      </w:pPr>
      <w:bookmarkStart w:id="36" w:name="tx108148_610"/>
      <w:bookmarkEnd w:id="36"/>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Contemplated Transactions or any of the other transactions contemplated by the Merger Agreement by any governmental authority of competent jurisdiction, and there must not be any law, statute,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ordinance, rule, code, regulation, order, judgment, injunction, decree or other legally enforceable requirement in effect which has the effect of making the consummation of the Contemplated Transactions illegal;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will have obtained the Required Serapha Stockholder Vote;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will have obtained the Required Boundless Bio Stockholder Vote;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Boundless Bio Common Stock on Nasdaq will have been approved by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regulatory waiting periods under the HSR Act will have expired or otherwise been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YolTech License Agreement will be in full force and effect and will not have been modified or amended in any manner that would have a materially adverse impact on the Surviving Corporation or Boundless Bio without Boundless Bio’s prior written consent;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Securities Purchase Agreement and the Series A Financing Agreement will be in full force and effect and Serapha will have received, or will receive substantially contemporaneously with the Closing, aggregate gross cash proceeds of not less than the Company Pre-Closing Financing Minimum Amount specified in the Merger Agreement in connection with the consummation of the Serapha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Serapha’s obligation to complete the Merger, certain Serapha investor agreements will have been terminated (or will be terminated as of the Closing);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Boundless Bio’s obligation to complete the Merger, if Boundless Bio declares the Boundless Bio Pre-Closing Dividend, then such amount will have been deposited by Boundless Bio with Boundless Bio’s transfer agent for distribution to holders of Boundless Bio Common Stock as of the record date of the Boundless Bio Pre-Closing Dividend. </w:t>
            </w:r>
          </w:p>
        </w:tc>
      </w:tr>
    </w:tbl>
    <w:p>
      <w:pPr>
        <w:pStyle w:val="TextBody"/>
        <w:bidi w:val="0"/>
        <w:spacing w:before="360" w:after="0"/>
        <w:jc w:val="left"/>
        <w:rPr>
          <w:rFonts w:ascii="Times New Roman" w:hAnsi="Times New Roman"/>
          <w:b/>
          <w:sz w:val="20"/>
        </w:rPr>
      </w:pPr>
      <w:bookmarkStart w:id="37" w:name="tx108148_622"/>
      <w:bookmarkEnd w:id="37"/>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bookmarkStart w:id="38" w:name="tx108148_621"/>
      <w:bookmarkEnd w:id="38"/>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230"/>
        <w:gridCol w:w="47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Boundless Bio and Serapha;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the Merger has not been consummated by March 23, 2027 (the “End Date”) (subject to possible extension as provided in the Merger Agreement);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provided, further, that if the SEC has not declared this registration statement on Form S-4 effective by the date that is 90 days prior to the End Date, then either party may extend the End Date for an additional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4"/>
        <w:gridCol w:w="9826"/>
      </w:tblGrid>
      <w:tr>
        <w:trPr/>
        <w:tc>
          <w:tcPr>
            <w:tcW w:w="75"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(iii)</w:t>
            </w:r>
          </w:p>
        </w:tc>
        <w:tc>
          <w:tcPr>
            <w:tcW w:w="98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a court of competent jurisdiction or governmental entity has issued a final and non-appealable order, or has taken any other action, having the effect of permanently restraining, enjoining or otherwise prohibiting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(iv)</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the Required Serapha Stockholder Vote has not been obtained and evidence thereof has not been delivered to Boundless Bio within two business days of the registration statement on Form S-4, of which this proxy statement/prospectus is a part, becoming effective; provided that this right to terminate the Merger Agreement will not be available to Boundless Bio once Serapha obtains the Required Serapha Stockholder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(v)</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Boundless Bio or Serapha, if (i) the Boundless Bio Special Meeting has been held and completed and Boundless Bio stockholders have taken a final vote on the Boundless Bio Stockholder Matters, and (ii) the Boundless Bio Stockholder Matters have not been approved at the Boundless Bio Special Meeting; provided that this right to terminate the Merger Agreement will not be available to Boundless Bio if the failure to obtain the Required Boundless Bio Stockholder Vote was caused by Boundless Bio’s action or failure to act and such action or failure to act constitutes a breach by Boundless Bio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(vi)</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Serapha, at any time prior to obtaining the approval of the Boundless Bio Stockholder Matters, if any of the following circumstances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fails to include in this proxy statement/prospectus the Boundless Bio Board of Directors’ recommendation that Boundless Bio stockholders vote to approve the Boundless Bio Stockholder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or any committee thereof, makes a board recommendation change in a manner adverse to Serapha (or publicly proposes to do so), or adopts, approves or recommends any Acquisition Proposal (or publicly proposes to do so);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(vii)</w:t>
            </w:r>
          </w:p>
        </w:tc>
        <w:tc>
          <w:tcPr>
            <w:tcW w:w="9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at any time prior to obtaining the Required Serapha Stockholder Vote, if any of the following circumstances occur: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makes a board recommendation change in a manner adverse to Boundless 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Serapha Board of Directors, or any committee thereof, publicly approves, endorses or recommends any Acquisition Proposal; or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enters into any letter of intent or similar document or any contract relating to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11"/>
        <w:gridCol w:w="9719"/>
      </w:tblGrid>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(viii)</w:t>
            </w:r>
          </w:p>
        </w:tc>
        <w:tc>
          <w:tcPr>
            <w:tcW w:w="97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Serapha, if a Form 25 has been filed with respect to shares of Boundless Bio Common Stock by Boundless Bio or Nasdaq or any other cessation of listing of Boundless Bio Common Stock on Nasdaq; provided that this right to terminate the Merger Agreement will not be available to Serapha if such delisting event was primarily caused by Serapha’s refusal or unreasonable delay in consenting to reasonable actions by Boundless Bio to maintain the listing of Boundless Bio Common Stock on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(ix)</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Serapha, if Boundless Bio or Merger Sub have breached any of their representations, warranties, covenants or agreements contained in the Merger Agreement or if any representation or warranty of Boundless Bio or Merger Sub has become inaccurate, in either case such that the conditions to the Closing would not be satisfied as of the time of such breach or inaccuracy; provided that Serapha is not then in material breach of any representation, warranty, covenant or agreement under the Merger Agreement; provided, further, if such breach or inaccuracy is curable, then Serapha will not be permitted to terminate the Merger Agreement pursuant to this paragraph as a result of a particular breach or inaccuracy until the earlier of (i) the expiration of a 30-day period after delivery of written notice of such breach or inaccuracy from Serapha to Boundless Bio or Merger Sub and Serapha’s intention to terminate pursuant to this paragraph and (ii) Boundless Bio and Merger Sub (as applicable) ceasing to exercise commercially reasonable efforts to cure such breach following delivery of such written notice (it being understood that Serapha will not be permitted to terminate the Merger Agreement pursuant to this paragraph as a result of such particular breach or inaccuracy if such breach by Boundless Bio or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(x)</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Serapha has breached any of its representations, warranties, covenants or agreements contained in the Merger Agreement or if any representation or warranty of Serapha has become inaccurate, in either case such that the conditions to the Closing would not be satisfied as of the time of such breach or inaccuracy; provided that Boundless Bio is not then in material breach of any representation, warranty, covenant or agreement under the Merger Agreement; provided, further, if such breach or inaccuracy is curable, then Boundless Bio will not be permitted to terminate the Merger Agreement pursuant to this paragraph as a result of a particular breach or inaccuracy until the earlier of (i) the expiration of a 30-day period after delivery of written notice of such breach or inaccuracy from Boundless Bio to Serapha and Boundless Bio’s intention to terminate pursuant to this paragraph and (ii) Serapha ceasing to exercise commercially reasonable efforts to cure such breach following delivery of such written notice (it being understood that the Merger Agreement will not terminate pursuant to this paragraph as a result of such particular breach or inaccuracy if such breach by Serapha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(xi)</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(at any time prior to obtaining the Required Boundless Bio Stockholder Vote), upon Boundless Bio entering into a definitive agreement for a Superior Offer, subject to certain conditions;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7"/>
        <w:gridCol w:w="9783"/>
      </w:tblGrid>
      <w:tr>
        <w:trPr/>
        <w:tc>
          <w:tcPr>
            <w:tcW w:w="75"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(xii)</w:t>
            </w:r>
          </w:p>
        </w:tc>
        <w:tc>
          <w:tcPr>
            <w:tcW w:w="9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Boundless Bio, if (i) closing conditions were satisfied or waived, (ii) Serapha failed to consummate the Closing on the date on which Serapha is required to consummate the Closing under the Merger Agreement, (iii) Boundless Bio has, at least two business days prior to seeking to terminate the Merger Agreement, irrevocably confirmed in a written notice to Serapha that Boundless Bio is ready, willing and able to consummate the Closing and (iv) Serapha has not consummated the Closing by the earlier of (x) the End Date and (y) the end of the second business day following delivery of Boundless Bio’s written confirmation referred to in clause (iii).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Boundless Bio </w:t>
      </w:r>
    </w:p>
    <w:p>
      <w:pPr>
        <w:pStyle w:val="TextBody"/>
        <w:bidi w:val="0"/>
        <w:spacing w:before="120" w:after="0"/>
        <w:jc w:val="left"/>
        <w:rPr>
          <w:rFonts w:ascii="Times New Roman" w:hAnsi="Times New Roman"/>
          <w:sz w:val="20"/>
        </w:rPr>
      </w:pPr>
      <w:r>
        <w:rPr>
          <w:rFonts w:ascii="Times New Roman" w:hAnsi="Times New Roman"/>
          <w:sz w:val="20"/>
        </w:rPr>
        <w:t xml:space="preserve">Boundless Bio must pay Serapha a termination fee of $1.0 million if (i) the Merger Agreement is terminated by Boundless Bio or Serapha pursuant to clause (v) above or by Serapha pursuant to clause (vi) above (and the Required Boundless Bio Stockholder Vote has not been obtained by Boundless Bio), (ii) at any time after the date of the Merger Agreement and prior to the Boundless Bio Special Meeting, an Acquisition Proposal with respect to Boundless Bio will have been publicly announced, disclosed or otherwise communicated to the Boundless Bio Board of Directors (and will not have been withdrawn), and (iii) within 12 months after the date of such termination, Boundless Bio enters into a definitive agreement with respect to a subsequent transaction or consummates a subsequent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Fees Payable by Serapha </w:t>
      </w:r>
    </w:p>
    <w:p>
      <w:pPr>
        <w:pStyle w:val="TextBody"/>
        <w:bidi w:val="0"/>
        <w:spacing w:before="120" w:after="0"/>
        <w:jc w:val="left"/>
        <w:rPr>
          <w:rFonts w:ascii="Times New Roman" w:hAnsi="Times New Roman"/>
          <w:sz w:val="20"/>
        </w:rPr>
      </w:pPr>
      <w:r>
        <w:rPr>
          <w:rFonts w:ascii="Times New Roman" w:hAnsi="Times New Roman"/>
          <w:sz w:val="20"/>
        </w:rPr>
        <w:t xml:space="preserve">Serapha must pay Boundless Bio a termination fee of $1.0 million if (i) the Merger Agreement is terminated by Boundless Bio pursuant to clause (iv) or (vii) above, or (ii) the Merger Agreement is terminated by Boundless Bio pursuant to clause (xii) above and at any time after the date of the Merger Agreement and before obtaining the Required Serapha Stockholder Vote, an Acquisition Proposal with respect to Serapha will have been publicly announced, disclosed or otherwise communicated to the Serapha Board of Directors (and will not have been withdrawn), and within 12 months after the date of such termination, Serapha enters into a definitive agreement with respect to a subsequent transaction or consummates a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Serapha must reimburse Boundless Bio for up to $1.0 million of documented and reasonable expenses incurred by Boundless Bio in connection with the Contemplated Transactions if the Merger Agreement is terminated by Serapha or Boundless Bio pursuant to clause (ii) above due to the failure of the Closing to occur on or prior to the End Date, and such failure is primarily caused by Serapha’s inability to timely provide the required Form S-4 information reasonably requested by Boundless Bio for inclusion in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Contemplated Transactions will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208 of this proxy statement/prospectus, and except that Boundless Bio and Serapha will share equally in any fees and 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108148_12"/>
      <w:bookmarkEnd w:id="39"/>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40" w:name="tx108148_623"/>
      <w:bookmarkEnd w:id="40"/>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Decheng Capital Global Life Sciences Fund V-A, L.P., Decheng Capital Global Life Sciences Fund V-B, L.P., Decheng Capital Global Life Sciences Fund V, L.P., RA Capital Healthcare Fund, L.P., RA Capital Nexus Fund IV, L.P. and RTW Holdings X, LLC (solely in their respective capacities as Serapha stockholders) holding approximately 65% of the outstanding shares of Serapha Capital Stock, have entered into support agreements with Serapha and Boundless Bio to vote all of their shares of Serapha Capital Stock in favor of the adoption and approval of the Merger Agreement, the other Contemplated Transactions and the other actions contemplated by the Merger Agreement and against any alternative Acquisition Proposal. Certain executive officers and directors of Boundless Bio holding approximately 1.7% of the outstanding shares of Boundless Bio Capital Stock have entered into support agreements with Boundless Bio and Serapha to vote all of their shares of Boundless Bio Capital Stock in favor of approving the Contemplated Transactions, including the Boundless Bio Stockholder Matters and the other actions contemplated by the Merger Agreement and against any alternative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Boundless Bio Support Agreements and Serapha Support Agreements does not purport to be complete and is qualified in its entirety by the full text of the form of Boundless Bio Support Agreement and the form of Serapha Support Agreement, which are attached hereto as </w:t>
      </w:r>
      <w:r>
        <w:rPr>
          <w:rFonts w:ascii="Times New Roman" w:hAnsi="Times New Roman"/>
          <w:i/>
          <w:sz w:val="20"/>
        </w:rPr>
        <w:t>Annex G</w:t>
      </w:r>
      <w:r>
        <w:rPr>
          <w:rFonts w:ascii="Times New Roman" w:hAnsi="Times New Roman"/>
          <w:sz w:val="20"/>
        </w:rPr>
        <w:t xml:space="preserve"> and </w:t>
      </w:r>
      <w:r>
        <w:rPr>
          <w:rFonts w:ascii="Times New Roman" w:hAnsi="Times New Roman"/>
          <w:i/>
          <w:sz w:val="20"/>
        </w:rPr>
        <w:t>H</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bookmarkStart w:id="41" w:name="tx108148_624"/>
      <w:bookmarkEnd w:id="41"/>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Serapha’s executive officers and directors will enter into lock-up agreements, pursuant to which such parties will agree not to, except in limited circumstances, offer, pledge, sell, contract to sell, sell any option or contract to purchase, purchase any option or contract to sell, grant any option, right or warrant to purchase, lend or otherwise transfer or dispose of, directly or indirectly, any shares of Boundless Bio Common Stock or any securities convertible into or exercisable or exchangeable for Boundless Bio Common Stock, currently or thereafter owned, but excluding, as applicable, shares purchased by existing Serapha stockholders in the Serapha Pre-Closing Financing (including any shares of Boundless Bio Common Stock issuable upon exercise of Assumed Warrants issued in exchange for Serapha Pre-Funded Warrants sold in the Serapha Pre-Closing Financing and the Boundless Bio Pre-Funded Warrants),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I</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2" w:name="tx108148_225"/>
      <w:bookmarkEnd w:id="42"/>
      <w:r>
        <w:rPr>
          <w:rFonts w:ascii="Times New Roman" w:hAnsi="Times New Roman"/>
          <w:b/>
          <w:sz w:val="20"/>
        </w:rPr>
        <w:t xml:space="preserve">Series A Financing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of Serapha entered into the Series A Financing Agreement, pursuant to which such investors invested in a private placement of Serapha Series A Preferred Stock for an aggregate purchase price of approximately $138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Financing Agreement contains customary representations and warranties of Serapha and also contains customary representations and warranties of the purchaser parties thereto. </w:t>
      </w:r>
    </w:p>
    <w:p>
      <w:pPr>
        <w:pStyle w:val="TextBody"/>
        <w:bidi w:val="0"/>
        <w:spacing w:before="360" w:after="0"/>
        <w:jc w:val="left"/>
        <w:rPr>
          <w:rFonts w:ascii="Times New Roman" w:hAnsi="Times New Roman"/>
          <w:b/>
          <w:sz w:val="20"/>
        </w:rPr>
      </w:pPr>
      <w:bookmarkStart w:id="43" w:name="tx108148_226"/>
      <w:bookmarkStart w:id="44" w:name="tx108148_703"/>
      <w:bookmarkEnd w:id="43"/>
      <w:bookmarkEnd w:id="44"/>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entered into the Securities Purchase Agreement with Serapha, pursuant to which such investors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agreed to purchase, immediately prior to the Merger, shares of Serapha Common Stock or, in lieu thereof, Serapha Pre-Funded Warrants, representing an aggregate commitment of approximately $92 million in the Serapha Pre-Closing Financing. Under the Securities Purchase Agreement, the number of shares of Serapha Common Stock or Serapha Pre-Funded Warrants, as applicable, shall be determined at a purchase price per share or pre-funded warrant equal to (i) a valuation for Serapha equal to approximately $303.7 million (which represents the sum of the Serapha Equity Value of approximately $73.7 million and approximately $230 million of aggregate cash proceeds of the Serapha Pre-Closing Financing), (ii) divided by the number of fully diluted shares of Serapha Common Stock outstanding immediately prior to the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Serapha Pre-Funded Warrants will have an exercise price per share equal to $0.00001 (as adjusted from time to time as provided in the form of pre-funded warrant) and may be exercised at any time and from time to time after the original issue date. The Serapha Pre-Funded Warrants do not expire. The foregoing description of the form of pre-funded warrant does not purport to be complete and is qualified in its entirety by the full text of the form of pre-funded warrant, which is filed as Exhibit 4.4 to the registration statement of which this proxy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Serapha Common Stock and Serapha Pre-Funded Warrants that are issued in the Serapha Pre-Closing Financing will be or will have the right to be, respectively, converted into shares of Boundless Bio Common Stock in the Merger. Accordingly, by approving Proposal No. 1 relating to the Merger, Boundless Bio stockholders will also be approving the issuance of shares of Boundless Bio Common Stock to be issued in exchange for all shares of Serapha Common Stock and upon exercise of Serapha Pre-Funded Warrants that are sold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Serapha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Serapha Common Stock and/or Serapha Pre-Funded Warrants from Serapha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representations and warranties in the Securities Purchase Agreement being true and correct in all respects as of the effective date of the Securities Purchase Agreement and true and correct in all material respects as of the closing date for the Serapha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performed and complied in all material respects with the obligations and conditions required to be performed or complied with by 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regulation, order, judgment, injunction, decree or other restriction of a governmental authority having been issued prohibiting the consummation of the Serapha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has occurred that is continuing, since the date of the Securities Purchase Agreement;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federal, state and local laws regarding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absence of breaches, outages, or unauthorized uses of or accesses to Serapha’s information technology assets that would require notification under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furnished all required materials to the transfer agent to reflect issuance of the shares at closing of the Serapha Pre-Closing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Serapha’s counsel, dated as of closing of the Serapha Pre Closing Financing;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Serapha;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Serapha;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delivered the registration rights agreement required by the Securities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suspending the effectiveness of this registration statement shall have been issued and no proceeding for that purpose shall have been initiated or threatened in writing by the SEC;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Serapha Pre-Closing Financing and other than those conditions which, by their nature, are to be satisfied at the Closing of the transactions contemplated by the Merger) and the Closing being set to occur substantially concurrently with the closing of the Serapha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Serapha’s obligation to sell shares of Serapha Common Stock or Serapha Pre-Funded Warrants, as applicable, to each purchaser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closing date of the Serapha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obligations and conditions required to be performed or complied with by each purchaser;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Serapha Pre-Closing Financing;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having received payment in full from each investor as required by the Securities Purchase Agreement,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J</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5" w:name="tx108148_227"/>
      <w:bookmarkStart w:id="46" w:name="tx108148_702"/>
      <w:bookmarkEnd w:id="45"/>
      <w:bookmarkEnd w:id="46"/>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contemplates Serapha and the investors participating in the Serapha Pre-Closing Financing entering into the Registration Rights Agreement at the closing of the Serapha Pre-Closing Financing, pursuant to which, among other things, the Combined Company will agree to provide for the registration and resale of shares of Boundless Bio Common Stock issued in exchange for shares of Serapha Common Stock sold in the Serapha Pre-Closing Financing or Assumed Warrants issued upon conversion of the Serapha Pre-Funded Warrants sold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Combined Company will agree to prepare and file a resale registration statement covering the resale of the Boundless Bio Common Stock within 45 calendar days of the closing of the Serapha Pre-Closing Financing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Boundless Bio Common Stock under an effective registration statement on Form S-4, if available, or if unavailable, another appropriate form filed with the SEC, subject to certain exceptions, and (iv)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4.5 to this registration statement on Form S-4 of which this proxy statement/prospectus is a part, and the foregoing description of the Registration Rights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Serapha entered into an exclusive sub-licensable, royalty-bearing license agreement (the “YolTech License Agreement”) with Shanghai Yaotang Biotechnology Co., Ltd. (also known as YolTech Therapeutics Co., Ltd.) (“YolTech”),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Serapha may terminate the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YolTech License Agreement does not purport to be complete and is qualified in its entirety by the full text of the YolTech License Agreement, a copy of which is filed as Exhibit 10.5 to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x108148_13"/>
      <w:bookmarkEnd w:id="47"/>
      <w:r>
        <w:rPr>
          <w:rFonts w:ascii="Times New Roman" w:hAnsi="Times New Roman"/>
          <w:b/>
          <w:sz w:val="20"/>
        </w:rPr>
        <w:t xml:space="preserve">BOUNDLESS BIO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named executive officers (“NEOs”) for 2025, which consist of the individual who served as Boundless Bio’s principal executive officer during 2025 and its next two most highly compensated executive officers who were serving as executive officers as of December 31, 2025, are: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Zachary D. Hornby, former Chief Executive Officer, President, and Director;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Robert Doebele, M.D., Ph.D., former Chief Medical Officer; and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Christian Hassig, Ph.D., former Chief Scientific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primary elements of compensation for Boundless Bio’s NEOs are base salary, annual performance bonuses, and equity awards. Boundless Bio’s NEOs also participate in employee benefit plans and programs that it offers to its other employees, as described below. The following table presents summary information regarding the compensation that was awarded to, earned by, or paid to Boundless Bio’s NEOs for services rendered during the years ended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5"/>
        <w:gridCol w:w="120"/>
        <w:gridCol w:w="60"/>
        <w:gridCol w:w="500"/>
        <w:gridCol w:w="60"/>
        <w:gridCol w:w="120"/>
        <w:gridCol w:w="60"/>
        <w:gridCol w:w="800"/>
        <w:gridCol w:w="60"/>
        <w:gridCol w:w="120"/>
        <w:gridCol w:w="60"/>
        <w:gridCol w:w="980"/>
        <w:gridCol w:w="60"/>
        <w:gridCol w:w="120"/>
        <w:gridCol w:w="99"/>
        <w:gridCol w:w="1331"/>
        <w:gridCol w:w="60"/>
        <w:gridCol w:w="120"/>
        <w:gridCol w:w="136"/>
        <w:gridCol w:w="1279"/>
        <w:gridCol w:w="60"/>
        <w:gridCol w:w="120"/>
        <w:gridCol w:w="60"/>
        <w:gridCol w:w="980"/>
        <w:gridCol w:w="7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Zachary D. Hornby(4)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628,350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333,355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1,603,205</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Former President, Chief Executive Officer, and Director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594,558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5,175,279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281,586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6,054,873</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Doebele, M.D., Ph.D.(5)</w:t>
            </w:r>
          </w:p>
          <w:p>
            <w:pPr>
              <w:pStyle w:val="TableContents"/>
              <w:bidi w:val="0"/>
              <w:spacing w:before="0" w:after="20"/>
              <w:jc w:val="left"/>
              <w:rPr>
                <w:rFonts w:ascii="Times New Roman" w:hAnsi="Times New Roman"/>
                <w:sz w:val="20"/>
              </w:rPr>
            </w:pPr>
            <w:r>
              <w:rPr>
                <w:rFonts w:ascii="Times New Roman" w:hAnsi="Times New Roman"/>
                <w:sz w:val="20"/>
              </w:rPr>
              <w:t>Former Chief Medical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458,508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183,333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978,341</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Hassig, Ph.D.(6)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478,300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191,200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875,350</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Former Chief Scientific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158,276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2,155,874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option awards in 2025, the amounts disclosed represent the aggregate grant date fair value of the options granted in 2025 as calculated in accordance with Financial Accounting Standards Board Accounting Standards Codification Topic 718 (“ASC 718”). With respect to the option awards in 2024, the amounts disclosed represent the aggregate grant date fair value of the options granted in 2024 as calculated in accordance with ASC 718 and also include the following incremental fair value associated with the modification of the exercise prices of Boundless Bio’s NEOs’ options in connection with its option repricing in August 2024, also calculated in accordance with ASC 718: $235,666 for Mr. Hornby and $70,290 for Dr. Hassig. All options are also subject to vesting acceleration under certain circumstances as more fully described in the section titled “Severance and Change in Control Severance Plan.” The amounts in this column do not correspond to the actual value that may be recognized by the NEOs upon vesting of the applicable awards. For a discussion of the assumptions used in calculating the grant date fair value of the awards and the incremental fair value reported in this column, see Notes 2 and 10 to the financial statements included in Boundless Bio’s Annual Report on Form 10-K for the year ended December 31, 2025 filed with the SEC on March 9, 2026. </w:t>
            </w:r>
          </w:p>
        </w:tc>
      </w:tr>
    </w:tbl>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pPr>
            <w:r>
              <w:rPr/>
              <w:t>(2)</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annual performance cash bonuses earned with respect to the applicable year.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matching contributions earned by the NEOs under Boundless Bio’s 401(k) plan ($3,500 for 2025 and $3,450 for 2024).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Hornby ceased his role as President, Chief Executive Officer and as a member of the Boundless Bio Board of Directors effective July 1, 2026.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Doebele commenced employment with Boundless Bio on February 3, 2025. Dr. Doebele ceased his role as Chief Medical Officer effective July 1, 2026. </w:t>
            </w:r>
          </w:p>
        </w:tc>
      </w:tr>
    </w:tbl>
    <w:tbl>
      <w:tblPr>
        <w:tblW w:w="6415" w:type="dxa"/>
        <w:jc w:val="left"/>
        <w:tblInd w:w="0" w:type="dxa"/>
        <w:tblLayout w:type="fixed"/>
        <w:tblCellMar>
          <w:top w:w="0" w:type="dxa"/>
          <w:left w:w="0" w:type="dxa"/>
          <w:bottom w:w="0" w:type="dxa"/>
          <w:right w:w="0" w:type="dxa"/>
        </w:tblCellMar>
      </w:tblPr>
      <w:tblGrid>
        <w:gridCol w:w="305"/>
        <w:gridCol w:w="6110"/>
      </w:tblGrid>
      <w:tr>
        <w:trPr/>
        <w:tc>
          <w:tcPr>
            <w:tcW w:w="305" w:type="dxa"/>
            <w:tcBorders/>
            <w:vAlign w:val="center"/>
          </w:tcPr>
          <w:p>
            <w:pPr>
              <w:pStyle w:val="TableContents"/>
              <w:bidi w:val="0"/>
              <w:spacing w:before="0" w:after="283"/>
              <w:jc w:val="left"/>
              <w:rPr/>
            </w:pPr>
            <w:r>
              <w:rPr/>
              <w:t>(6)</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Hassig ceased his role as Chief Scientific Officer effective July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pays its NEOs a base salary to compensate them for their performance of services rendered to Boundless Bio. The base salary payable to each NEO is intended to provide a fixed component of compensation reflecting the executive’s skill set, experience, role, and responsibilities. Base salaries for Boundless Bio’s NEOs have generally been set at levels deemed necessary to attract and retain individuals with superior talent. Boundless Bio expects that base salaries for its NEOs will be reviewed periodically by its Compensation Committee, with adjustments expected to be made generally in accordance with the considerations described above and to maintain base salaries at competitive levels. </w:t>
      </w:r>
    </w:p>
    <w:p>
      <w:pPr>
        <w:pStyle w:val="TextBody"/>
        <w:bidi w:val="0"/>
        <w:spacing w:before="240" w:after="0"/>
        <w:jc w:val="left"/>
        <w:rPr>
          <w:rFonts w:ascii="Times New Roman" w:hAnsi="Times New Roman"/>
          <w:sz w:val="20"/>
        </w:rPr>
      </w:pPr>
      <w:r>
        <w:rPr>
          <w:rFonts w:ascii="Times New Roman" w:hAnsi="Times New Roman"/>
          <w:sz w:val="20"/>
        </w:rPr>
        <w:t xml:space="preserve">The annual base salaries for Boundless Bio’s NEOs for 2025 were established in early 2025 by its Compensation Committee in connection with its standard annual review. </w:t>
      </w:r>
    </w:p>
    <w:p>
      <w:pPr>
        <w:pStyle w:val="TextBody"/>
        <w:bidi w:val="0"/>
        <w:spacing w:before="240" w:after="0"/>
        <w:jc w:val="left"/>
        <w:rPr>
          <w:rFonts w:ascii="Times New Roman" w:hAnsi="Times New Roman"/>
          <w:sz w:val="20"/>
        </w:rPr>
      </w:pPr>
      <w:r>
        <w:rPr>
          <w:rFonts w:ascii="Times New Roman" w:hAnsi="Times New Roman"/>
          <w:sz w:val="20"/>
        </w:rPr>
        <w:t xml:space="preserve">Effective January 1, 2025, Boundless Bio’s NEOs’ annual base salaries were increased as follows: Mr. Hornby, from $620,000 to $638,000, and Dr. Hassig, from $460,000 to $478,000. Dr. Doebele’s annual base salary for 2025 was $500,000 and was established in connection with his commencement of employment with Boundless Bio in February 2025. </w:t>
      </w:r>
    </w:p>
    <w:p>
      <w:pPr>
        <w:pStyle w:val="TextBody"/>
        <w:bidi w:val="0"/>
        <w:spacing w:before="360" w:after="0"/>
        <w:jc w:val="left"/>
        <w:rPr>
          <w:rFonts w:ascii="Times New Roman" w:hAnsi="Times New Roman"/>
          <w:b/>
          <w:sz w:val="20"/>
        </w:rPr>
      </w:pPr>
      <w:r>
        <w:rPr>
          <w:rFonts w:ascii="Times New Roman" w:hAnsi="Times New Roman"/>
          <w:b/>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base salaries, Boundless Bio’s NEOs are eligible to receive annual performance-based cash bonuses, which are designed to provide appropriate incentives to its executives to achieve annual corporate goals and to reward its executives for individual achievement towards these goals. The annual performance-based bonus each NEO is eligible to receive is based on the extent to which Boundless Bio achieves the corporate goals that the Boundless Bio Board of Directors establishes each year. At the end of the year, the Boundless Bio Board of Directors reviews Boundless Bio’s performance against each corporate goal and determines the extent to which Boundless Bio achieved each of its corporate goals. </w:t>
      </w:r>
    </w:p>
    <w:p>
      <w:pPr>
        <w:pStyle w:val="TextBody"/>
        <w:bidi w:val="0"/>
        <w:spacing w:before="240" w:after="0"/>
        <w:jc w:val="left"/>
        <w:rPr>
          <w:rFonts w:ascii="Times New Roman" w:hAnsi="Times New Roman"/>
          <w:sz w:val="20"/>
        </w:rPr>
      </w:pPr>
      <w:r>
        <w:rPr>
          <w:rFonts w:ascii="Times New Roman" w:hAnsi="Times New Roman"/>
          <w:sz w:val="20"/>
        </w:rPr>
        <w:t xml:space="preserve">For 2025, Mr. Hornby was eligible to receive a target annual bonus equal to 55% of his annual base salary, and Boundless Bio’s other NEOs were eligible to receive target annual bonuses equal to 40% of their respective annual base salaries. Dr. Doebele’s annual bonus was prorated based on his partial year of employment with Boundless Bio.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goals the Boundless Bio Board of Directors established for 2025 related to product development and pipeline goals, as well as corporate development and operational goals. Bonuses are usually determined and paid in the first quarter of the following year. Based on Boundless Bio’s performance against the approved company objectives, Boundless Bio’s Compensation Committee determined to fund the 2025 bonus plan at 100% of the target level for each of its NEOs other than Mr. Hornby and at 95% of the target level for Mr. Hornby. </w:t>
      </w:r>
    </w:p>
    <w:p>
      <w:pPr>
        <w:pStyle w:val="TextBody"/>
        <w:bidi w:val="0"/>
        <w:spacing w:before="240" w:after="0"/>
        <w:jc w:val="left"/>
        <w:rPr>
          <w:rFonts w:ascii="Times New Roman" w:hAnsi="Times New Roman"/>
          <w:sz w:val="20"/>
        </w:rPr>
      </w:pPr>
      <w:r>
        <w:rPr>
          <w:rFonts w:ascii="Times New Roman" w:hAnsi="Times New Roman"/>
          <w:sz w:val="20"/>
        </w:rPr>
        <w:t xml:space="preserve">Actual amounts paid to each NEO for 2025 performance are set forth in the “Non-equity incentive plan compensation” column of the “Summary Compensation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equity-based incentive awards are designed to align its interests and the interests of its stockholders with those of its employees and consultants, including its NEOs. The Boundless Bio Board of Directors and Compensation Committee are responsible for approving equity grants. Boundless Bio typically grants equity awards to new hires upon their commencing employment with Boundless Bio. Generally, Boundless Bio’s equity awards vest over four years, subject to the employee’s continued employment with Boundless Bio on each vesting date. Option awards are eligible for accelerated vesting on the terms provided in the “Severance and Change in Control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granted its NEOs stock options during 2025 as part of their total compensation packages.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Boundless Bio granted Mr. Hornby and Dr. Hassig options to purchase 295,000 and 95,000 shares of Boundless Bio Common Stock, respectively, under the Boundless Bio 2024 Plan. The options were granted with an exercise price of $2.57 per share and vest over a period of four years in equal monthly installments beginning on the first monthly anniversary of the vesting commencement date, subject to the NEO’s continuous service with Boundless Bio as of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2025, in connection with his commencement of employment with Boundless Bio, it granted Dr. Doebele options to purchase 180,000 shares of Boundless Bio Common Stock under the Boundless Bio 2024 Plan. The options were granted with an exercise price of $2.23 per share and vest over a period of four years, with 25% of the options vesting on the first anniversary of Dr. Doebele’s commencement of employment with Boundless Bio, and the remaining options vesting in equal monthly installments thereafter, subject to his continuous service with Boundless Bio as of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Boundless Bio’s current NEOs are eligible to participate in its employee benefit plans, including its medical, dental, vision, disability, and life insurance plans, in each case on the same basis as all of its other employees. Boundless Bio generally does not provide perquisites or personal benefits to its NEOs, except in limited circumstances. The Boundless Bio Board of Directors may elect to adopt qualified or non-qualified benefit plans in the future if it determines that doing so is in Boundless Bio’s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NEOs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The 401(k) plan provides for discretionary matching and profit-sharing contributions. In 2025, Boundless Bio provided matching contributions equal to 25% of the first 4% of eligible contributions deferred by its employees, not to exceed 1% of an employee’s eligible compensation. The Boundless Bio Board of Directors may elect to adopt qualified or nonqualified retirement plans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maintain nonqualified defined contribution plans or other nonqualified deferred compensation plans. The Boundless Bio Board of Directors may elect to provide its officers and other employees with nonqualified defined contribution or other nonqualified deferred compensation benefits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adopted a Policy for Recovery of Erroneously Awarded Compensation (also known as a clawback policy) that is compliant with the Nasdaq listing rules, as required by the Dodd-Frank Act, and can be accessed in Boundless Bio’s Annual Report on Form 10-K for the year ended December 31, 2025 filed with the SEC on March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Award Grant Practices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had no program, plan, or practice pertaining to the timing of stock option grants to NEOs coinciding with the release of material non-public information (“MNPI”). Annual grants of stock options to employees are typically approved by Boundless Bio’s Compensation Committee or its president and chief executive officer pursuant to a delegation of authority from its Compensation Committee in the first quarter of each year as part of its annual compensation cycle. The Boundless Bio Board of Directors or Compensation Committee may also approve grants at other times as they deem appropriate. The timing of any equity grants to newly-hired employees, or in connection with promotions or other non-routine grants, is generally tied to the event giving rise to the award, although non-executive new hire stock option awards are generally approved at the beginning of the calendar month following the individual’s commencement of employment. Boundless Bio does not grant equity awards in anticipation of the release of MNPI, and it does not time the release of MNPI for the purpose of affecting the value of executive compensation. For all stock option awards, the exercise price is no less than the closing price of Boundless Bio Common Stock on the date of the grant (or if the grant date is not a trading day, then on the immediately preceding trading day). During 2025, Boundless Bio did not grant stock options, stock appreciation rights, or similar option-like instruments to its NEOs during the four business days prior to or the one business day following the filing of its periodic reports or the filing or furnishing of a Form 10-K, 10-Q, or Form 8-K that discloses MNPI.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outstanding stock options held by each of Boundless Bio’s NEOs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9"/>
        <w:gridCol w:w="120"/>
        <w:gridCol w:w="63"/>
        <w:gridCol w:w="908"/>
        <w:gridCol w:w="307"/>
        <w:gridCol w:w="60"/>
        <w:gridCol w:w="170"/>
        <w:gridCol w:w="1425"/>
        <w:gridCol w:w="60"/>
        <w:gridCol w:w="120"/>
        <w:gridCol w:w="85"/>
        <w:gridCol w:w="1135"/>
        <w:gridCol w:w="60"/>
        <w:gridCol w:w="120"/>
        <w:gridCol w:w="97"/>
        <w:gridCol w:w="1303"/>
        <w:gridCol w:w="60"/>
        <w:gridCol w:w="120"/>
        <w:gridCol w:w="97"/>
        <w:gridCol w:w="718"/>
        <w:gridCol w:w="60"/>
        <w:gridCol w:w="120"/>
        <w:gridCol w:w="113"/>
        <w:gridCol w:w="967"/>
        <w:gridCol w:w="78"/>
      </w:tblGrid>
      <w:tr>
        <w:trPr/>
        <w:tc>
          <w:tcPr>
            <w:tcW w:w="18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83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68"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8" w:type="dxa"/>
            <w:tcBorders/>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8"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Zachary D. Hornby</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6/10/2020</w:t>
            </w:r>
          </w:p>
        </w:tc>
        <w:tc>
          <w:tcPr>
            <w:tcW w:w="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6/10/2020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128,205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6/9/2030</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6/7/2021</w:t>
            </w:r>
          </w:p>
        </w:tc>
        <w:tc>
          <w:tcPr>
            <w:tcW w:w="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6/7/2021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256,410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6/6/2031</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6/13/2023</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6/13/2023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294,542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176,740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6/12/2033</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2/15/2024</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2/15/2024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117,876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139,331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2/14/2034</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3/27/2024</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3/27/2024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71,025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91,318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3/26/2034</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1/22/2025</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67,604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227,396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1/21/2035</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Doebele, M.D., Ph.D.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2/3/2025</w:t>
            </w:r>
          </w:p>
        </w:tc>
        <w:tc>
          <w:tcPr>
            <w:tcW w:w="307"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2/3/2025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2/2/2035</w:t>
            </w:r>
          </w:p>
        </w:tc>
        <w:tc>
          <w:tcPr>
            <w:tcW w:w="78"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Hassig, Ph.D.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12/3/2019</w:t>
            </w:r>
          </w:p>
        </w:tc>
        <w:tc>
          <w:tcPr>
            <w:tcW w:w="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10/28/2019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12/2/2029</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12/2/2020</w:t>
            </w:r>
          </w:p>
        </w:tc>
        <w:tc>
          <w:tcPr>
            <w:tcW w:w="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10,256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12/1/2030</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6/7/2021</w:t>
            </w:r>
          </w:p>
        </w:tc>
        <w:tc>
          <w:tcPr>
            <w:tcW w:w="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6/7/2021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62,819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6/6/2031</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6/13/2023</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6/13/2023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59,288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35,583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6/12/2033</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2/15/2024</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2/15/2024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34,910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41,262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2/14/2034</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3/27/2024</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3/27/2024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21,307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27,396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3/26/2034</w:t>
            </w:r>
          </w:p>
        </w:tc>
        <w:tc>
          <w:tcPr>
            <w:tcW w:w="78" w:type="dxa"/>
            <w:tcBorders/>
            <w:shd w:fill="CCEE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1/22/2025</w:t>
            </w:r>
          </w:p>
        </w:tc>
        <w:tc>
          <w:tcPr>
            <w:tcW w:w="307"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21,770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73,230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1/21/2035</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1/48th of the shares underlying the option vesting monthly following the vesting commencement date, subject to continued service through each vesting date, and subject to accelerated vesting in certain circumstances as described below under “Severance and Change in Control Severance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stock options reflected in the table above with an exercise price of $3.56 were repriced on August 19, 2024. As of such date, the exercise price of each repriced stock option was reduced to $3.56 per share, which was the closing price of Boundless Bio Common Stock on such date. However, if prior to the Premium End Date (as defined below), a repriced stock option is exercised or an executive’s employment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with Boundless Bio terminates for any reason other than due to a Qualifying Termination (as defined below), the exercise price per share that applied to the repriced stock option immediately prior to the repricing will apply in lieu of the reduced exercise price. The “Premium End Date” means the earliest of: (a) August 19, 2026, (b) the date immediately prior to the closing of a change in control (as defined in the Boundless Bio 2024 Plan), or (c) the date of the employee’s Qualifying Termination. A “Qualifying Termination” means (a) the involuntary termination of the executive’s employment by Boundless Bio due to a reduction in force (and other than for cause (as defined in the Boundless Bio 2024 Plan)), subject to the executive’s execution of an effective general release of claims in Boundless Bio’s favor, (b) the executive’s death, or (c) termination of the employee’s employment by Boundless Bio following the executive’s disability (as defined in the Boundless Bio 2024 Plan). Except for the reduction in the exercise prices, the repriced stock options retain their existing terms and vesting schedules. If the repriced stock options are exercised prior to the Premium End Date, the exercise prices would be as follows: options granted from December 3, 2019 to June 13, 2023, $4.10; options granted February 15, 2024, $8.19; and options granted March 27, 2024, $16.00.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25% of the shares underlying the option vesting on the one-year anniversary of the vesting commencement date and 1/48th of the shares underlying the option vesting monthly thereafter, subject to continued service through each vesting date, and subject to accelerated vesting in certain circumstances as described below under “Severance and Change in Control Severance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Boundless Bio’s NEOs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entered into employment letters with each of its NEOs, which governed certain terms of their employment with Boundless Bio and set forth their annual base salaries and target annual bonuses,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manner in which Boundless Bio’s NEOs’ employment terminates, they were entitled to receive amounts previously earned during their employment, including unpaid salary, reimbursement of expenses owed, and any continuation of benefits required by applicable law. In addition, Mr. Hornby was a “Tier 1 Covered Employee” under Boundless Bio’s Severance Plan and its other NEOs were “Tier 2 Covered Employees” under Boundless Bio’s Severance Plan,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Severance and Change in Control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Boundless Bio Board of Directors adopted a Severance and Change in Control Severance Plan (the “Severance Plan”) for the benefit of certain management-level employees of Boundless Bio or any of its subsidiaries as designated by its Compensation Committee (the “Covered Employees”), including each of Boundless Bio’s NEOs.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provides assurances of specified severance benefits to Covered Employees whose employment is subject to involuntary termination by Boundless Bio other than for Cause (as defined below) or the Covered Employee resigns for Good Reason (as defined below) under the circumstances described in the Severance Plan, including, but not limited to,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 </w:t>
      </w:r>
    </w:p>
    <w:p>
      <w:pPr>
        <w:pStyle w:val="TextBody"/>
        <w:bidi w:val="0"/>
        <w:spacing w:before="240" w:after="0"/>
        <w:jc w:val="left"/>
        <w:rPr>
          <w:rFonts w:ascii="Times New Roman" w:hAnsi="Times New Roman"/>
          <w:sz w:val="20"/>
        </w:rPr>
      </w:pPr>
      <w:r>
        <w:rPr>
          <w:rFonts w:ascii="Times New Roman" w:hAnsi="Times New Roman"/>
          <w:sz w:val="20"/>
        </w:rPr>
        <w:t xml:space="preserve">Covered Employees are classified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Tier 1 Covered Employee” means an employee of Boundless Bio who has been designated by Boundless Bio’s Compensation Committee as eligible to participate under Tier 1 in the Severance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Tier 2 Covered Employee” means an employee of Boundless Bio who has been designated by Boundless Bio’s Compensation Committee as eligible to participate under Tier 2 in the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Tier 3 Covered Employee” means an employee of Boundless Bio who has been designated by Boundless Bio’s Compensation Committee as eligible to participate under Tier 3 in the Severance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Plan, if, at any time other than during the Change in Control Period (as defined below), Boundless Bio (or any of its subsidiaries) terminates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Covered Employee’s annualized base pay (as defined in the Severance Plan) for 12 months, 9 months, or 6 months following termination in the case of a Tier 1, a Tier 2, or a Tier 3 Covered Employee, respectively, paid in a lump sum.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12 months, 9 months, or 6 months following termination in the case of a Tier 1, a Tier 2, or a Tier 3 Covered Employee,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accelerated vesting of the time-based equity compensation awards (as defined in the Severance Plan) that would have vested and become exercisable within 12 months following termination in the case of a Tier 1 Covered Employee; provided, however, that any performance-based equity compensation awards will continue to be governed by the terms of the applicable equity compensation award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Plan, if, at any time within the 12-month period following a Change in Control (the “Change in Control Period”), Boundless Bio (or any of its subsidiaries) terminates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aggregate cash amount paid in a lump sum: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1 Covered Employee, the sum of 18 months of annualized base pay and 1.5 times his or her target bonus (as defined in the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2 Covered Employee, the sum of 12 months of annualized base pay and 1.0 times his or her target bonus;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3 Covered Employee, the sum of 9 months of annualized base pay and 0.75 times his or her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18 months, 12 months, or 9 months following termination in the case of a Tier 1, a Tier 2, or a Tier 3 Covered Employee,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accelerated vesting of the Covered Employee’s time-based equity compensation awards; provided, however, that any performance-based equity compensation awards will vest assuming “target” level of performance, unless the terms of the applicable award agreement provide otherwise, in which case the applicable award agreement will govern.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Severance Plan: </w:t>
      </w:r>
    </w:p>
    <w:p>
      <w:pPr>
        <w:pStyle w:val="TextBody"/>
        <w:bidi w:val="0"/>
        <w:spacing w:before="120" w:after="0"/>
        <w:jc w:val="left"/>
        <w:rPr/>
      </w:pPr>
      <w:r>
        <w:rPr/>
        <w:t>“</w:t>
      </w:r>
      <w:r>
        <w:rPr>
          <w:rFonts w:ascii="Times New Roman" w:hAnsi="Times New Roman"/>
          <w:sz w:val="20"/>
        </w:rPr>
        <w:t xml:space="preserve">Cause” means, unless otherwise defined in a Covered Employee’s participation agreement, any of the following: (i) the Covered Employee’s commission of an act of fraud, embezzlement, or dishonesty, or the commission of some other illegal act by the Covered Employee, that has a demonstrable adverse impact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or on any of its successors or affiliates; (ii) the Covered Employee’s conviction of, or plea of “guilty” or “no contest” to, a felony or any crime involving fraud, dishonesty, or moral turpitude under the laws of the United States or any state thereof; (iii) any intentional, unauthorized use or disclosure by the Covered Employee of Boundless Bio’s confidential information or trade secrets or those of any of its successors or affiliates; (iv) the Covered Employee’s gross negligence, insubordination, or material violation of any duty of loyalty to Boundless Bio or to any of its successors or affiliates, or any other demonstrable material misconduct on the Covered Employee’s part; (v) the Covered Employee’s ongoing and repeated failure or refusal to perform or neglect of the Covered Employee’s duties as required by any offer or employment letter with Boundless Bio or the Covered Employee’s ongoing and repeated failure or refusal to comply with the lawful instructions given to him or her by Boundless Bio’s chief executive officer or, with respect to Boundless Bio’s chief executive officer, the Boundless Bio Board of Directors, which failure, refusal, or neglect continues for 15 days following receipt of written notice from the Boundless Bio Board of Directors stating with specificity the nature of such failure, refusal, or neglect; or (vi) the Covered Employee’s willful, material breach of any of Boundless Bio’s policies or any material provision of any offer or employment letter or any confidential information agreement, proprietary information and inventions agreement. Prior to the determination that “Cause” under clauses (iv), (v) or (vi) has occurred, Boundless Bio shall (A) provide to the Covered Employee in writing, in reasonable detail, the reasons for the determination that such “Cause” exists, (B) afford the Covered Employee a reasonable opportunity to remedy any such conditions, if capable of being cured, (C) provide the Covered Employee an opportunity to be heard prior to the final decision to terminate his or her employment hereunder for such “Cause” and (D) make any decision that such “Cause” exists in good faith. </w:t>
      </w:r>
    </w:p>
    <w:p>
      <w:pPr>
        <w:pStyle w:val="TextBody"/>
        <w:bidi w:val="0"/>
        <w:spacing w:before="240" w:after="0"/>
        <w:jc w:val="left"/>
        <w:rPr/>
      </w:pPr>
      <w:r>
        <w:rPr/>
        <w:t>“</w:t>
      </w:r>
      <w:r>
        <w:rPr>
          <w:rFonts w:ascii="Times New Roman" w:hAnsi="Times New Roman"/>
          <w:sz w:val="20"/>
        </w:rPr>
        <w:t xml:space="preserve">Change in Control” has the same meaning as set forth in the Boundless Bio 2024 Plan. </w:t>
      </w:r>
    </w:p>
    <w:p>
      <w:pPr>
        <w:pStyle w:val="TextBody"/>
        <w:bidi w:val="0"/>
        <w:spacing w:before="240" w:after="0"/>
        <w:jc w:val="left"/>
        <w:rPr/>
      </w:pPr>
      <w:r>
        <w:rPr/>
        <w:t>“</w:t>
      </w:r>
      <w:r>
        <w:rPr>
          <w:rFonts w:ascii="Times New Roman" w:hAnsi="Times New Roman"/>
          <w:sz w:val="20"/>
        </w:rPr>
        <w:t xml:space="preserve">Good Reason” means, unless otherwise defined in a Covered Employee’s Participation Agreement, the occurrence of any of the following events or conditions without a Covered Employee’s written consent: (i) a material diminution in the Covered Employee’s authority, duties, or responsibilities; (ii) a material diminution in the Covered Employee’s base compensation, unless such a reduction is imposed across-the-board to all Boundless Bio’s senior management; (iii) a material change in the geographic location at which the Covered Employee must perform his or her duties from the location that was designated as the Covered Employee’s primary location immediately prior to such change (and he or she and Boundless Bio agree that a change of more than 35 miles shall be material for this purpose); or (iv) any other action or inaction that constitutes a material breach by Boundless Bio or by any of its successors or affiliates of Boundless Bio’s or their obligations to the Covered Employee under any agreement between the Covered Employee and Boundless Bio or any of its affiliates. The Covered Employee must provide written notice to Boundless Bio of the occurrence of any of the foregoing events or conditions without his or her written consent within 60 days of the occurrence of such event. Boundless Bio or any of its successors or affiliates shall have a period of 30 days to cure such event or condition after receipt of written notice of such event. The Covered Employee’s termination of employment by reason of resignation from employment with Boundless Bio for Good Reason must occur within 30 days following the expiration of the foregoing 30-day cure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Transitions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Merger, effective July 1, 2026, Zachary D. Hornby ceased his role as President and Chief Executive Officer, and as a member of the Boundless Bio Board of Directors, Christian Hassig, Ph.D., ceased his role as Boundless Bio’s Chief Scientific Officer, and Robert Doebele, M.D., Ph.D., ceased his role as Boundless Bio’s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Hornby’s departure, effective July 1, 2026, Jessica Oien, Boundless Bio’s Chief Legal Officer and Corporate Secretary, was appointed to serve as Boundless Bio’s President and “principal executive officer,” in addition to maintaining her current responsibilities as Chief Legal Officer and Corporate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description of the separation agreements entered into with each of Mr. Hornby and Drs. Hassig and Doebele in connection with their terminations of employment, see “Interests of Boundless Bio’s Directors and Executive Officers in the Merger — Separation Agreements and Consulting Agreements with Zachary D. Hornby, Robert Doebele, M.D., Ph.D. and Christian Hassig, Ph.D.”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x108148_14"/>
      <w:bookmarkEnd w:id="48"/>
      <w:r>
        <w:rPr>
          <w:rFonts w:ascii="Times New Roman" w:hAnsi="Times New Roman"/>
          <w:b/>
          <w:sz w:val="20"/>
        </w:rPr>
        <w:t xml:space="preserve">BOUNDLESS BIO NON-EMPLOYEE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director compensation program is intended to provide a total compensation package that enables it to attract and retain qualified and experienced individuals to serve as directors and to align Boundless Bio’s directors’ interests with those of its stockholders. Mr. Hornby, Boundless Bio’s former president and chief executive officer, did not receive compensation for his service on the Boundless Bio Board of Directors. Boundless Bio has reimbursed, and will continue to reimburse, its non-employee directors for their actual out-of-pocket costs and expenses incurred in connection with attending board and committee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Effective June 20, 2024, the Boundless Bio Board of Directors adopted an amended and restated non-employee director compensation program (the “June 2024 Director Compensation Program”), which provided for annual retainer fees and/or long-term equity awards for its non-employee directors. Under the June 2024 Director Compensation Program, each non-employee director received an annual retainer of $40,000, and the chairman of the Boundless Bio Board of Directors and/or lead independent director received an additional $30,000. Non-employee directors serving as the chairs of Boundless Bio’s Audit, Compensation, and Nominating and Corporate Governance Committees received additional annual retainers of $15,000, $10,000, and $8,000, respectively. Non-employee directors serving as members of Boundless Bio’s Audit, Compensation, and Nominating and Corporate Governance Committees received additional annual retainers of $7,500, $5,000, and $4,000,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received an initial grant of options to purchase 27,000 shares of Boundless Bio Common Stock, vesting in substantially equal monthly installments over three years, upon election to the Boundless Bio Board of Directors (the “Initial Director Award”), and thereafter annual grants of options to purchase 13,500 shares of Boundless Bio Common Stock, vesting in substantially equal monthly installments over the 12 months following the date of grant (or, in the event the next annual meeting of Boundless Bio’s stockholders occurs prior to the first anniversary of the date of grant, any remaining unvested portion of the annual award will vest on the date of such annual meeting of Boundless Bio’s stockholders) (the “Annual Director Award”). In addition, any non-employee director who serves as chairman of the Boundless Bio Board of Directors was eligible to be automatically granted additional stock options to purchase 6,750 shares of Boundless Bio Common Stock on the date of each of Boundless Bio’s annual meeting of stockholders, which award vests in substantially equal monthly installments over the 12 months following the date of grant (or, in the event the next annual meeting of Boundless Bio’s stockholders occurs prior to the first anniversary of the date of grant, any remaining unvested portion of the annual award vests on the date of such annual meeting of Boundless Bio’s stockholders) (the “Chair Award”). </w:t>
      </w:r>
    </w:p>
    <w:p>
      <w:pPr>
        <w:pStyle w:val="TextBody"/>
        <w:bidi w:val="0"/>
        <w:spacing w:before="240" w:after="0"/>
        <w:jc w:val="left"/>
        <w:rPr>
          <w:rFonts w:ascii="Times New Roman" w:hAnsi="Times New Roman"/>
          <w:sz w:val="20"/>
        </w:rPr>
      </w:pPr>
      <w:r>
        <w:rPr>
          <w:rFonts w:ascii="Times New Roman" w:hAnsi="Times New Roman"/>
          <w:sz w:val="20"/>
        </w:rPr>
        <w:t xml:space="preserve">Effective March 27, 2025, the Boundless Bio Board of Directors adopted an amended and restated non-employee director compensation program (the “March 2025 Director Compensation Program”), pursuant to which each non-employee director was eligible to receive the same annual retainer fees and/or long-term equity awards as set forth in the June 2024 Director Compensation Program, except that (i) the Initial Director Award was increased from 27,000 options to 32,000 options, (ii) the Annual Director Award was increased from 13,500 options to 16,000 options, and (iii) the Chair Award was increased from 6,750 options to 8,000 options.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March 6, 2026, the Boundless Bio Board of Directors adopted an amended and restated non-employee director compensation program, pursuant to which each non-employee director will receive the same annual retainer fees and/or long-term equity awards as set forth in the March 2025 Director Compensation Program, except that (i) the annual retainer of the chair and each member of the Compensation Committee was increased from $10,000 to $12,000 and from $5,000 to $6,000, respectively, and (ii) the annual retainer of the chair and each member of the Nominating and Corporate Governance Committee was increased from $8,000 to $10,000 and from $4,000 to $5,000, respectively. In addition, the Annual Director Award and Chair Award for 2026 were increased, on a one-time basis, to 32,000 and 16,000,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under Boundless Bio’s non-employee director compensation program is subject to the annual limits on non-employee director compensation set forth in the Boundless Bio 2024 Plan, which limits do not apply to any non-employee director who serves in any additional capacity with Boundless Bio for which he or she receives compensation. As provided in the Boundless Bio 2024 Plan, the Boundless Bio Board of Directors or its authorized committee may make exceptions to this limit for individual non-employee directors as the Boundless Bio Board of Directors or its authorized committee may determine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Awards to Boundless Bio’s non-employee directors will also vest in the event of a change in control or upon a non-employee director’s death or disability. </w:t>
      </w:r>
    </w:p>
    <w:p>
      <w:pPr>
        <w:pStyle w:val="TextBody"/>
        <w:bidi w:val="0"/>
        <w:spacing w:before="360" w:after="0"/>
        <w:jc w:val="left"/>
        <w:rPr>
          <w:rFonts w:ascii="Times New Roman" w:hAnsi="Times New Roman"/>
          <w:b/>
          <w:sz w:val="20"/>
        </w:rPr>
      </w:pPr>
      <w:r>
        <w:rPr>
          <w:rFonts w:ascii="Times New Roman" w:hAnsi="Times New Roman"/>
          <w:b/>
          <w:sz w:val="20"/>
        </w:rPr>
        <w:t xml:space="preserve">2025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received by Boundless Bio’s non-employee directors during the year ended December 31, 2025. </w:t>
      </w:r>
    </w:p>
    <w:p>
      <w:pPr>
        <w:pStyle w:val="TextBody"/>
        <w:bidi w:val="0"/>
        <w:spacing w:before="0" w:after="0"/>
        <w:jc w:val="left"/>
        <w:rPr/>
      </w:pPr>
      <w:r>
        <w:rPr/>
        <w:t> </w:t>
      </w:r>
    </w:p>
    <w:tbl>
      <w:tblPr>
        <w:tblW w:w="6954" w:type="dxa"/>
        <w:jc w:val="left"/>
        <w:tblInd w:w="0" w:type="dxa"/>
        <w:tblLayout w:type="fixed"/>
        <w:tblCellMar>
          <w:top w:w="0" w:type="dxa"/>
          <w:left w:w="0" w:type="dxa"/>
          <w:bottom w:w="0" w:type="dxa"/>
          <w:right w:w="0" w:type="dxa"/>
        </w:tblCellMar>
      </w:tblPr>
      <w:tblGrid>
        <w:gridCol w:w="2420"/>
        <w:gridCol w:w="120"/>
        <w:gridCol w:w="61"/>
        <w:gridCol w:w="693"/>
        <w:gridCol w:w="60"/>
        <w:gridCol w:w="120"/>
        <w:gridCol w:w="62"/>
        <w:gridCol w:w="708"/>
        <w:gridCol w:w="60"/>
        <w:gridCol w:w="120"/>
        <w:gridCol w:w="265"/>
        <w:gridCol w:w="1150"/>
        <w:gridCol w:w="60"/>
        <w:gridCol w:w="120"/>
        <w:gridCol w:w="60"/>
        <w:gridCol w:w="800"/>
        <w:gridCol w:w="75"/>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w:t>
              <w:br/>
              <w:t>or paid</w:t>
              <w:br/>
              <w:t>in cash</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E. Lim, M.D. (2)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87,500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19,577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107,077</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Brennan, Ph.D. (3)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55,500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13,051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68,551</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Kristina Burow (4)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49,000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13,051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62,051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Christensen, Ph.D. (5)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13,051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58,051</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Lew (6)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13,051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73,051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Whiting, Pharm. D. (7)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44,000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13,051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57,051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stock options to purchase shares of Boundless Bio Common Stock computed in accordance with ASC 718. For a description of the assumptions used in calculating the grant date fair value of the awards reported in this column, see Notes 2 and 10 to Boundless Bio’s financial statements included in its Annual Report on Form 10-K for the year ended December 31, 2025 filed with the SEC on March 9, 2026. </w:t>
            </w:r>
          </w:p>
        </w:tc>
      </w:tr>
    </w:tbl>
    <w:tbl>
      <w:tblPr>
        <w:tblW w:w="7705" w:type="dxa"/>
        <w:jc w:val="left"/>
        <w:tblInd w:w="0" w:type="dxa"/>
        <w:tblLayout w:type="fixed"/>
        <w:tblCellMar>
          <w:top w:w="0" w:type="dxa"/>
          <w:left w:w="0" w:type="dxa"/>
          <w:bottom w:w="0" w:type="dxa"/>
          <w:right w:w="0" w:type="dxa"/>
        </w:tblCellMar>
      </w:tblPr>
      <w:tblGrid>
        <w:gridCol w:w="305"/>
        <w:gridCol w:w="7400"/>
      </w:tblGrid>
      <w:tr>
        <w:trPr/>
        <w:tc>
          <w:tcPr>
            <w:tcW w:w="305" w:type="dxa"/>
            <w:tcBorders/>
            <w:vAlign w:val="center"/>
          </w:tcPr>
          <w:p>
            <w:pPr>
              <w:pStyle w:val="TableContents"/>
              <w:bidi w:val="0"/>
              <w:spacing w:before="0" w:after="283"/>
              <w:jc w:val="left"/>
              <w:rPr/>
            </w:pPr>
            <w:r>
              <w:rPr/>
              <w:t>(2)</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Lim held outstanding option awards covering 85,366 shares.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March 3, 2026, Dr. Brennan resigned from the Boundless Bio Board of Directors. As of December 31, 2025, Dr. Brennan held outstanding option awards covering 42,438 shares.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Burow did not stand for re-election at the 2026 annual meeting of Boundless Bio’s stockholders and ceased to serve on the Boundless Bio Board of Directors effective June 15, 2026. As of December 31, 2025, Ms. Burow held outstanding option awards covering 42,438 shares. </w:t>
            </w:r>
          </w:p>
        </w:tc>
      </w:tr>
    </w:tbl>
    <w:tbl>
      <w:tblPr>
        <w:tblW w:w="8335" w:type="dxa"/>
        <w:jc w:val="left"/>
        <w:tblInd w:w="0" w:type="dxa"/>
        <w:tblLayout w:type="fixed"/>
        <w:tblCellMar>
          <w:top w:w="0" w:type="dxa"/>
          <w:left w:w="0" w:type="dxa"/>
          <w:bottom w:w="0" w:type="dxa"/>
          <w:right w:w="0" w:type="dxa"/>
        </w:tblCellMar>
      </w:tblPr>
      <w:tblGrid>
        <w:gridCol w:w="305"/>
        <w:gridCol w:w="8030"/>
      </w:tblGrid>
      <w:tr>
        <w:trPr/>
        <w:tc>
          <w:tcPr>
            <w:tcW w:w="305" w:type="dxa"/>
            <w:tcBorders/>
            <w:vAlign w:val="center"/>
          </w:tcPr>
          <w:p>
            <w:pPr>
              <w:pStyle w:val="TableContents"/>
              <w:bidi w:val="0"/>
              <w:spacing w:before="0" w:after="283"/>
              <w:jc w:val="left"/>
              <w:rPr/>
            </w:pPr>
            <w:r>
              <w:rPr/>
              <w:t>(5)</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Christensen held outstanding option awards covering 70,756 shares. </w:t>
            </w:r>
          </w:p>
        </w:tc>
      </w:tr>
    </w:tbl>
    <w:tbl>
      <w:tblPr>
        <w:tblW w:w="7780" w:type="dxa"/>
        <w:jc w:val="left"/>
        <w:tblInd w:w="0" w:type="dxa"/>
        <w:tblLayout w:type="fixed"/>
        <w:tblCellMar>
          <w:top w:w="0" w:type="dxa"/>
          <w:left w:w="0" w:type="dxa"/>
          <w:bottom w:w="0" w:type="dxa"/>
          <w:right w:w="0" w:type="dxa"/>
        </w:tblCellMar>
      </w:tblPr>
      <w:tblGrid>
        <w:gridCol w:w="305"/>
        <w:gridCol w:w="7475"/>
      </w:tblGrid>
      <w:tr>
        <w:trPr/>
        <w:tc>
          <w:tcPr>
            <w:tcW w:w="305" w:type="dxa"/>
            <w:tcBorders/>
            <w:vAlign w:val="center"/>
          </w:tcPr>
          <w:p>
            <w:pPr>
              <w:pStyle w:val="TableContents"/>
              <w:bidi w:val="0"/>
              <w:spacing w:before="0" w:after="283"/>
              <w:jc w:val="left"/>
              <w:rPr/>
            </w:pPr>
            <w:r>
              <w:rPr/>
              <w:t>(6)</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Ms. Lew held outstanding option awards covering 70,756 shares. </w:t>
            </w:r>
          </w:p>
        </w:tc>
      </w:tr>
    </w:tbl>
    <w:tbl>
      <w:tblPr>
        <w:tblW w:w="8050" w:type="dxa"/>
        <w:jc w:val="left"/>
        <w:tblInd w:w="0" w:type="dxa"/>
        <w:tblLayout w:type="fixed"/>
        <w:tblCellMar>
          <w:top w:w="0" w:type="dxa"/>
          <w:left w:w="0" w:type="dxa"/>
          <w:bottom w:w="0" w:type="dxa"/>
          <w:right w:w="0" w:type="dxa"/>
        </w:tblCellMar>
      </w:tblPr>
      <w:tblGrid>
        <w:gridCol w:w="305"/>
        <w:gridCol w:w="7745"/>
      </w:tblGrid>
      <w:tr>
        <w:trPr/>
        <w:tc>
          <w:tcPr>
            <w:tcW w:w="305" w:type="dxa"/>
            <w:tcBorders/>
            <w:vAlign w:val="center"/>
          </w:tcPr>
          <w:p>
            <w:pPr>
              <w:pStyle w:val="TableContents"/>
              <w:bidi w:val="0"/>
              <w:spacing w:before="0" w:after="283"/>
              <w:jc w:val="left"/>
              <w:rPr/>
            </w:pPr>
            <w:r>
              <w:rPr/>
              <w:t>(7)</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Dr. Whiting held outstanding option awards covering 70,756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x108148_15"/>
      <w:bookmarkEnd w:id="49"/>
      <w:r>
        <w:rPr>
          <w:rFonts w:ascii="Times New Roman" w:hAnsi="Times New Roman"/>
          <w:b/>
          <w:sz w:val="20"/>
        </w:rPr>
        <w:t xml:space="preserve">BOUNDLESS BIO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shares of Boundless Bio Common Stock that may be issued under its existing equity compensation plans. </w:t>
      </w:r>
    </w:p>
    <w:p>
      <w:pPr>
        <w:pStyle w:val="TextBody"/>
        <w:bidi w:val="0"/>
        <w:spacing w:before="0" w:after="0"/>
        <w:jc w:val="left"/>
        <w:rPr/>
      </w:pPr>
      <w:r>
        <w:rPr/>
        <w:t> </w:t>
      </w:r>
    </w:p>
    <w:tbl>
      <w:tblPr>
        <w:tblW w:w="10130" w:type="dxa"/>
        <w:jc w:val="left"/>
        <w:tblInd w:w="0" w:type="dxa"/>
        <w:tblLayout w:type="fixed"/>
        <w:tblCellMar>
          <w:top w:w="0" w:type="dxa"/>
          <w:left w:w="0" w:type="dxa"/>
          <w:bottom w:w="0" w:type="dxa"/>
          <w:right w:w="0" w:type="dxa"/>
        </w:tblCellMar>
      </w:tblPr>
      <w:tblGrid>
        <w:gridCol w:w="4970"/>
        <w:gridCol w:w="120"/>
        <w:gridCol w:w="70"/>
        <w:gridCol w:w="1150"/>
        <w:gridCol w:w="350"/>
        <w:gridCol w:w="60"/>
        <w:gridCol w:w="294"/>
        <w:gridCol w:w="926"/>
        <w:gridCol w:w="350"/>
        <w:gridCol w:w="60"/>
        <w:gridCol w:w="81"/>
        <w:gridCol w:w="1334"/>
        <w:gridCol w:w="36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to be issued</w:t>
              <w:br/>
              <w:t>upon the</w:t>
              <w:br/>
              <w:t>exercise of</w:t>
              <w:br/>
              <w:t>outstanding</w:t>
              <w:br/>
              <w:t>options,</w:t>
              <w:br/>
              <w:t>warrants</w:t>
              <w:br/>
              <w:t>and rights</w:t>
              <w:br/>
              <w:t>(a)</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warrants</w:t>
              <w:br/>
              <w:t>and rights</w:t>
              <w:br/>
              <w:t>(b)</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column(a))</w:t>
              <w:br/>
              <w:t>(c)</w:t>
            </w:r>
          </w:p>
        </w:tc>
        <w:tc>
          <w:tcPr>
            <w:tcW w:w="36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4,234,043</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5.22</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3,650,846</w:t>
            </w:r>
          </w:p>
        </w:tc>
        <w:tc>
          <w:tcPr>
            <w:tcW w:w="365" w:type="dxa"/>
            <w:tcBorders/>
            <w:shd w:fill="CCEEFF" w:val="clear"/>
            <w:vAlign w:val="center"/>
          </w:tcPr>
          <w:p>
            <w:pPr>
              <w:pStyle w:val="TableContents"/>
              <w:bidi w:val="0"/>
              <w:spacing w:before="0" w:after="283"/>
              <w:jc w:val="left"/>
              <w:rPr/>
            </w:pPr>
            <w:r>
              <w:rPr/>
              <w:t>(3)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4,234,043</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5.22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3,650,846</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outstanding option awards as of December 31, 2025 issued under the Boundless Bio 2018 Plan and Boundless Bio 2024 Plan. </w:t>
            </w:r>
          </w:p>
        </w:tc>
      </w:tr>
    </w:tbl>
    <w:tbl>
      <w:tblPr>
        <w:tblW w:w="6145" w:type="dxa"/>
        <w:jc w:val="left"/>
        <w:tblInd w:w="0" w:type="dxa"/>
        <w:tblLayout w:type="fixed"/>
        <w:tblCellMar>
          <w:top w:w="0" w:type="dxa"/>
          <w:left w:w="0" w:type="dxa"/>
          <w:bottom w:w="0" w:type="dxa"/>
          <w:right w:w="0" w:type="dxa"/>
        </w:tblCellMar>
      </w:tblPr>
      <w:tblGrid>
        <w:gridCol w:w="305"/>
        <w:gridCol w:w="5840"/>
      </w:tblGrid>
      <w:tr>
        <w:trPr/>
        <w:tc>
          <w:tcPr>
            <w:tcW w:w="305" w:type="dxa"/>
            <w:tcBorders/>
            <w:vAlign w:val="center"/>
          </w:tcPr>
          <w:p>
            <w:pPr>
              <w:pStyle w:val="TableContents"/>
              <w:bidi w:val="0"/>
              <w:spacing w:before="0" w:after="283"/>
              <w:jc w:val="left"/>
              <w:rPr/>
            </w:pPr>
            <w:r>
              <w:rPr/>
              <w:t>(2)</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exercise price of outstanding options.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3,347,667 shares of Boundless Bio Common Stock available for issuance under the Boundless Bio 2024 Plan and 303,179 shares of Boundless Bio Common Stock available for issuance under the Boundless Bio ESPP (all of which were eligible for purchase pursuant to the offering period in effect on December 31, 2025). This amount does not include any additional shares that may become available for future issuance under the Boundless Bio 2024 Plan pursuant to the automatic increase to the share reserve on January 1 of each of Boundless Bio’s calendar years through 2034 by the number of shares equal to the lesser of (i) 5% of the total outstanding shares of Boundless Bio Common Stock as of the immediately preceding December 31, and (ii) such smaller number of shares as is determined by the Boundless Bio Board of Directors. Additionally, this amount does not include any additional shares that may become available for future issuance under the Boundless Bio ESPP pursuant to the automatic increase to the share reserve on January 1 of each of Boundless Bio’s calendar years through 2034 by the number of shares equal to the lesser of (i) 1% of the total outstanding shares of Boundless Bio Common Stock as of the immediately preceding December 31 and (ii) such smaller number of shares as determined by the Boundless Bio Board of Directors. On January 1, 2026, pursuant to the respective automatic increase provisions of the Boundless Bio 2024 Plan and the Boundless Bio ESPP, 1,120,362 additional shares and 224,072 additional shares became available for issuance under the Boundless Bio 2024 Plan and the Boundless Bio ESPP,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x108148_16"/>
      <w:bookmarkEnd w:id="50"/>
      <w:r>
        <w:rPr>
          <w:rFonts w:ascii="Times New Roman" w:hAnsi="Times New Roman"/>
          <w:b/>
          <w:sz w:val="20"/>
        </w:rPr>
        <w:t xml:space="preserve">SERAPHA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certain executive officers of Serapha will become executive officers of the Combined Company. Serapha was not formed until April 2026, and Serapha’s executive officers before the Merger included Kenneth Mills, its Chief Executive Officer, and Daphne Karydas, its President and Chief Financial Officer. As such, this section sets forth the current compensatory arrangements for the following executive officers of Serapha, each of whom is expected to become an executive officer of the Combined Company. </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1640"/>
        <w:gridCol w:w="120"/>
        <w:gridCol w:w="3545"/>
        <w:gridCol w:w="120"/>
        <w:gridCol w:w="158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Appointment Date</w:t>
            </w:r>
          </w:p>
        </w:tc>
      </w:tr>
      <w:tr>
        <w:trPr/>
        <w:tc>
          <w:tcPr>
            <w:tcW w:w="1640" w:type="dxa"/>
            <w:tcBorders/>
            <w:vAlign w:val="center"/>
          </w:tcPr>
          <w:p>
            <w:pPr>
              <w:pStyle w:val="TableContents"/>
              <w:bidi w:val="0"/>
              <w:spacing w:before="0" w:after="283"/>
              <w:jc w:val="left"/>
              <w:rPr/>
            </w:pPr>
            <w:r>
              <w:rPr/>
              <w:t>Kenneth Mills</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August 2026</w:t>
            </w:r>
          </w:p>
        </w:tc>
      </w:tr>
      <w:tr>
        <w:trPr/>
        <w:tc>
          <w:tcPr>
            <w:tcW w:w="1640" w:type="dxa"/>
            <w:tcBorders/>
            <w:vAlign w:val="center"/>
          </w:tcPr>
          <w:p>
            <w:pPr>
              <w:pStyle w:val="TableContents"/>
              <w:bidi w:val="0"/>
              <w:spacing w:before="0" w:after="283"/>
              <w:jc w:val="left"/>
              <w:rPr/>
            </w:pPr>
            <w:r>
              <w:rPr/>
              <w:t>Daphne Karydas</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President and Chief Financial Officer</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September 2026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 with Mr. Mills </w:t>
      </w:r>
    </w:p>
    <w:p>
      <w:pPr>
        <w:pStyle w:val="TextBody"/>
        <w:bidi w:val="0"/>
        <w:spacing w:before="120" w:after="0"/>
        <w:jc w:val="left"/>
        <w:rPr>
          <w:rFonts w:ascii="Times New Roman" w:hAnsi="Times New Roman"/>
          <w:sz w:val="20"/>
        </w:rPr>
      </w:pPr>
      <w:r>
        <w:rPr>
          <w:rFonts w:ascii="Times New Roman" w:hAnsi="Times New Roman"/>
          <w:sz w:val="20"/>
        </w:rPr>
        <w:t xml:space="preserve">Serapha and Mr. Mills are party to an employment letter agreement, pursuant to which Mr. Mills is entitled to receive an annual base salary of $615,000 and a target annual bonus of 55% of his base salary, which will not be pro-rated for 2026 based on the date he commenced employment with Serapha. The agreement also provides for an equity grant representing 5% of the fully diluted capitalization of Serapha, of which approximately two-thirds will be granted as stock options to purchase shares of Serapha Common Stock and one-third will be granted as restricted stock units, and which will vest as to 25% of the equity grant on the first anniversary of his employment date, and then in equal monthly installments thereafter. Mr. Mills was also eligible to receive up to $20,000 in reimbursements for legal and advisory expenses incurred in negotiating the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Mills’s termination by Serapha without “Cause” or his resignation for “Good Reason,” Mr. Mills is eligible for the following severance benefits: (i) a severance payment equal to 12 months of his base salary plus his target bonus, (ii) a pro-rated annual bonus for the year of termination, (iii) all then-vested equity awards, plus an additional 25% of his then-unvested equity awards, will immediately vest and, if applicable, become exercisable as of the date of termination and will remain exercisable through the date that is 12 months following the date of termination, and (iv) 12 months of payments for or reimbursements of the employer portion of COBRA premium payments. If Mr. Mills is terminated by Serapha without Cause or resigns for Good Reason within 3 months before or 12 months following a “Change in Control,” he will receive the following severance benefits: (i) a severance payment equal to 18 months of his base salary plus 1.5 times his target bonus, (ii) a pro-rated annual bonus for the year of termination, (iii) all then-vested equity awards, plus all then-unvested equity awards will immediately vest and, if applicable, become exercisable as of the date of termination and will remain exercisable through the date that is 12 months following the date of termination, and (iv) 18 months of payments for or reimbursements of the employer portion of COBRA premium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 with Ms. Karydas </w:t>
      </w:r>
    </w:p>
    <w:p>
      <w:pPr>
        <w:pStyle w:val="TextBody"/>
        <w:bidi w:val="0"/>
        <w:spacing w:before="120" w:after="0"/>
        <w:jc w:val="left"/>
        <w:rPr>
          <w:rFonts w:ascii="Times New Roman" w:hAnsi="Times New Roman"/>
          <w:sz w:val="20"/>
        </w:rPr>
      </w:pPr>
      <w:r>
        <w:rPr>
          <w:rFonts w:ascii="Times New Roman" w:hAnsi="Times New Roman"/>
          <w:sz w:val="20"/>
        </w:rPr>
        <w:t xml:space="preserve">Serapha and Ms. Karydas are party to an employment letter agreement, pursuant to which Ms. Karydas is entitled to receive an annual base salary of $575,000 and a target annual bonus of 45% of her base salary. The agreement also provides for an equity grant representing 2.5% of the fully diluted capitalization of Serapha, of which approximately two-thirds will be granted as stock options to purchase shares of Serapha Common Stock and one-third will be granted as restricted stock units, and which will vest as to 25% of the equity grant on the first anniversary of her employment date, and then in equal monthly installments thereafter. Ms. Karydas will receive reimbursements for the cost of maintaining coverage under her then-current healthcare plan for up to 12 months following her employment start date. Ms. Karydas was also eligible to receive up to $10,000 in reimbursements for legal expenses incurred in negotiating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Ms. Karydas’s termination by Serapha without “Cause” or her resignation for “Good Reason,” Ms. Karydas is eligible for the following severance benefits: (i) a severance payment equal to 12 months of her base salary plus her target bonus, (ii) a pro-rated annual bonus for the year of termination, (iii) all then-vested equity awards, plus an additional 25% of her then-unvested equity awards, will immediately vest and, if applicable, become exercisable as of the date of termination and will remain exercisable through the date that is 12 months following the date of termination, and (iv) 12 months of payments for or reimbursements of the employer portion of COBRA premium payments. If Ms. Karydas is terminated by Serapha without Cause or resigns for Good Reason within 3 months before or 12 months following a “Change in Control,” she will receive the following severance benefits: (i) a severance payment equal to 18 months of her base salary plus 1.5 times her target bonus, (ii) a pro-rated annual bonus for the year of termination, (iii) all then-vested equity awards, plus all then-unvested equity awards will immediately vest and, if applicable, become exercisable as of the date of termination and will remain exercisable through the date that is 12 months following the date of termination, and (iv) 18 months of payments for or reimbursements of the employer portion of COBRA premium payments.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Mr. Mills’s and Ms. Karydas’s employment letter agreements: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generally means (i) his or her gross negligence or willful misconduct in connection with the performance of his or her duties that is materially detrimental to Serapha, and is not cured, if curable, within 30 days of notice, (ii) his or her conviction or entry of a plea of nolo contendere for dishonesty, fraud, or embezzlement, or any other felony or crime of moral turpitude, (iii) his or her material violation of any material provision of any agreement(s) between him or her and Serapha or any written Serapha policies, which is not cured, if curable, within 30 days of such notice, or (iv) the insolvency or dissolution of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Change in Control” generally occurs if (i) an unaffiliated individual or entity acquires 50% or more of the ownership and voting interest in Serapha, (ii) there is a merger, acquisition or similar transaction involving Serapha that results in the voting securities of Serapha outstanding immediately prior thereto ceasing to represent at least 50% of the combined voting power of the surviving entity immediately thereafter, or (iii) there is a sale of all or substantially all of Serapha’s assets, subject to certain exceptions. The Merger does not constitute a Change in Control for this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Good Reason” generally means (i) a material, adverse change in title, reduction in authority, reporting relationship, or duties; (ii) a relocation of his or her principal worksite by more than 50 miles; (iii) a material reduction in his or her base salary or target bonus percentage; or (iv) a material breach by Serapha of any of its obligations under any agreement between Serapha and the employee, in each case, subject to standard notice and cure provisions.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Description of the Serapha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Serapha maintains the Serapha Equity Incentive Plan, the purpose of which is to advance the interests of Serapha’s stockholders by enhancing Serapha’s ability to attract, retain and motivate persons who are expected to make important contributions to Serapha and by providing such persons with equity ownership opportunities and performance-based incentives that are intended to better align the interests of such persons with those of Serapha’s stockholders. The Serapha Equity Incentive Plan provides for the issuance of up to 10,278,705 shares of Serapha Common Stock, which may be granted as stock options, restricted stock, restricted stock units and other stock-based awards to eligible employees, officers, directors, consultants and advisors of Serapha on such terms and conditions as approved by the Serapha Board of Directors or any committee appointed by the Serapha Board of Directors to administer the Serapha Equity Incentive Plan. No grants will be made under the Serapha Equity Incentive Plan following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x108148_17"/>
      <w:bookmarkEnd w:id="51"/>
      <w:r>
        <w:rPr>
          <w:rFonts w:ascii="Times New Roman" w:hAnsi="Times New Roman"/>
          <w:b/>
          <w:sz w:val="20"/>
        </w:rPr>
        <w:t xml:space="preserve">SERAPHA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 directors of Serapha received any compensation prior to the closing of the Merger. The following individuals were appointed to the Serapha board of directors on June 22, 2026: Piratip Pratumsuwan, Paul Lu, Laura Tadvalkar, Matt Hammond and Victor Tong. Alice Lee served as a director of Serapha from April 2026 until June 22, 2026.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Combined Company will implement a non-employee director compensation program that is expected to include an annual cash retainer and annual equity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x108148_18"/>
      <w:bookmarkEnd w:id="52"/>
      <w:r>
        <w:rPr>
          <w:rFonts w:ascii="Times New Roman" w:hAnsi="Times New Roman"/>
          <w:b/>
          <w:sz w:val="20"/>
        </w:rPr>
        <w:t xml:space="preserve">MATTERS BEING SUBMITTED TO A VOTE OF BOUNDLESS BIO STOCKHOLDERS </w:t>
      </w:r>
    </w:p>
    <w:p>
      <w:pPr>
        <w:pStyle w:val="TextBody"/>
        <w:bidi w:val="0"/>
        <w:spacing w:before="120" w:after="0"/>
        <w:jc w:val="center"/>
        <w:rPr>
          <w:rFonts w:ascii="Times New Roman" w:hAnsi="Times New Roman"/>
          <w:b/>
          <w:sz w:val="20"/>
        </w:rPr>
      </w:pPr>
      <w:bookmarkStart w:id="53" w:name="tx108148_19"/>
      <w:bookmarkEnd w:id="53"/>
      <w:r>
        <w:rPr>
          <w:rFonts w:ascii="Times New Roman" w:hAnsi="Times New Roman"/>
          <w:b/>
          <w:sz w:val="20"/>
        </w:rPr>
        <w:t xml:space="preserve">PROPOSAL NO. 1 - THE NASDAQ STOCK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stockholders will be asked to approve the issuance of shares of Boundless Bio Common Stock (including the shares of Boundless Bio Common Stock issuable upon exercise of the Assumed Warrants and the Boundless Bio Pre-Funded Warrants) to stockholders of Serapha pursuant to the terms of the Merger Agreement, which will (i) represent more than 20% of the shares of Boundless Bio Common Stock outstanding immediately prior to the Merger under Nasdaq Listing Rule 5635(a), and (ii) result in a change of control under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3.8% of the outstanding shares of capital stock of the Combined Company on a fully-diluted basis and former holders of Serapha securities are expected to own approximately 96.2% of the outstanding shares of capital stock of the Combined Company on a fully-diluted basis, subject to certain assumptions, including, but not limited to, Boundless Bio Net Cash at Closing being $0.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assume outstanding and unexercised (as applicable) Serapha Options, Serapha RSUs and Serapha Warrants, and such securities will be converted into Assumed Options, Assumed RSUs and Assumed Warrants,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Effective Time, Boundless Bio expects to declare the Boundless Bio Pre-Closing Dividend to the pre-Merger Boundless Bio stockholders equal in the aggregate to Boundless Bio’s reasonable, good faith approximation of the amount by which Boundless Bio Net Cash (as determined pursuant to the Merger Agreement) will exceed $0.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Boundless Bio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Boundless Bio Common Stock in the Merger exceeds the 20% threshold under the Nasdaq Listing Rules and is expected to represent approximately 96.2% of the outstanding shares of Boundless Bio Common Stock on a fully diluted basis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order to ensure compliance with Nasdaq Listing Rule 5635(a)(1), Boundless Bio must obtain the approval of Boundless Bio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Boundless Bio. Accordingly, in order to ensure compliance with Nasdaq Listing Rule 5635(b), Boundless Bio must obtain the approval of Boundless Bio stockholders of the change of control resulting from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Authorized Share Increase Proposal or the Nasdaq Reverse Split Proposal are not approved or the other closing conditions under the Merger Agreement are not satisfied or waived, the actions contemplated by the Nasdaq Stock Issuance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Boundless Bio stockholders have agreed to vote any shares of Boundless Bio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x108148_20"/>
      <w:bookmarkEnd w:id="54"/>
      <w:r>
        <w:rPr>
          <w:rFonts w:ascii="Times New Roman" w:hAnsi="Times New Roman"/>
          <w:b/>
          <w:sz w:val="20"/>
        </w:rPr>
        <w:t xml:space="preserve">PROPOSAL NO. 2 - THE NASDAQ REVERSE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stockholders will be asked to approve an amendment to the Boundless Bio Charter to effect a reverse stock split of the issued and outstanding shares of Boundless Bio Common Stock (the “Nasdaq Reverse Split”) at a ratio in the range of one new share for every    shares and one new share for every    shares outstanding (or any number in between), to be determined mutually by the Boundless Bio Board of Directors and the Serapha Board of Directors (the “Split Ratio”). The final Split Ratio and effectiveness of such amendment will be mutually agreed by the Boundless Bio Board of Directors and the Serapha Board of Directors, assuming this proposal is approved by Boundless Bio’s stockholders and the Merger is consummated. On    , 2026, the Boundless Bio Board of Directors adopted resolutions approving the proposed certificate of amendment to the Boundless Bio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Boundless Bio Common Stock immediately prior to the Reverse Stock Split Effective Time will automatically, without further action on the part of Boundless Bio, be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Board of Directors may determine to effect the Nasdaq Reverse Split, if it is approved by Boundless Bio stockholders, even if the other proposals to be acted upon at the Boundless Bio Special Meeting are not approved, including the issuance of Boundless Bio Common Stock pursuant to the Merger Agreement, or if the Merger is not completed.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this Proposal No. 2, Boundless Bio stockholders will: approve an amendment to the Boundless Bio Charter pursuant to which any whole number of issued and outstanding shares of Boundless Bio Common Stock, between and including    to    , would be combined into one share of Boundless Bio Common Stock and will authorize the Boundless Bio Board of Directors to file such certificate of amendment, as mutually agreed by the Boundless Bio Board of Directors and Serapha Board of Directors. As of the record date, 700,000,000 shares of Boundless Bio Common Stock were authorized,    shares of Boundless Bio Common Stock were outstanding and    shares of Boundless Bio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Boundless Bio Common Stock will be affected proportionately by the Nasdaq Reverse Split. No fractional shares of Boundless Bio Common Stock will be issued as a result of the Nasdaq Reverse Split. Instead, Boundless Bio stockholders who otherwise would be entitled to receive fractional shares will be entitled to receive cash as set forth below under the caption “No Fractional Shares.” Each Boundless Bio stockholder will hold the same percentage of the outstanding Boundless Bio Common Stock immediately following the Nasdaq Reverse Split as such Boundless Bio stockholder did immediately prior to the Nasdaq Reverse Split, except to the extent that the Nasdaq Reverse Split results in such Boundless Bio stockholder receiving cash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Should Boundless Bio receive the required stockholder approval for this Proposal No. 2, and following such stockholder approval, the Boundless Bio Board of Directors, subject to agreement by Serapha, determines that effecting the Nasdaq Reverse Split is in the best interests of Boundless Bio and its stockholders, the Nasdaq Reverse Split will become effective as specified in the amendment filed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filed thereby will contain the number of shares selected by the Boundless Bio Board of Directors and Serapha Board of Directors within the limits set forth in this Proposal No. 2 to be combined into one share of Boundless Bio Common Stock. Accordingly, upon the effectiveness of the amendment to the Boundless Bio Charter, at the Reverse Stock Split Effective Time, every    to    shares (or any number in between) of Boundless Bio Common Stock outstanding immediately prior to the Reverse Stock Split Effective Time will be combined and reclassified into one share of Boundless 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proposed form of certificate of amendment to the Boundless Bio Charter, as more fully described below, will effect the Nasdaq Reverse Split but </w:t>
      </w:r>
      <w:r>
        <w:rPr>
          <w:rFonts w:ascii="Times New Roman" w:hAnsi="Times New Roman"/>
          <w:b/>
          <w:i/>
          <w:sz w:val="20"/>
        </w:rPr>
        <w:t xml:space="preserve">will not </w:t>
      </w:r>
      <w:r>
        <w:rPr>
          <w:rFonts w:ascii="Times New Roman" w:hAnsi="Times New Roman"/>
          <w:sz w:val="20"/>
        </w:rPr>
        <w:t xml:space="preserve">change the number of authorized shares of Boundless Bio Common Stock or Boundless Bio Preferred Stock, or the par value of Boundless Bio Common Stock or Boundless Bio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form of certificate of amendment to the Boundless Bio Charter to effect the Nasdaq Reverse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this Proposal No. 2 by Boundless Bio stockholders, the Boundless Bio Board of Directors may, in its sole discretion, abandon the proposed amendments and determine prior to the effectiveness of any filing with the Secretary of State of the State of Delaware not to effect the Nasdaq Reverse Split, as permitted under Section 242(c)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approved the proposal approving the amendment to the Boundless Bio Charter effecting the Nasdaq Reverse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believes effecting the Nasdaq Reverse Split will result in an increase in the minimum bid price of Boundless Bio Common Stock and reduce the risk of a delisting of Boundless Bio Common Stock from Nasdaq in the future;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Boundless Bio Board of Directors believes a higher stock price may help generate investor interest in Boundless Bio and ultimately the Combined Company and help Boundless Bio attract and retain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recent trading prices of Boundless Bio Common Stock, Boundless Bio and Serapha currently estimate that a Split Ratio of at least 1-for-    would be required to increase the per-share market price to $4.00, which is the minimum initial listing price requirement of Nasdaq. The final Split Ratio will be determined mutually by the Boundless Bio Board of Directors and the Serapha Board of Directors prior to the closing of the Merger based primarily on the then-current trading price of Boundless Bio Common Stock and the objective of achieving a post-closing per-share price that (1) satisfies Nasdaq’s listing requirements and (2) provides an appropriate and sustainable post-closing per-share market price that the parties believe will better position the Combined Company for long-term trading stability, investor interest and market visibility, taking into account prevailing market conditions and other relevant factors. Accordingly, the ratio effected is likely to be greater than the minimum necessary to satisfy Nasdaq’s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Reverse Split successfully increases the per share price of Boundless Bio Common Stock, the Boundless Bio Board of Directors also believes this increase may increase trading volume in Boundless Bio Common Stock and facilitate future financings by Boundless Bio.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Common Stock is listed on The Nasdaq Global Select Market under the symbol “BOLD.” Boundless Bio has filed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Nasdaq’s listing standards will require Boundless Bio to have, among other things, a $4.00 per share minimum bid price for a certain number of trading days preceding the Closing, unless it effects the Nasdaq Reverse Split. Therefore, the Nasdaq Reverse Split may be necessary in order to satisfy Nasdaq requirements and complete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it is a condition to the Closing that the shares of Boundless Bio Common Stock to be issued in the Merger pursuant to the Merger Agreement have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Nasdaq Reverse Split will be to effectively increase the proportion of authorized shares which are unissued relative to those which are issued. This could result in Boundless Bio’s management being able to issue more shares without further stockholder approval. The Nasdaq Reverse Split will not affect the number of authorized shares of Boundless Bio Common Stock, which will continue to be authorized pursuant to the Boundless Bio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2026, Boundless Bio Common Stock closed at $    per share. An investment in Boundless Bio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Boundless Bio Board of Directors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Nasdaq Reverse Split, including that the Nasdaq Reverse Split may not result in an increase in the per share price of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cannot predict whether the Nasdaq Reverse Split will increase the market price for Boundless Bio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Boundless Bio Common Stock after the Nasdaq Reverse Split will rise in proportion to the reduction in the number of shares of Boundless Bio Common Stock outstanding before the Nasdaq Reverse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Reverse Split will result in a per share price that will increase the ability of Boundless Bio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the Nasdaq Reverse Split, for a sufficient period of time for the Combined Company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Boundless Bio Common Stock will also be based on the performance of Boundless Bio, and after the Merger, on the performance of the Combined Company, and other factors, some of which are unrelated to the number of shares outstanding. If the Nasdaq Reverse Split is effected and the market price of Boundless Bio Common Stock declines, the percentage decline as an absolute number and as a percentage of the overall market capitalization of Boundless Bio may be greater than would occur in the absence of the Nasdaq Reverse Split. Furthermore, the liquidity of Boundless Bio Common Stock could be adversely affected by the reduced number of shares that would be outstanding after the Nasdaq Reverse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Nasdaq Reverse Split will be realized simultaneously for all shares of Boundless Bio Common Stock and Boundless Bio Options outstanding immediately prior to the Reverse Stock Split Effective Time.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Reverse Split will affect all holders of shares of Boundless Bio Common Stock outstanding immediately prior to the Reverse Stock Split Effective Time uniformly and each such stockholder will hold the same percentage of Boundless Bio Common Stock outstanding immediately following the Nasdaq Reverse Split as that stockholder held immediately prior to the Nasdaq Reverse Split, except for immaterial adjustments that may result from the treatment of fractional shares as described below. The Nasdaq Reverse Split will not change the par value of Boundless Bio Common Stock or Boundless Bio Preferred Stock and will not reduce the number of authorized shares of Boundless Bio Common Stock or Boundless Bio Preferred Stock. Boundless Bio Common Stock issued pursuant to the Nasdaq Reverse Split will remain fully paid and nonassessable. Proportionate adjustments will be made to the per share exercise price, the number of shares issuable upon the exercise, vesting or settlement of all outstanding Boundless Bio Options, and the number of shares reserved for issuance pursuant to Boundless Bio’s existing equity incentive and employee stock purchase plans will be reduced proportionately based on the Split Ratio. The Nasdaq Reverse Split will not affect Boundless Bio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Nasdaq Reverse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Boundless Bio stockholders approve the amendment to the Boundless Bio Charter effecting the Nasdaq Reverse Split, the Boundless Bio Board of Directors and Serapha Board of Directors mutually agree that the Nasdaq Reverse Split is necessary, and the Boundless Bio Board of Directors still believes that the Nasdaq Reverse Split is in the best interests of Boundless Bio and its stockholders, Boundless Bio will file the amendment to the Boundless Bio Charter with the Secretary of State of the State of Delaware at such time as the Boundless Bio Board of Directors has determined to be the appropriate Reverse Stock Split Effective Time. The Boundless Bio Board of Directors and Serapha Board of Directors may mutually agree to delay effecting the Nasdaq Reverse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Boundless Bio stockholders will be notified that the Nasdaq Reverse Split has been effected. Boundless Bio expects that the Boundless Bio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Boundless Bio.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Nasdaq Reverse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Boundless Bio Charter effecting the Nasdaq Reverse Split. For the foregoing purposes, all shares of Boundless Bio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Boundless Bio is domiciled and where the funds will be deposited, sums due for fractional interests that are not timely claimed after the effective date of the split may be required to be paid to the designated agent for each such jurisdiction, unless correspondence has been received by Boundless Bio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Boundless Bio Board of Directors or contemplating a tender offer or other transaction for the combination of Boundless Bio with another company, the Nasdaq Reverse Split Proposal is not being proposed in response to any effort of which Boundless Bio is aware to accumulate shares of Boundless Bio Common Stock or obtain control of Boundless Bio, other than in connection with the Merger, nor is it part of a plan by management to recommend a series of similar amendments to the Boundless Bio Board of Directors and stockholders. Other than the proposals being submitted to Boundless Bio stockholders for their consideration at the Boundless Bio Special Meeting, the Boundless Bio Board of Directors does not currently contemplate recommending the adoption of any other actions that could be construed to affect the ability of third parties to take over or change control of Boundless Bio.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131 of this proxy statement/prospectus. </w:t>
      </w:r>
    </w:p>
    <w:p>
      <w:pPr>
        <w:pStyle w:val="TextBody"/>
        <w:bidi w:val="0"/>
        <w:spacing w:before="360" w:after="0"/>
        <w:jc w:val="left"/>
        <w:rPr>
          <w:rFonts w:ascii="Times New Roman" w:hAnsi="Times New Roman"/>
          <w:b/>
          <w:sz w:val="20"/>
        </w:rPr>
      </w:pPr>
      <w:bookmarkStart w:id="55" w:name="tx108148_707"/>
      <w:bookmarkEnd w:id="55"/>
      <w:r>
        <w:rPr>
          <w:rFonts w:ascii="Times New Roman" w:hAnsi="Times New Roman"/>
          <w:b/>
          <w:sz w:val="20"/>
        </w:rPr>
        <w:t xml:space="preserve">Material U.S. Federal Income Tax Considerations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Nasdaq Reverse Split that are generally applicable to U.S. Holders (as defined below) of Boundless Bio Common Stock.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Boundless Bio has not sought and will not seek any rulings from the IRS regarding the matters discussed below. There can be no assurance the IRS or a court will not take a contrary position to that discussed below regarding the tax considerations of the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Boundless Bio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Boundless Bio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Boundless 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passthroughs, or disregarded entities for U.S. federal income tax purposes (and investors therein);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Boundless Bio Common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Boundless Bio Common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Boundless Bio Common Stock as “qualified small business stock” within the meaning of Section 1202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Boundless Bio Common Stock, the tax treatment of a partner in the partnership will depend on the status of the partner, the activities of the partnership, and certain determinations made at the partner level. Accordingly, a partnership holding Boundless Bio Common Stock and each partner in such partnership are urged to consult their tax advisors regarding the U.S. federal income tax considerations to them of the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Boundless Bio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Nasdaq Reverse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of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Nasdaq Reverse Split is intended to qualify as a “recapitalization” for U.S. federal income tax purposes pursuant to Section 368(a)(1)(E) of the Code. As a result, a U.S. Holder generally should not recognize gain or loss upon the proposed Nasdaq Reverse Split, except with respect to cash received in lieu of a fractional share of Boundless Bio Common Stock, as discussed below. A U.S. Holder’s aggregate adjusted tax basis in the shares of Boundless Bio Common Stock received pursuant to the proposed Nasdaq Reverse Split should equal the aggregate adjusted tax basis of the shares of the Boundless Bio Common Stock surrendered (excluding any portion of such basis that is allocated to any fractional share of Boundless Bio Common Stock), and such U.S. Holder’s holding period in the shares of Boundless Bio Common Stock received should include the holding period in the shares of Boundless Bio Common Stock surrendered. U.S. Treasury Regulations provide detailed rules for allocating the tax basis and holding period of the shares of Boundless Bio Common Stock surrendered to the shares of Boundless Bio Common Stock received in a recapitalization pursuant to the proposed Nasdaq Reverse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U.S. Holder of shares of Boundless Bio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Boundless Bio Common Stock pursuant to the proposed Nasdaq Reverse Split should recognize capital gain or loss in an amount equal to the difference between the amount of cash received and the U.S. Holder’s tax basis in the shares of Boundless Bio Common Stock surrendered that is allocated to such fractional share of Boundless Bio Common Stock. Such capital gain or loss should be long-term capital gain or loss if the U.S. Holder’s holding period for Boundless Bio Common Stock surrendered exceeded one year at the effective time of the Nasdaq Reverse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Reporting Regarding the Nasdaq Reverse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Nasdaq Reverse Split qualifies as a recapitalization within the meaning of Section 368(a) of the Code, each U.S. Holder who receives shares of Boundless Bio Common Stock in the Nasdaq Reverse Split is required to retain permanent records pertaining to the Nasdaq Reverse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Boundless Bio or who owned securities in Boundless Bio with a basis of $1,000,000 or more are required to attach a statement to their tax returns for the year in which the Nasdaq Reverse Split is consummated that contains the information listed in Treasury Regulations Section 1.368-3(b). Such statement must include the holder’s tax basis in the U.S. Holder’s Boundless Bio Common Stock and the fair market value of such stock. Each U.S. Holder is urged to consult with its tax advisor to comply with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Boundless Bio Common Stock may, under certain circumstances, be subject to information reporting and backup withholding. To avoid backup withholding, each holder of Boundless Bio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Boundless Bio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the Nasdaq Reverse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The Merger is conditioned upon the approval of the Nasdaq Reverse Split Proposal. However, the Boundless Bio Board of Directors, without Serapha’s input, may determine to effect the Nasdaq Reverse Split, if it is approved by Boundless Bio stockholders, even if the other proposals to be acted upon at the Boundless Bio Special Meeting are not approved, including the issuance of Boundless Bio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Certain Boundless Bio stockholders have agreed to vote any shares of Boundless Bio Common Stock owned by them in favor of the Nasdaq Reverse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212 of this proxy statement/prospectus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Reverse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NASDAQ REVERSE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x108148_21"/>
      <w:bookmarkEnd w:id="56"/>
      <w:r>
        <w:rPr>
          <w:rFonts w:ascii="Times New Roman" w:hAnsi="Times New Roman"/>
          <w:b/>
          <w:sz w:val="20"/>
        </w:rPr>
        <w:t xml:space="preserve">PROPOSAL NO. 3 - THE AUTHORIZED SHARE INCREASE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an amendment to the Boundless Bio Charter to increase the number of authorized shares of Boundless Bio Common Stock (the “Boundless Bio Share Increase Amendment”). On    , 2026, the Boundless Bio Board of Directors approved a proposal to amend the Boundless Bio Charter to increase the number of authorized shares of Boundless Bio Common Stock from 700,000,000 shares to    , which would also have the effect of increasing the total number of authorized shares from 770,000,000, including Boundless Bio Preferred Stock, to    (the “Boundless Bio Share Increase”), in the form attached as </w:t>
      </w:r>
      <w:r>
        <w:rPr>
          <w:rFonts w:ascii="Times New Roman" w:hAnsi="Times New Roman"/>
          <w:i/>
          <w:sz w:val="20"/>
        </w:rPr>
        <w:t xml:space="preserve">Annex C </w:t>
      </w:r>
      <w:r>
        <w:rPr>
          <w:rFonts w:ascii="Times New Roman" w:hAnsi="Times New Roman"/>
          <w:sz w:val="20"/>
        </w:rPr>
        <w:t xml:space="preserve">to this proxy statement/prospectus. As of     , 2026, there were     shares of Boundless Bio Common Stock issued and outstanding, and     shares of Boundless Bio Common Stock reserved for issuance. Accordingly,     shares of the total number of Boundless Bio Common Stock currently authorized remain available for issuance or may be reserved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Share Increase Amendment would amend and restate the first paragraph of Article IV of the Boundless Bio Charter in its entirety as follows: </w:t>
      </w:r>
    </w:p>
    <w:p>
      <w:pPr>
        <w:pStyle w:val="TextBody"/>
        <w:bidi w:val="0"/>
        <w:spacing w:before="240" w:after="0"/>
        <w:jc w:val="left"/>
        <w:rPr/>
      </w:pPr>
      <w:r>
        <w:rPr/>
        <w:t>“</w:t>
      </w:r>
      <w:r>
        <w:rPr>
          <w:rFonts w:ascii="Times New Roman" w:hAnsi="Times New Roman"/>
          <w:sz w:val="20"/>
        </w:rPr>
        <w:t xml:space="preserve">The Corporation is authorized to issue two classes of stock to be designated, respectively, “Common Stock” and “Preferred Stock.” The total number of shares of capital stock which the Corporation shall have authority to issue is    . The total number of shares of Common Stock that the Corporation is authorized to issue is    , having a par value of $0.0001 per share, and the total number of shares of Preferred Stock that the Corporation is authorized to issue is 70,000,000, having a par value of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currently authorizes the issuance of up to 700,000,000 shares of Boundless Bio Common Stock and 70,000,000 shares of Boundless Bio Preferred Stock. As of the close of business on     , 2026, there were     shares of Boundless Bio Common Stock issued and outstanding, and     shares of Boundless Bio Common Stock reserved for issuance. Accordingly,     shares of the total number of Boundless Bio Common Stock currently authorized remain available for issuance or may be reserved for issuance. </w:t>
      </w:r>
    </w:p>
    <w:p>
      <w:pPr>
        <w:pStyle w:val="TextBody"/>
        <w:bidi w:val="0"/>
        <w:spacing w:before="240" w:after="0"/>
        <w:jc w:val="left"/>
        <w:rPr>
          <w:rFonts w:ascii="Times New Roman" w:hAnsi="Times New Roman"/>
          <w:sz w:val="20"/>
        </w:rPr>
      </w:pPr>
      <w:r>
        <w:rPr>
          <w:rFonts w:ascii="Times New Roman" w:hAnsi="Times New Roman"/>
          <w:sz w:val="20"/>
        </w:rPr>
        <w:t>As described in greater detail in the section of this proxy statement/prospectus titled “</w:t>
      </w:r>
      <w:r>
        <w:rPr>
          <w:rFonts w:ascii="Times New Roman" w:hAnsi="Times New Roman"/>
          <w:i/>
          <w:sz w:val="20"/>
        </w:rPr>
        <w:t>The Merger Agreement</w:t>
      </w:r>
      <w:r>
        <w:rPr>
          <w:rFonts w:ascii="Times New Roman" w:hAnsi="Times New Roman"/>
          <w:sz w:val="20"/>
        </w:rPr>
        <w:t xml:space="preserve">,” pursuant to the Merger Agreement, Boundless Bio will be required to issue shares of Boundless Bio Common Stock to Serapha stockholders and to assume the Serapha Equity Incentive Plan and outstanding Serapha Options, Serapha RSUs and Serapha Warrants.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Boundless Bio Common Stock currently authorized and unissued and not reserved for issuance is not sufficient for (i) the issuance of Boundless Bio Common Stock pursuant to the Merger Agreement (including Boundless Bio Common Stock issuable upon the exercise of the Boundless Bio Pre-Funded Warrants) and (ii) the assumption of the Serapha Equity Incentive Plan and outstanding Serapha Options, Serapha RSUs and Serapha Warrants. In addition, there will not be sufficient shares of Boundless Bio Common Stock available for issuance in connection with possible future acquisitions, equity and equity-based financings, possible future awards under employee benefit plans and other corporate purposes that the Boundless Bio Board of Directors may determine to be desirable. Therefore, the Boundless Bio Board of Directors has determined that the Boundless Bio Share Increase Amendment is in the best interests of Boundless Bio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Boundless Bio Share Increase Amendment is approved by stockholders, upon its effectiveness, and without giving effect to the Nasdaq Reverse Split described in Proposal No. 2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will have a total of    authorized shares of Boundless Bio Common Stock, with     shares of Boundless Bio Common Stock issued and outstanding (as of the Record Date), and     shares reserved for issuance (as of the Record Date), leaving a balance of     shares of Boundless Bio Common Stock authorized and unissued and not reserved for any specific purpose. Such outstanding share amounts will be correspondingly adjusted to the extent the Nasdaq Reverse Split is effected prior to effectiveness of the Boundless Bio Share Increase Amendment, but the Nasdaq Reverse Split will not change the number of authorized shares of common or preferred stock. The Boundless Bio Share Increase Amendment will have no effect on the authorized shares of Boundless Bio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of Boundless Bio Common Stock (including Boundless Bio Common Stock issuable upon the exercise of the Boundless Bio Pre-Funded Warrants) and (ii) the issuance of shares of Boundless Bio Common Stock that may result from the assumption of the Serapha Equity Incentive Plan and outstanding Serapha Options, Serapha RSUs and Serapha Warrants, each pursuant to the terms of the Merger Agreement, Boundless Bio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Boundless Bio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Boundless Bio Share Increase Amendment is approved and becomes effective, the additional authorized shares would be available for issuance at the discretion of the Boundless Bio Board of Directors and without further stockholder approval, except as may be required by law or Nasdaq rules. The additional shares of authorized Boundless Bio Common Stock would have the same rights and privileges as the shares of Boundless Bio Common Stock currently issued and outstanding. Holders of Boundless Bio Common Stock have no preemptive rights. The Boundless Bio Share Increase would not change the number of shares of common stock outstanding, nor will it have any immediate dilutive effect; however, the issuance of additional shares of Boundless Bio Common Stock authorized by the Boundless Bio Share Increase may, among other things, have a dilutive effect on earnings per share and on stockholders’ equity and voting rights. Furthermore, future sales of substantial amounts of Boundless Bio Common Stock, or the perception that these sales might occur, could adversely affect the prevailing market price of Boundless Bio Common Stock or limit Boundless Bio’s ability to raise additional capital. Boundless Bio stockholders should recognize that, as a result of this proposal, they will own a smaller percentage of shares relative to the total authorized shares of Boundless Bio than they presently own.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DGCL, stockholders are not entitled to appraisal rights or dissenters’ rights with respect to the Boundless Bio Share Increase Amendment or the Boundless Bio Share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Effectiveness of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Boundless Bio Share Increase Amendment is approved by the stockholders at the Boundless Bio Special Meeting, it will become effective upon the filing of a certificate of amendment, a copy of which is attached as </w:t>
      </w:r>
      <w:r>
        <w:rPr>
          <w:rFonts w:ascii="Times New Roman" w:hAnsi="Times New Roman"/>
          <w:i/>
          <w:sz w:val="20"/>
        </w:rPr>
        <w:t xml:space="preserve">Annex C </w:t>
      </w:r>
      <w:r>
        <w:rPr>
          <w:rFonts w:ascii="Times New Roman" w:hAnsi="Times New Roman"/>
          <w:sz w:val="20"/>
        </w:rPr>
        <w:t xml:space="preserve">to this proxy statement/prospectus, with the Delaware Secretary of State or such later effective date and time as specified in the certificate of amendment in accordance with Delaware law. </w:t>
      </w:r>
    </w:p>
    <w:p>
      <w:pPr>
        <w:pStyle w:val="TextBody"/>
        <w:bidi w:val="0"/>
        <w:spacing w:before="240" w:after="0"/>
        <w:jc w:val="left"/>
        <w:rPr>
          <w:rFonts w:ascii="Times New Roman" w:hAnsi="Times New Roman"/>
          <w:sz w:val="20"/>
        </w:rPr>
      </w:pPr>
      <w:r>
        <w:rPr>
          <w:rFonts w:ascii="Times New Roman" w:hAnsi="Times New Roman"/>
          <w:sz w:val="20"/>
        </w:rPr>
        <w:t xml:space="preserve">Copies of the Boundless Bio Charter and the certificates of amendment to the Boundless Bio Charter are available as exhibits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Authorized Share Increase Proposal. Notwithstanding the approval of the Authorized Share Increase Proposal, if the Nasdaq Stock Issuance Proposal or the Nasdaq Reverse Split Proposal are not approved or the other closing conditions under the Merger Agreement are not satisfied or waived, the actions contemplated by the Authorized Share Increase Proposal will not be effected and the Merger will not be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Authorized Share Increase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tx108148_22"/>
      <w:bookmarkEnd w:id="57"/>
      <w:r>
        <w:rPr>
          <w:rFonts w:ascii="Times New Roman" w:hAnsi="Times New Roman"/>
          <w:b/>
          <w:sz w:val="20"/>
        </w:rPr>
        <w:t xml:space="preserve">PROPOSAL NO. 4 -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the Serapha Bio, Inc. 2026 Stock Incentive Plan (the “2026 Stock Plan”) to be effective on the closing date of the Merger. The 2026 Stock Plan was approved by the Boundless Bio Board of Directors on October 7, 2026, subject to stockholder approval and the consummation of the Merger. If the 2026 Stock Plan is approved by stockholders and the Merger is consummated, no further awards will be granted under the Boundless Bio, Inc. 2024 Incentive Award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Annex K</w:t>
      </w:r>
      <w:r>
        <w:rPr>
          <w:rFonts w:ascii="Times New Roman" w:hAnsi="Times New Roman"/>
          <w:sz w:val="20"/>
        </w:rPr>
        <w:t xml:space="preserve"> to the registration statement of which this proxy statement/prospectus is a part. Stockholders are urged to read the 2026 Stock Plan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 Any power of the Administrator may also be exercised by the Combined Company board of directors, except to the extent doing so would cause an Award or transaction to lose an exemption under Section 16 of the Exchange Act. Subject to the limitations in the 2026 Stock Plan, the Administrator may delegate any or all of its authority to one or more subcommittees composed of directors and/or officers of the Combined Company and may delegate day-to-day administrative authority to one or more officers, employees or agents of the Combined Company; provided that a subcommittee comprised of officers may not grant Awards to any member of such subcommittee or to any officer (within the meaning of Section 16 of the Exchange Act) or non-employee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Stock Plan will be 12% of the total number of shares of outstanding capital stock immediately following the consummation of the Merger (including Combined Company common stock, preferred stock on an as-converted basis and unexercised pre-funded warrants), subject to certain adjustments in the event of a change in the Combined Company’s capitalization. The shares that may be issued under the 2026 Stock Plan will be automatically increased on January 1 of each year beginning in 2027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ending with a final increase on January 1, 2036 in an amount equal to 5% of the outstanding capital stock (including Combined Company common stock, preferred stock on an as-converted basis and unexercised pre-funded warrants) on the preceding December 31, unless a lower, or no, increase is determined by the Administrator. Only 200,000,000 shares of Combined Company common stock may be issued under the 2026 Stock Plan as incentive stock options (after giving effect to the Nasdaq Reverse Split). In addition, the aggregate dollar value of equity-based Awards (based on grant date fair market value) and cash compensation granted under the 2026 Stock Plan or otherwise to any non-employee director for service on the Combined Company board of directors may not exceed $750,000 during any calendar year, except that in the calendar year in which a non-employee director first joins the board or during any calendar year in which a non-employee director is designated as Chairman of the Board or Lead Director, such limit is $1,000,000.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2026 Stock Plan may be either authorized and unissued shares or shares reacquired by the Combined Company, including shares purchased in the open market or in private transactions. On termination or 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subject to Awards that are settled in cash or that otherwise do not result in the issuance of shares, shares retained or withheld by the Combined Company in payment or satisfaction of any exercise price, purchase price, or tax withholding obligation of an Award, and shares delivered (either actually or by attestation) to the Combined Company in payment or satisfaction of any exercise price, purchase price, or tax withholding obligation of an Award will be available for grant under the 2026 Stock Plan. Shares issued in respect of substitute awards granted in assumption of, or in substitution or exchange for, awards previously granted by a company acquired by the Combined Company or with which the Combined Company combines will not reduce the shares available under the 2026 Stock Plan, and, subject to applicable stock exchange rules and the other conditions set forth in the 2026 Stock Plan, shares remaining available under a stockholder-approved plan of such an acquired company may be used for Awards under the 2026 Stock Plan without reducing the share pool.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closing price of a share of Boundless Bio Common Stock was $    per share, as reported on the Nasdaq Stock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Current or prospective employees, officers, non-employee directors, and other individual service providers of the Combined Company and its subsidiaries will be eligible to participate in the 2026 Stock Plan, if selected by the Administrator; provided, however, that incentive stock options may only be granted to employees of the Combined Company or its subsidiary corporations within the meaning of Section 424 of the Code. Following the Merger, it is expected that approximately     employees (including     executive officers),     non-employee directors and     other individual service providers of the Combined Company will be eligible to participate in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All stock options granted under the 2026 Stock Plan will be evidenced by a written or electronic agreement or other instrument approved by the Administrator,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except that the term of an option other than an incentive stock option will be automatically extended if, at the time of its scheduled expiration, the participant is prohibited by law or the Combined Company’s insider trading policy from exercising the option, with such extension expiring on the 30th day after the prohibition lapses, and other terms and conditions. Subject to the express provisions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SARs may be granted alone or in conjunction with all or part of a stock option. The term of a SAR may not exceed 10 years, subject to the same automatic extension described above for options. A SAR granted in tandem with an option has the same exercise price as the related option, and exercise of either the SAR or the related option automatically cancels the other to the extent of the shares covered by such exercise; freestanding SARs are subject to the same terms and conditions applicable to options.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b/>
          <w:i/>
          <w:sz w:val="20"/>
        </w:rPr>
        <w:t>Restricted Stock and RSUs</w:t>
      </w:r>
      <w:r>
        <w:rPr>
          <w:rFonts w:ascii="Times New Roman" w:hAnsi="Times New Roman"/>
          <w:sz w:val="20"/>
        </w:rPr>
        <w:t xml:space="preserve">. Awards of restricted stock consist of shares of stock that are transferred to the participant subject to restrictions that may result in forfeiture if specified conditions are not satisfied. RSUs result in the transfer of shares of stock or cash to the participant only after specified conditions are satisfied. The Administrator will determine the restrictions and conditions applicable to each award of restricted stock or RSUs, which may include performance vesting conditions. Unless the Administrator determines otherwise, holders of restricted stock are entitled to receive dividends and other distributions paid on those shares, and the Administrator will determine whether such amounts are paid in cash or reinvested in additional shares of restricted stock subject to the same restrictions. Shares underlying RSUs and other stock-based awards are entitled to dividends or dividend equivalents only to the extent provided by the Administrator. </w:t>
      </w:r>
    </w:p>
    <w:p>
      <w:pPr>
        <w:pStyle w:val="TextBody"/>
        <w:bidi w:val="0"/>
        <w:spacing w:before="24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Other stock-based awards are Awards denominated in or payable in, valued in whole or in part by reference to, or otherwise based on or related to, the value of Combined Company common stock. </w:t>
      </w:r>
    </w:p>
    <w:p>
      <w:pPr>
        <w:pStyle w:val="TextBody"/>
        <w:bidi w:val="0"/>
        <w:spacing w:before="240" w:after="0"/>
        <w:jc w:val="left"/>
        <w:rPr>
          <w:rFonts w:ascii="Times New Roman" w:hAnsi="Times New Roman"/>
          <w:sz w:val="20"/>
        </w:rPr>
      </w:pPr>
      <w:r>
        <w:rPr>
          <w:rFonts w:ascii="Times New Roman" w:hAnsi="Times New Roman"/>
          <w:b/>
          <w:i/>
          <w:sz w:val="20"/>
        </w:rPr>
        <w:t>Incentive Bonuses</w:t>
      </w:r>
      <w:r>
        <w:rPr>
          <w:rFonts w:ascii="Times New Roman" w:hAnsi="Times New Roman"/>
          <w:sz w:val="20"/>
        </w:rPr>
        <w:t xml:space="preserve">.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recoupment in accordance with any clawback policy that the Combined Company adopts or is required to adopt pursuant to the listing standards of any national securities exchange or association on which its securities are listed or as otherwise required by Rule 10D-1 under the Exchange Act or other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capitalization of the Combined Company, including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capital stock, the share pool and outstanding Awards will be equitably adjusted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unless the Administrator determines otherwise, if Awards are not assumed, continued or substituted for in connection with the change in control, then all such outstanding Awards will become fully vested and exercisable immediately prior to the change in control (with performance based on target or actual achievement as determined by the Administrator). For these purposes, a “change in control” is defined in the 2026 Stock Plan and expressly excludes the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August 26, 2036.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own tax advisor concerning the tax implications of Awards granted under the 2026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 </w:t>
      </w:r>
    </w:p>
    <w:p>
      <w:pPr>
        <w:pStyle w:val="TextBody"/>
        <w:bidi w:val="0"/>
        <w:spacing w:before="0" w:after="0"/>
        <w:jc w:val="left"/>
        <w:rPr/>
      </w:pPr>
      <w:r>
        <w:rPr/>
        <w: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underlying shares of common stock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Stock Plan Proposal. However, the Stock Plan Proposal is conditioned on the approval of the Nasdaq Stock Issuance Proposal. Notwithstanding the approval of the Stock Plan Proposal, if the Nasdaq Stock Issuance Proposal is not approved, the actions contemplated by the Stock Plan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Stock Plan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tx108148_23"/>
      <w:bookmarkEnd w:id="58"/>
      <w:r>
        <w:rPr>
          <w:rFonts w:ascii="Times New Roman" w:hAnsi="Times New Roman"/>
          <w:b/>
          <w:sz w:val="20"/>
        </w:rPr>
        <w:t xml:space="preserve">PROPOSAL NO. 5 -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Boundless Bio Special Meeting, Boundless Bio will ask its stockholders to approve the Serapha Bio, Inc. 2026 Employee Stock Purchase Plan (the “2026 ESPP”) to be effective on the closing date of the Merger. The 2026 ESPP was approved by the Boundless Bio Board of Directors on October 7, 2026, subject to stockholder approval and the consummation of the Merger. If the 2026 ESPP is approved by stockholders and the Merger is consummated, the Boundless Bio, Inc. 2024 Employee Stock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ESPP is not intended to be complete and is qualified in its entirety by the complete text of the 2026 ESPP, a copy of which is attached as </w:t>
      </w:r>
      <w:r>
        <w:rPr>
          <w:rFonts w:ascii="Times New Roman" w:hAnsi="Times New Roman"/>
          <w:i/>
          <w:sz w:val="20"/>
        </w:rPr>
        <w:t>Annex L</w:t>
      </w:r>
      <w:r>
        <w:rPr>
          <w:rFonts w:ascii="Times New Roman" w:hAnsi="Times New Roman"/>
          <w:sz w:val="20"/>
        </w:rPr>
        <w:t xml:space="preserve"> to the registration statement of which this proxy statement/prospectus is a part. Stockholders are urged to read the 2026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will be administered by the compensation committee of the Combined Company board of directors or another committee designated by the Combined Company board of directors to administer the 2026 ESPP,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and has delegated day-to-day administration of the 2026 ESPP to the Chief Financial Officer (or such other officer with similar authority). The ESPP Administrator may adopt rules or procedures relating to the operation and administration of the 2026 ESPP to accommodate the specific requirements of local laws and procedures, including to adopt sub-plans for participants outside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ESPP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ESPP will be the lesser of (i) 1% of the total number of shares of outstanding capital stock immediately following the consummation of the Merger (including Combined Company common stock, preferred stock on an as-converted basis and unexercised pre-funded warrants) or (ii) 7,500,000 shares (after giving effect to the Nasdaq Reverse Split),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1% of the outstanding capital stock (including Combined Company common stock, preferred stock on an as-converted basis and unexercised pre-funded warrants) on the preceding December 31 or 8,000,000 shares (after giving effect to the Nasdaq Reverse Split),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total number of shares to be purchased by all participants on any exercise date (as defined below) exceeds the number of shares remaining available for issuance under the 2026 ESPP, the ESPP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make a pro rata allocation of the remaining available number of shares in as uniform a manner as possible and as the ESPP Administrator determines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closing price of a share of Boundless Bio Common Stock was $     per share, as reported on the Nasdaq Stock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An employee generally must also have been employed by the Combined Company for at least 30 calendar days (or such other period as the ESPP Administrator determines) immediately preceding the applicable enrollment date. However, any employee who would own (or pursuant to Section 424(d) of the Code would be deemed to own) 5% or more of the total combined voting power or value of all classes of capital stock of the Combined Company or any parent or subsidiary (taking into account both stock owned and outstanding options to purchase stock) immediately after a grant under the 2026 ESPP is not eligible to participate. In addition, no participant may accrue rights to purchase stock under all employee stock purchase plans of the Combined Company and its parents and subsidiaries at a rate exceeding $25,000 of fair market value of stock (determined at the time the option is granted) for each calendar year in which the option is outstanding at any time. Following the Merger, it is expected that approximately      employees will be eligible to participate in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2026 ESPP is generally implemented by a series of “offering periods”. Offering periods may not exceed 27 months, an offering period may include one or more purchase periods, and the ESPP Administrator may change the duration and commencement dates of offering periods and purchase periods without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Payroll Deductions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in an offering period, an eligible employee must execute and submit a properly completed subscription agreement on or before a date determined by the ESPP Administrator prior to the applicable enrollment date, or follow an electronic or other enrollment procedure determined by the ESPP Administrator. Once enrolled in the 2026 ESPP, a participant purchases shares of the Combined Company’s common stock with accumulated contributions on the exercise date, which is the last trading day of each purchase period. Once an offering period is over, a participant is automatically enrolled in the next offering period unless the participant chooses to withdraw from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request a deduction in an amount expressed as a whole percentage between 1% and 15% and all payroll deductions will be credited to the eligible employee’s account. The maximum permissible contribution by any participant for all offering periods during any calendar year is $25,000. The ESPP Administrator may also permit participants in a specified offering to contribute by cash, check or other means. Unless the ESPP Administrator determines otherwise, a participant may not increase or decrease his or her rate of contributions during a purchase period, but may do so effective as of the beginning of each purchase period, and a participant’s contributions may be decreased to 0% at any time to the extent necessary to comply with Section 423(b)(8) of the Code. No interest will be paid on any amount held in the account of any eligible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 </w:t>
      </w:r>
    </w:p>
    <w:p>
      <w:pPr>
        <w:pStyle w:val="TextBody"/>
        <w:bidi w:val="0"/>
        <w:spacing w:before="120" w:after="0"/>
        <w:jc w:val="left"/>
        <w:rPr>
          <w:rFonts w:ascii="Times New Roman" w:hAnsi="Times New Roman"/>
          <w:sz w:val="20"/>
        </w:rPr>
      </w:pPr>
      <w:r>
        <w:rPr>
          <w:rFonts w:ascii="Times New Roman" w:hAnsi="Times New Roman"/>
          <w:sz w:val="20"/>
        </w:rPr>
        <w:t xml:space="preserve">On the first trading day of each offering period, each eligible employee participating in such offering period will be granted an option to acquire shares of Combined Company common stock on the exercise date.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participants granted options under the 2026 ESPP will have the same rights and privileges consistent with the requirements set forth in Section 423 of the Code. No eligible employee will be permitted to purchase more than 2,500 shares (after giving effect to the Nasdaq Reverse Split) of Combined Company common stock during each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2026 ESPP is 85% of the fair market value of the Combined Company common stock on the first trading day of the offering period or on the exercise date (the last trading day of the applicable purchase period), whichever is lower. The ESPP Administrator may determine a different purchase price for subsequent offering periods, subject to compliance with Section 423 of the Code and other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Options </w:t>
      </w:r>
    </w:p>
    <w:p>
      <w:pPr>
        <w:pStyle w:val="TextBody"/>
        <w:bidi w:val="0"/>
        <w:spacing w:before="120" w:after="0"/>
        <w:jc w:val="left"/>
        <w:rPr>
          <w:rFonts w:ascii="Times New Roman" w:hAnsi="Times New Roman"/>
          <w:sz w:val="20"/>
        </w:rPr>
      </w:pPr>
      <w:r>
        <w:rPr>
          <w:rFonts w:ascii="Times New Roman" w:hAnsi="Times New Roman"/>
          <w:sz w:val="20"/>
        </w:rPr>
        <w:t xml:space="preserve">On each exercise date, unless the participant has withdrawn from the 2026 ESPP, accumulated contributions are applied automatically to purchase shares of common stock at the price described above. The number of shares purchased is determined by dividing the payroll deductions by the applicable purchase price,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Any payroll deductions accumulated in a participant’s account that are not sufficient to purchase a full share will, unless the ESPP Administrator determines otherwise, be retained in the participant’s account for the subsequent purchase period or offering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Cancellation and Withdrawal </w:t>
      </w:r>
    </w:p>
    <w:p>
      <w:pPr>
        <w:pStyle w:val="TextBody"/>
        <w:bidi w:val="0"/>
        <w:spacing w:before="120" w:after="0"/>
        <w:jc w:val="left"/>
        <w:rPr>
          <w:rFonts w:ascii="Times New Roman" w:hAnsi="Times New Roman"/>
          <w:sz w:val="20"/>
        </w:rPr>
      </w:pPr>
      <w:r>
        <w:rPr>
          <w:rFonts w:ascii="Times New Roman" w:hAnsi="Times New Roman"/>
          <w:sz w:val="20"/>
        </w:rPr>
        <w:t xml:space="preserve">Participants may cancel all (but not less than all) of their options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2026 ESPP may not be assigned, transferred, pledged, or otherwise disposed of in any way (other than by will, the laws of descent and distribution, or as provided under the beneficiary designation provisions of the 2026 ESPP) by a participant and may be exercised during a participant’s lifetime only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dividends or other distributions (whether in the form of cash, shares of Combined Company common stock, other securities or other property), recapitalizations, stock splits, reverse stock splits, reorganizations, merger, consolidation, split-up, spin-off, combination, repurchase, or exchange of Combined Company common stock, or other change in the corporate structure of the Combined Company affecting the Combined Company common stock, the ESPP Administrator will, in the manner it deems equitable in order to prevent dilution or enlargement of the benefits intended to be made available under the 2026 ESPP, adjust the number and class of shares available under the 2026 ESPP, the purchase price per share, the number of shares covered by each outstanding option and the numerical share limits under the 2026 ESPP. In the event of a proposed dissolution or liquidation of the Combined Company, any offering period then in progress will be shortened by setting a new exercise date occurring before the dissolution or liquidation and will terminate immediately prior to its consummation, unless the ESPP Administrator provides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Other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offering period or upon its exercise on the exercise date at the end of a purchase period. Upon the disposition of shares of common stock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15% of the fair market value of the shares on the grant date (i.e., the first day of the offering period), or (ii) the amount by which the fair market value of the shares on the date of sale exceeds the purchase price paid for the shares. Any additional gain or loss will be taxed as long-term capital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ESPP Proposal. However, the ESPP Proposal is conditioned on the approval of the Nasdaq Stock Issuance Proposal. Notwithstanding the approval of the ESPP Proposal, if the Nasdaq Stock Issuance Proposal is not approved, the actions contemplated by the ESPP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ESPP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tx108148_24"/>
      <w:bookmarkEnd w:id="59"/>
      <w:r>
        <w:rPr>
          <w:rFonts w:ascii="Times New Roman" w:hAnsi="Times New Roman"/>
          <w:b/>
          <w:sz w:val="20"/>
        </w:rPr>
        <w:t xml:space="preserve">PROPOSAL NO. 6 -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fails to receive a sufficient number of votes to approve Proposal Nos. 1, 2 and 3, Boundless Bio may propose to adjourn the Boundless Bio Special Meeting, for a period of not more than 45 days, for the purpose of soliciting additional proxies to approve Proposal Nos. 1, 2 and 3. Boundless Bio currently does not intend to propose adjournment at the Boundless Bio Special Meeting if there are sufficient votes to approve Proposal Nos. 1, 2 and 3.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Boundless Bio Special Meeting, under the Boundless Bio Bylaws, the person presiding over the meeting or a majority in voting power of the stockholders entitled to vote at the meeting, present at the meeting or represented by proxy, may adjourn the Boundless Bio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BOUNDLESS BIO BOARD OF DIRECTORS RECOMMENDS A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x108148_25"/>
      <w:bookmarkEnd w:id="60"/>
      <w:r>
        <w:rPr>
          <w:rFonts w:ascii="Times New Roman" w:hAnsi="Times New Roman"/>
          <w:b/>
          <w:sz w:val="20"/>
        </w:rPr>
        <w:t xml:space="preserve">BOUNDLESS BIO’S BUSINESS </w:t>
      </w:r>
    </w:p>
    <w:p>
      <w:pPr>
        <w:pStyle w:val="TextBody"/>
        <w:bidi w:val="0"/>
        <w:spacing w:before="24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w:t>
      </w:r>
    </w:p>
    <w:p>
      <w:pPr>
        <w:pStyle w:val="TextBody"/>
        <w:bidi w:val="0"/>
        <w:spacing w:before="240" w:after="0"/>
        <w:jc w:val="left"/>
        <w:rPr>
          <w:rFonts w:ascii="Times New Roman" w:hAnsi="Times New Roman"/>
          <w:sz w:val="20"/>
        </w:rPr>
      </w:pPr>
      <w:r>
        <w:rPr>
          <w:rFonts w:ascii="Times New Roman" w:hAnsi="Times New Roman"/>
          <w:sz w:val="20"/>
        </w:rPr>
        <w:t xml:space="preserve">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Instead of directly targeting the proteins produced by amplified oncogenes, which is the approach of traditional targeted therapies, Boundless Bio’s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Boundless Bio’s ecDTx were designed to preferentially kill ecDNA-enabled cancer cells, but not healthy cells. They were engineered to disrupt the underlying cellular machinery that enables ecDNA or functional amplification.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tax-free reorganization under the provisions of Section 368(a) of the Code and/or (2) an exchange of shares of Serapha Capital Stock for Boundless Bio Common Stock under Section 351(a) of the Code. In connection with the signing of the Merger Agreement, Boundless Bio announced a workforce reduction of approximately 75%.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product candidates,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Historical Platform and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lead ecDTx is BBI-940, a novel, oral, selective degrader that targets a previously undrugged kinesin involved in DNA segregation, including ecDNA segregation during mitosis. In February 2026, Boundless Bio initiated a Phase 1, open-label, multicenter, first-in-human clinical trial of BBI-940 in patients with estrogen receptor positive and human epidermal growth factor receptor 2 negative (“ER+/HER2-”) breast cancer who have progressed following treatment with a cyclin-dependent kinase 4/6 inhibitor (“CDK4/6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inhibitor”) plus endocrine therapy, as well as patients with triple-negative breast cancer luminal androgen receptor subtype (“TNBC-LAR”). Boundless Bio refers to this trial as KOMODO-1 (for Kinesin Oral Molecular Degrader for Oncology-1). In June 2026, Boundless Bio announced that 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had been investigating BBI-355, a novel, oral, selective inhibitor of checkpoint kinase 1 (“CHK1”) designed to target replication stress in oncogene amplified cancers in a first-in-human Phase 1/2 clinical trial in patients with oncogene amplified cancers that it refers to as POTENTIATE (for Precision Oncology Trial Evaluating Novel Therapeutic Interrupting Amplifications Tied to ecDNA) (clinicaltrials.gov identifier NCT05827614). In the POTENTIATE trial, Boundless Bio used an internally developed ecDNA diagnostic clinical trial assay, which it refers to as ECHO (ecDNA Harboring Oncogenes), to detect ecDNA in patient tumor samples by analyzing genomic data from routine next generation sequencing (“NGS”) tests. In May 2025, Boundless Bio announced that it discontinued the monotherapy arm and combination arms of BBI-355 with third-party targeted therapies in the POTENTIATE trial based on initial trial data. During 2025, it wound down those initial arms of the POTENTIATE trial. Boundless Bio had been continuing to investigate BBI-355 in combination with BBI-825, a novel oral, selective inhibitor of ribonucleotide reductase (“RNR”) designed to target ecDNA assembly and repair; however, in January 2026, following a strategic portfolio review, Boundless Bio elected to cease enrollment of the POTENTIATE trial due to market considerations, clinical data, and prioritization of its BBI-940 program and will no longer invest in the development of ECHO. </w:t>
      </w:r>
    </w:p>
    <w:p>
      <w:pPr>
        <w:pStyle w:val="TextBody"/>
        <w:bidi w:val="0"/>
        <w:spacing w:before="240" w:after="0"/>
        <w:jc w:val="left"/>
        <w:rPr>
          <w:rFonts w:ascii="Times New Roman" w:hAnsi="Times New Roman"/>
          <w:sz w:val="20"/>
        </w:rPr>
      </w:pPr>
      <w:r>
        <w:rPr>
          <w:rFonts w:ascii="Times New Roman" w:hAnsi="Times New Roman"/>
          <w:sz w:val="20"/>
        </w:rPr>
        <w:t xml:space="preserve">Previously, in December 2024, following an assessment of preliminary PK data, Boundless Bio made the strategic decision not to proceed with evaluation of BBI-825 in a first-in-human, open-label, non-randomized, 3-part, Phase 1/2 clinical trial of BBI-825 referred to as STARMAP (for Study Treating Acquired Resistance: MAPK Amplifications). In STARMAP, BBI-825 was being evaluated in patients with solid tumors, including those with </w:t>
      </w:r>
      <w:r>
        <w:rPr>
          <w:rFonts w:ascii="Times New Roman" w:hAnsi="Times New Roman"/>
          <w:i/>
          <w:sz w:val="20"/>
        </w:rPr>
        <w:t>BRAFV600E</w:t>
      </w:r>
      <w:r>
        <w:rPr>
          <w:rFonts w:ascii="Times New Roman" w:hAnsi="Times New Roman"/>
          <w:sz w:val="20"/>
        </w:rPr>
        <w:t xml:space="preserve"> or </w:t>
      </w:r>
      <w:r>
        <w:rPr>
          <w:rFonts w:ascii="Times New Roman" w:hAnsi="Times New Roman"/>
          <w:i/>
          <w:sz w:val="20"/>
        </w:rPr>
        <w:t>KRASG12C</w:t>
      </w:r>
      <w:r>
        <w:rPr>
          <w:rFonts w:ascii="Times New Roman" w:hAnsi="Times New Roman"/>
          <w:sz w:val="20"/>
        </w:rPr>
        <w:t xml:space="preserve">mutated colorectal cancer that developed resistance oncogene amplifications. Boundless Bio completed the winddown of the STARMAP trial in 2025. </w:t>
      </w:r>
    </w:p>
    <w:p>
      <w:pPr>
        <w:pStyle w:val="TextBody"/>
        <w:bidi w:val="0"/>
        <w:spacing w:before="480" w:after="0"/>
        <w:jc w:val="center"/>
        <w:rPr>
          <w:rFonts w:ascii="Times New Roman" w:hAnsi="Times New Roman"/>
          <w:b/>
          <w:sz w:val="20"/>
        </w:rPr>
      </w:pPr>
      <w:r>
        <w:rPr>
          <w:rFonts w:ascii="Times New Roman" w:hAnsi="Times New Roman"/>
          <w:b/>
          <w:sz w:val="20"/>
        </w:rPr>
        <w:t xml:space="preserve">Boundless Bio’s Historical Pipeline and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949950" cy="1343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9950" cy="1343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Spyglass is Boundless Bio’s proprietary platform that leverages ecDNA biology to identify new cancer drug targets. These targets span multiple, diverse synthetic lethal nodes in oncogene amplified cancers. In addition to the ecDTx programs described above, Boundless Bio had preclinically validated multiple additional targets and conducted ecDTx drug discovery efforts to identify candidates against certain targets. All of Boundless Bio’s ecDTx have been discovered internally, and it retains global rights for all of its programs.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Oncogene Amplified Cancers and the Role of Extrachromosomal DNA </w:t>
      </w:r>
    </w:p>
    <w:p>
      <w:pPr>
        <w:pStyle w:val="TextBody"/>
        <w:bidi w:val="0"/>
        <w:spacing w:before="120" w:after="0"/>
        <w:jc w:val="left"/>
        <w:rPr>
          <w:rFonts w:ascii="Times New Roman" w:hAnsi="Times New Roman"/>
          <w:sz w:val="20"/>
        </w:rPr>
      </w:pPr>
      <w:r>
        <w:rPr>
          <w:rFonts w:ascii="Times New Roman" w:hAnsi="Times New Roman"/>
          <w:sz w:val="20"/>
        </w:rPr>
        <w:t xml:space="preserve">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Targeted therapies and immunotherapies have proven largely ineffective in oncogene amplified cancers. </w:t>
      </w:r>
    </w:p>
    <w:p>
      <w:pPr>
        <w:pStyle w:val="TextBody"/>
        <w:bidi w:val="0"/>
        <w:spacing w:before="240" w:after="0"/>
        <w:jc w:val="left"/>
        <w:rPr>
          <w:rFonts w:ascii="Times New Roman" w:hAnsi="Times New Roman"/>
          <w:sz w:val="20"/>
        </w:rPr>
      </w:pPr>
      <w:r>
        <w:rPr>
          <w:rFonts w:ascii="Times New Roman" w:hAnsi="Times New Roman"/>
          <w:sz w:val="20"/>
        </w:rPr>
        <w:t xml:space="preserve">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ecDNA are cancer- specific, circular fragments of genomic DNA that often encode full-length genes and regulatory regions such as promoters. ecDNA are physically separate from chromosomes, but still reside in the nucleus, and have unique properties that make them a common cellular mechanism for oncogene amplification. Oncogenes amplified on ecDNA have features that distinguish them from amplifications located on chromosomes, including overexpression and heterogeneity, that uniquely enable amplification-dependent, ecDNA-enabled tumors to rapidly adapt and evade therapeutics such as targeted therapies. The rapid adaptability afforded by ecDNA-enabled genomic plasticity, including oncogene switching, helps account for the failure of targeted therapies against oncogene amplification-driven tumors, as well as amplification-driven resistance. </w:t>
      </w:r>
    </w:p>
    <w:p>
      <w:pPr>
        <w:pStyle w:val="TextBody"/>
        <w:bidi w:val="0"/>
        <w:spacing w:before="360" w:after="0"/>
        <w:jc w:val="left"/>
        <w:rPr>
          <w:rFonts w:ascii="Times New Roman" w:hAnsi="Times New Roman"/>
          <w:b/>
          <w:sz w:val="20"/>
        </w:rPr>
      </w:pPr>
      <w:r>
        <w:rPr>
          <w:rFonts w:ascii="Times New Roman" w:hAnsi="Times New Roman"/>
          <w:b/>
          <w:sz w:val="20"/>
        </w:rPr>
        <w:t>Boundless Bio’s Historical Approach to Treating ecDNA-Enabled Cancer</w:t>
      </w:r>
    </w:p>
    <w:p>
      <w:pPr>
        <w:pStyle w:val="TextBody"/>
        <w:bidi w:val="0"/>
        <w:spacing w:before="120" w:after="0"/>
        <w:jc w:val="left"/>
        <w:rPr>
          <w:rFonts w:ascii="Times New Roman" w:hAnsi="Times New Roman"/>
          <w:sz w:val="20"/>
        </w:rPr>
      </w:pPr>
      <w:r>
        <w:rPr>
          <w:rFonts w:ascii="Times New Roman" w:hAnsi="Times New Roman"/>
          <w:sz w:val="20"/>
        </w:rPr>
        <w:t xml:space="preserve">Boundless Bio explored the ecDNA lifecycle to identify nodes of synthetic lethality in cancers reliant on amplification biology. In contrast to current precision medicine approaches that focus on targeting proteins that result directly from mutations or fusions of oncogenes such as </w:t>
      </w:r>
      <w:r>
        <w:rPr>
          <w:rFonts w:ascii="Times New Roman" w:hAnsi="Times New Roman"/>
          <w:i/>
          <w:sz w:val="20"/>
        </w:rPr>
        <w:t>EGFR</w:t>
      </w:r>
      <w:r>
        <w:rPr>
          <w:rFonts w:ascii="Times New Roman" w:hAnsi="Times New Roman"/>
          <w:sz w:val="20"/>
        </w:rPr>
        <w:t xml:space="preserve">, </w:t>
      </w:r>
      <w:r>
        <w:rPr>
          <w:rFonts w:ascii="Times New Roman" w:hAnsi="Times New Roman"/>
          <w:i/>
          <w:sz w:val="20"/>
        </w:rPr>
        <w:t>BRAF</w:t>
      </w:r>
      <w:r>
        <w:rPr>
          <w:rFonts w:ascii="Times New Roman" w:hAnsi="Times New Roman"/>
          <w:sz w:val="20"/>
        </w:rPr>
        <w:t xml:space="preserve">, and </w:t>
      </w:r>
      <w:r>
        <w:rPr>
          <w:rFonts w:ascii="Times New Roman" w:hAnsi="Times New Roman"/>
          <w:i/>
          <w:sz w:val="20"/>
        </w:rPr>
        <w:t>ALK</w:t>
      </w:r>
      <w:r>
        <w:rPr>
          <w:rFonts w:ascii="Times New Roman" w:hAnsi="Times New Roman"/>
          <w:sz w:val="20"/>
        </w:rPr>
        <w:t xml:space="preserve">, Boundless Bio’s precision medicine approach centered on disrupting ecDNA functionality in the cancer cells of patients who are genomically selected based on the presence of ecDNA-enabled amplification in their tumors. Instead of targeting the specific protein products of the oncogenes encoded by ecDNA, Boundless Bio’s novel small molecule ecDTx were designed to inhibit cellular machinery proteins that enable ecDNA to function properly, such as those critical for ecDNA formation, expression, replication, repair, and segregation.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built its proprietary Spyglass platform to identify specific, druggable targets essential to ecDNA formation and function in cancer cells. To its knowledge, Spyglass is the only platform for identifying ecDNA-enabled vulnerabilities in cancer. Boundless Bio preclinically validated each drug target through its purpose-built validation funnel consisting of multiple oncogene amplified cancer models. The targets that it identified and preclinically validated represented synthetic lethalities for oncogene amplified or other chromosomally unstable tumors. </w:t>
      </w:r>
    </w:p>
    <w:p>
      <w:pPr>
        <w:pStyle w:val="TextBody"/>
        <w:bidi w:val="0"/>
        <w:spacing w:before="240" w:after="0"/>
        <w:jc w:val="left"/>
        <w:rPr>
          <w:rFonts w:ascii="Times New Roman" w:hAnsi="Times New Roman"/>
          <w:sz w:val="20"/>
        </w:rPr>
      </w:pPr>
      <w:r>
        <w:rPr>
          <w:rFonts w:ascii="Times New Roman" w:hAnsi="Times New Roman"/>
          <w:sz w:val="20"/>
        </w:rPr>
        <w:t>Spyglass consists of the following elements: a heavily curated library of oncogene amplified cancer model systems, including ecDNA-enabled models, and control models; a suite of custom-built analytical tools designed to detect, quantify, characterize, monitor, and perturb ecDNA; and large databases to understand amplification biology</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Prior Lead ecDTx: BBI-940 Kinesin Degrader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prior lead ecDTx, BBI-940, is a novel, oral, selective kinesin degrader that was being developed for the treatment of patients with ER+/HER2- breast cancer who have progressed following treatment with a CDK4/6 inhibitor plus endocrine therapy, as well as patients with TNBC-LAR. BBI-940 targets a specific kinesin protein, referred to here as Kinesin, that functions in chromosome alignment and proper cell division. In February 2026, Boundless Bio initiated the KOMODO-1 trial, a Phase 1, open-label, multicenter, first-in-human clinical trial of BBI-940 in patients with ER+/HER2- metastatic breast cancer who have progressed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with a CDK4/6 inhibitor plus endocrine therapy, as well as in patients with metastatic TNBC-LAR. In June 2026, Boundless Bio announced that based on preliminary exposure data obtained in the early dose escalation cohorts of the KOMODO-1 clinical trial, Boundless Bio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Bio’s Other Prior Programs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had been investigating BBI-355, a novel, oral, selective inhibitor of CHK1 designed to target replication stress in oncogene amplified cancers, in a first-in-human Phase 1/2 clinical trial in patients with oncogene amplified cancers in the POTENTIATE trial. In May 2025, Boundless Bio announced that it discontinued the monotherapy arm and combination arms of BBI-355 with third-party targeted therapies in the POTENTIATE trial based on initial trial data. During 2025, it wound down those initial arms of the trial. Boundless Bio had been continuing to investigate BBI-355 in combination with BBI-825, a novel oral, selective inhibitor of RNR designed to target ecDNA assembly and repair; however, in January 2026, following a strategic portfolio review, Boundless Bio elected to cease enrollment of this last arm of the POTENTIATE trial due to market considerations, clinical data, and prioritization of its BBI-940 program and will no longer invest in the development of ECHO, which is an ecDNA diagnostic clinical trial assay used in the POTENTIATE trial. </w:t>
      </w:r>
    </w:p>
    <w:p>
      <w:pPr>
        <w:pStyle w:val="TextBody"/>
        <w:bidi w:val="0"/>
        <w:spacing w:before="240" w:after="0"/>
        <w:jc w:val="left"/>
        <w:rPr>
          <w:rFonts w:ascii="Times New Roman" w:hAnsi="Times New Roman"/>
          <w:sz w:val="20"/>
        </w:rPr>
      </w:pPr>
      <w:r>
        <w:rPr>
          <w:rFonts w:ascii="Times New Roman" w:hAnsi="Times New Roman"/>
          <w:sz w:val="20"/>
        </w:rPr>
        <w:t xml:space="preserve">Previously, in December 2024, following an assessment of preliminary PK data, Boundless Bio made the strategic decision not to proceed with evaluation of BBI-825 in the STARMAP trial, a first-in-human, open-label, non-randomized, 3-part, Phase 1/2 clinical trial. In STARMAP, BBI-825 was being evaluated in patients with solid tumors, including those with </w:t>
      </w:r>
      <w:r>
        <w:rPr>
          <w:rFonts w:ascii="Times New Roman" w:hAnsi="Times New Roman"/>
          <w:i/>
          <w:sz w:val="20"/>
        </w:rPr>
        <w:t>BRAFV600E</w:t>
      </w:r>
      <w:r>
        <w:rPr>
          <w:rFonts w:ascii="Times New Roman" w:hAnsi="Times New Roman"/>
          <w:sz w:val="20"/>
        </w:rPr>
        <w:t xml:space="preserve"> or </w:t>
      </w:r>
      <w:r>
        <w:rPr>
          <w:rFonts w:ascii="Times New Roman" w:hAnsi="Times New Roman"/>
          <w:i/>
          <w:sz w:val="20"/>
        </w:rPr>
        <w:t>KRASG12C</w:t>
      </w:r>
      <w:r>
        <w:rPr>
          <w:rFonts w:ascii="Times New Roman" w:hAnsi="Times New Roman"/>
          <w:sz w:val="20"/>
        </w:rPr>
        <w:t xml:space="preserve">mutated colorectal cancer that developed resistance oncogene amplifications. Boundless Bio completed the winddown of the STARMAP trial in 2025. </w:t>
      </w:r>
    </w:p>
    <w:p>
      <w:pPr>
        <w:pStyle w:val="TextBody"/>
        <w:bidi w:val="0"/>
        <w:spacing w:before="360" w:after="0"/>
        <w:jc w:val="left"/>
        <w:rPr>
          <w:rFonts w:ascii="Times New Roman" w:hAnsi="Times New Roman"/>
          <w:b/>
          <w:sz w:val="20"/>
        </w:rPr>
      </w:pPr>
      <w:r>
        <w:rPr>
          <w:rFonts w:ascii="Times New Roman" w:hAnsi="Times New Roman"/>
          <w:b/>
          <w:sz w:val="20"/>
        </w:rPr>
        <w:t xml:space="preserve">Spyglass Drug Discovery Platform </w:t>
      </w:r>
    </w:p>
    <w:p>
      <w:pPr>
        <w:pStyle w:val="TextBody"/>
        <w:bidi w:val="0"/>
        <w:spacing w:before="120" w:after="0"/>
        <w:jc w:val="left"/>
        <w:rPr>
          <w:rFonts w:ascii="Times New Roman" w:hAnsi="Times New Roman"/>
          <w:sz w:val="20"/>
        </w:rPr>
      </w:pPr>
      <w:r>
        <w:rPr>
          <w:rFonts w:ascii="Times New Roman" w:hAnsi="Times New Roman"/>
          <w:sz w:val="20"/>
        </w:rPr>
        <w:t xml:space="preserve">Spyglass is Boundless Bio’s internal proprietary platform used to identify targets that exploit cellular vulnerabilities of oncogene amplified cancers. In addition to its programs described above, Boundless Bio had preclinically validated multiple additional targets and had initiated ecDTx drug discovery efforts to identify potential candidates against such targets. All of Boundless Bio’s ecDTx have been discovered internally, and it retains global rights for all of its programs. </w:t>
      </w:r>
    </w:p>
    <w:p>
      <w:pPr>
        <w:pStyle w:val="TextBody"/>
        <w:bidi w:val="0"/>
        <w:spacing w:before="360" w:after="0"/>
        <w:jc w:val="left"/>
        <w:rPr>
          <w:rFonts w:ascii="Times New Roman" w:hAnsi="Times New Roman"/>
          <w:b/>
          <w:sz w:val="20"/>
        </w:rPr>
      </w:pPr>
      <w:r>
        <w:rPr>
          <w:rFonts w:ascii="Times New Roman" w:hAnsi="Times New Roman"/>
          <w:b/>
          <w:sz w:val="20"/>
        </w:rPr>
        <w:t>Competition</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rapid evolution of technologies and understanding of disease etiology, intense development and commercial competition, and a strong emphasis on intellectual property. If Boundless Bio decides to develop any current or future ecDTx, it expects competition from multiple sources, including major biopharmaceutical, specialty pharmaceutical, and existing or emerging biotechnology companies, academic research institutions, governmental agencies, and public and private research institutions worldwide. Many of its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Boundless Bio does.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those of Boundless Bio by studying ecDNA at scale in the context of oncogene amplified cancer. Even if they do not advance programs with the same mechanism(s) of action as that of Boundless Bio, these companies could develop products or product candidates that are competitive with Boundless Bio’s or that have a superior product profile and may do so at a rapid pace. In connection with any such development, Boundless Bio faces competition from segments of the pharmaceutical, biotechnology, and other related markets that pursue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precision oncology therapies for patients with genetically defined cancers. In addition, Boundless Bio may face competition from companies developing product candidates that are based on synthetic lethality in cancer.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such development is pursued, Boundless Bio also faces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addition, many companies are developing new oncology therapeutics, and Boundless Bio cannot predict what the standard of care will be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As of July 15, 2026, Boundless Bio’s intellectual property portfolio included 21 patent families solely owned by it, which include 5 pending U.S. provisional applications, 16 pending U.S. non-provisional patent applications, 5 issued U.S. patents, pending applications in China, Europe, Hong Kong, Japan, and Taiwan, as well as 3 pending applications filed pursuant to the Patent Cooperation Treaty (“PCT”). Boundless Bio cannot be sure that patents will be granted with respect to any of its pending patent applications if it were to decide to continue pursuing any of them, or with respect to any patent applications it may own or license in the future, nor can it be sure that any patents it may own or license in the future would be useful in protecting its technology. Please see “</w:t>
      </w:r>
      <w:r>
        <w:rPr>
          <w:rFonts w:ascii="Times New Roman" w:hAnsi="Times New Roman"/>
          <w:i/>
          <w:sz w:val="20"/>
        </w:rPr>
        <w:t>Risk Factors — Risks Related to Boundless Bio’s Intellectual Property</w:t>
      </w:r>
      <w:r>
        <w:rPr>
          <w:rFonts w:ascii="Times New Roman" w:hAnsi="Times New Roman"/>
          <w:sz w:val="20"/>
        </w:rPr>
        <w:t xml:space="preserve">” for additional information on the risks associated with Boundless Bio’s intellectual property strategy and portfolio. </w:t>
      </w:r>
    </w:p>
    <w:p>
      <w:pPr>
        <w:pStyle w:val="TextBody"/>
        <w:bidi w:val="0"/>
        <w:spacing w:before="360" w:after="0"/>
        <w:jc w:val="left"/>
        <w:rPr>
          <w:rFonts w:ascii="Times New Roman" w:hAnsi="Times New Roman"/>
          <w:b/>
          <w:i/>
          <w:sz w:val="20"/>
        </w:rPr>
      </w:pPr>
      <w:r>
        <w:rPr>
          <w:rFonts w:ascii="Times New Roman" w:hAnsi="Times New Roman"/>
          <w:b/>
          <w:i/>
          <w:sz w:val="20"/>
        </w:rPr>
        <w:t>Intellectual Property Relating to Kinesin Program</w:t>
      </w:r>
    </w:p>
    <w:p>
      <w:pPr>
        <w:pStyle w:val="TextBody"/>
        <w:bidi w:val="0"/>
        <w:spacing w:before="120" w:after="0"/>
        <w:jc w:val="left"/>
        <w:rPr>
          <w:rFonts w:ascii="Times New Roman" w:hAnsi="Times New Roman"/>
          <w:sz w:val="20"/>
        </w:rPr>
      </w:pPr>
      <w:r>
        <w:rPr>
          <w:rFonts w:ascii="Times New Roman" w:hAnsi="Times New Roman"/>
          <w:sz w:val="20"/>
        </w:rPr>
        <w:t xml:space="preserve">With regard to Boundless Bio’s prior Kinesin program, including BBI-940, as of July 15, 2026, it owned 4 patent families, including 4 pending U.S. provisional applications, 1 pending U.S. non-provisional patent application, 2 pending applications in Taiwan, as well as 2 pending applications filed pursuant to the PCT. These patent rights relate to compositions of matter, as well as methods of treating diseases using Kinesin inhibitors and degraders. Boundless Bio expects these patents and patents issued from these applications, if any and if Boundless Bio decides to pursue them, to expire in 2042-2047 without accounting for any patent term adjustment or extension that may be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With regard to Boundless Bio’s prior CHK1 program, including BBI-355, as of July 15, 2026, it owned 9 patent families, for which it had been pursuing 1 pending U.S. provisional application, 7 pending U.S. non-provisional patent applications, 4 issued U.S. patents, pending applications in China, Europe, Hong Kong, and Japan, as well as 1 pending application filed pursuant to the PCT. These patent rights relate to compositions of matter, as well as methods of treating diseases using CHK1 inhibitors. Boundless Bio expects these patents and patents issued from these applications, if any, to expire in 2041-2046 without accounting for any patent term adjustment or extension that may be available.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Boundless Bio’s prior RNR program, including BBI-825, as of July 15, 2026, it owned 7 families (2 of which also cover its CHK1 program), for which it is currently pursuing 1 pending U.S. provisional application, 5 pending U.S. non-provisional patent applications, 1 issued U.S. patent, pending applications in China, Europe, Hong Kong, and Japan, as well as 1 pending application filed pursuant to the PCT. These patent rights relate to the compositions of matter, as well as methods of treating diseases using RNR inhibitors. Boundless Bio expects patents issued from these applications, if any and if Boundless Bio decides to pursue them, to expire in 2041-2046 without accounting for any patent term adjustment or extension that may be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regard to Boundless Bio’s precision medicine approach, it developed a proprietary diagnostic to detect ecDNA based on the data outputs from NGS tests routinely used to profile patient tumor samples. As of July 15, 2026, it owned 1 patent family related to methods of detecting ecDNA signatures in cancers for which it had been pursuing 1 pending U.S. non-provisional patent application. Boundless Bio expects patents issued from this application, if any and if Boundless Bio decides to pursue it, to expire in 2044 without accounting for any patent term adjustment or extension that may be available. Boundless Bio also protects the intellectual property related to ecDNA detection as a trade secret. </w:t>
      </w:r>
    </w:p>
    <w:p>
      <w:pPr>
        <w:pStyle w:val="TextBody"/>
        <w:bidi w:val="0"/>
        <w:spacing w:before="360" w:after="0"/>
        <w:jc w:val="left"/>
        <w:rPr>
          <w:rFonts w:ascii="Times New Roman" w:hAnsi="Times New Roman"/>
          <w:b/>
          <w:i/>
          <w:sz w:val="20"/>
        </w:rPr>
      </w:pPr>
      <w:r>
        <w:rPr>
          <w:rFonts w:ascii="Times New Roman" w:hAnsi="Times New Roman"/>
          <w:b/>
          <w:i/>
          <w:sz w:val="20"/>
        </w:rPr>
        <w:t>Duration of Intellectual Property Protection</w:t>
      </w:r>
    </w:p>
    <w:p>
      <w:pPr>
        <w:pStyle w:val="TextBody"/>
        <w:bidi w:val="0"/>
        <w:spacing w:before="120" w:after="0"/>
        <w:jc w:val="left"/>
        <w:rPr>
          <w:rFonts w:ascii="Times New Roman" w:hAnsi="Times New Roman"/>
          <w:sz w:val="20"/>
        </w:rPr>
      </w:pPr>
      <w:r>
        <w:rPr>
          <w:rFonts w:ascii="Times New Roman" w:hAnsi="Times New Roman"/>
          <w:sz w:val="20"/>
        </w:rPr>
        <w:t xml:space="preserve">The term of individual patents depends upon the laws of the countries in which they are obtained. In most countries in which Boundless Bio has filed,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does not own or operate, and currently has no plans to establish, any manufacturing facilities. Boundless Bio has relied, and expects to continue to rely, on third parties for the manufacture of any ecDTx for any future preclinical and clinical testing, as well as for commercial manufacture if it develops any ecDTx and any of such ecDTx were to obtain marketing approval. </w:t>
      </w:r>
    </w:p>
    <w:p>
      <w:pPr>
        <w:pStyle w:val="TextBody"/>
        <w:bidi w:val="0"/>
        <w:spacing w:before="360" w:after="0"/>
        <w:jc w:val="left"/>
        <w:rPr>
          <w:rFonts w:ascii="Times New Roman" w:hAnsi="Times New Roman"/>
          <w:b/>
          <w:sz w:val="20"/>
        </w:rPr>
      </w:pPr>
      <w:r>
        <w:rPr>
          <w:rFonts w:ascii="Times New Roman" w:hAnsi="Times New Roman"/>
          <w:b/>
          <w:sz w:val="20"/>
        </w:rPr>
        <w:t>Government Regulation</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other countries extensively regulate, among other things, the research, development, testing, manufacture, quality control, import, export, safety, effectiveness, approval, labeling, packaging, storage, record-keeping, promotion, advertising, distribution, marketing and post-approval activities of drug and biological product candidates, such as those Boundless Bio is developing. </w:t>
      </w:r>
    </w:p>
    <w:p>
      <w:pPr>
        <w:pStyle w:val="TextBody"/>
        <w:bidi w:val="0"/>
        <w:spacing w:before="360" w:after="0"/>
        <w:jc w:val="left"/>
        <w:rPr>
          <w:rFonts w:ascii="Times New Roman" w:hAnsi="Times New Roman"/>
          <w:b/>
          <w:i/>
          <w:sz w:val="20"/>
        </w:rPr>
      </w:pPr>
      <w:r>
        <w:rPr>
          <w:rFonts w:ascii="Times New Roman" w:hAnsi="Times New Roman"/>
          <w:b/>
          <w:i/>
          <w:sz w:val="20"/>
        </w:rPr>
        <w:t>U.S. Drug Development Process</w:t>
      </w:r>
    </w:p>
    <w:p>
      <w:pPr>
        <w:pStyle w:val="TextBody"/>
        <w:bidi w:val="0"/>
        <w:spacing w:before="120" w:after="0"/>
        <w:jc w:val="left"/>
        <w:rPr>
          <w:rFonts w:ascii="Times New Roman" w:hAnsi="Times New Roman"/>
          <w:sz w:val="20"/>
        </w:rPr>
      </w:pPr>
      <w:r>
        <w:rPr>
          <w:rFonts w:ascii="Times New Roman" w:hAnsi="Times New Roman"/>
          <w:sz w:val="20"/>
        </w:rPr>
        <w:t>In the United States, the FDA regulates drugs under the Federal Food, Drug, and Cosmetic Act (“FDCA”) and its implementing regulations.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The process required by the FDA before a new drug may be marketed in the United States generally involves the following:</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or preclinical laboratory tests, animal studies, and formulation studies, with certain studies conducted in accordance with Good Laboratory Practice (“GLP”) regulations, and other applicable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regulations (“GCPs”) to evaluate the safety and efficacy of the product candidate for its intended use;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after completion of all pivotal trials;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an NDA to file the application for review;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to permit commercial marketing of the product for particular indications for use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begin or resume after the FDA has notified the sponsor that the investigation may proceed. </w:t>
      </w:r>
    </w:p>
    <w:p>
      <w:pPr>
        <w:pStyle w:val="TextBody"/>
        <w:bidi w:val="0"/>
        <w:spacing w:before="240" w:after="0"/>
        <w:jc w:val="left"/>
        <w:rPr>
          <w:rFonts w:ascii="Times New Roman" w:hAnsi="Times New Roman"/>
          <w:sz w:val="20"/>
        </w:rPr>
      </w:pPr>
      <w:r>
        <w:rPr>
          <w:rFonts w:ascii="Times New Roman" w:hAnsi="Times New Roman"/>
          <w:sz w:val="20"/>
        </w:rPr>
        <w:t xml:space="preserve">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hAnsi="Times New Roman"/>
          <w:i/>
          <w:sz w:val="20"/>
        </w:rPr>
        <w:t>in vitro</w:t>
      </w:r>
      <w:r>
        <w:rPr>
          <w:rFonts w:ascii="Times New Roman" w:hAnsi="Times New Roman"/>
          <w:sz w:val="20"/>
        </w:rPr>
        <w:t xml:space="preserve"> testing suggesting a significant risk to humans, and any clinically important increased incidence of a serious suspected adverse reaction compared to that listed in the protocol or investigator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brochure. The sponsor must report to the FDA any suspected adverse reaction that is both serious and unexpected within fifteen days after the sponsor’s initial receipt of the information. The sponsor must also report to the FDA any unexpected fatal or life-threatening suspected adverse reaction within seven calendar days after the sponsor’s initial receipt of the information. </w:t>
      </w:r>
    </w:p>
    <w:p>
      <w:pPr>
        <w:pStyle w:val="TextBody"/>
        <w:bidi w:val="0"/>
        <w:spacing w:before="240" w:after="0"/>
        <w:jc w:val="left"/>
        <w:rPr>
          <w:rFonts w:ascii="Times New Roman" w:hAnsi="Times New Roman"/>
          <w:sz w:val="20"/>
        </w:rPr>
      </w:pPr>
      <w:r>
        <w:rPr>
          <w:rFonts w:ascii="Times New Roman" w:hAnsi="Times New Roman"/>
          <w:sz w:val="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registration of certain clinical trials and reporting of ongoing clinical studies and clinical trial results to public registries, including clinicaltrials.gov.</w:t>
      </w:r>
    </w:p>
    <w:p>
      <w:pPr>
        <w:pStyle w:val="TextBody"/>
        <w:bidi w:val="0"/>
        <w:spacing w:before="240" w:after="0"/>
        <w:jc w:val="left"/>
        <w:rPr>
          <w:rFonts w:ascii="Times New Roman" w:hAnsi="Times New Roman"/>
          <w:sz w:val="20"/>
        </w:rPr>
      </w:pPr>
      <w:r>
        <w:rPr>
          <w:rFonts w:ascii="Times New Roman" w:hAnsi="Times New Roman"/>
          <w:sz w:val="20"/>
        </w:rPr>
        <w:t>Human clinical trials are typically conducted in three sequential phases that may overlap or be combined: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 identify any adverse effects, and determine maximal dosage.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3: The product candidate is administered to an expanded patient population to further evaluate dosage, to provide substantial evidence of efficacy, purity, and potency,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2026, via an editorial published in the </w:t>
      </w:r>
      <w:r>
        <w:rPr>
          <w:rFonts w:ascii="Times New Roman" w:hAnsi="Times New Roman"/>
          <w:i/>
          <w:sz w:val="20"/>
        </w:rPr>
        <w:t>New England Journal of Medicine</w:t>
      </w:r>
      <w:r>
        <w:rPr>
          <w:rFonts w:ascii="Times New Roman" w:hAnsi="Times New Roman"/>
          <w:sz w:val="20"/>
        </w:rPr>
        <w:t>, the FDA Commissioner and the director of the FDA’s Center for Biologics Evaluation and Research announced a policy shift whereby, going forward, the FDA’s default position will be “a one-trial requirement,” meaning that one adequate and well-controlled study, combined with confirmatory evidence, will serve as the basis of marketing authorization of novel product candidates. Confirmatory evidence can include mechanistic science, data from a related indication, animal models, information from other drugs of the same class, real-world evidence, or a second adequate and well-controlled study. The announcement represents a major shift from the FDA’s historical default requirement of two pivotal clinical trials. However, as indicated by FDA representatives during informal interviews and other media appearances, if FDA shifts to only requiring a single trial, it may heighten the standard for these trials in terms of quality. For example, the FDA indicated it will carefully examine all aspects of study design with particular focus on controls, end points, effect size, and statistical protocols. The FDA may still require additional adequate and well-controlled studies if a product candidate has a nebulous, pluripotent, or nonspecific mechanism of action; if it affects a labile, short-term, or surrogate outcome; or if a trial has some underlying limitation or deficiency. The editorial also referenced a new postmarket initiative being rolled out synchronously to collect robust data on all drugs and devices. The FDA has not published formal guidance regarding the new one-trial default option or postmarket surveillance initiative.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Post-approval trials, sometimes referred to as Phase 4 studies, may be conducted after initial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240" w:after="0"/>
        <w:jc w:val="left"/>
        <w:rPr>
          <w:rFonts w:ascii="Times New Roman" w:hAnsi="Times New Roman"/>
          <w:sz w:val="20"/>
        </w:rPr>
      </w:pPr>
      <w:r>
        <w:rPr>
          <w:rFonts w:ascii="Times New Roman" w:hAnsi="Times New Roman"/>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before="360" w:after="0"/>
        <w:jc w:val="left"/>
        <w:rPr>
          <w:rFonts w:ascii="Times New Roman" w:hAnsi="Times New Roman"/>
          <w:b/>
          <w:i/>
          <w:sz w:val="20"/>
        </w:rPr>
      </w:pPr>
      <w:r>
        <w:rPr>
          <w:rFonts w:ascii="Times New Roman" w:hAnsi="Times New Roman"/>
          <w:b/>
          <w:i/>
          <w:sz w:val="20"/>
        </w:rPr>
        <w:t xml:space="preserve">U.S. Review and Approval Process </w:t>
      </w:r>
    </w:p>
    <w:p>
      <w:pPr>
        <w:pStyle w:val="TextBody"/>
        <w:bidi w:val="0"/>
        <w:spacing w:before="120" w:after="0"/>
        <w:jc w:val="left"/>
        <w:rPr>
          <w:rFonts w:ascii="Times New Roman" w:hAnsi="Times New Roman"/>
          <w:sz w:val="20"/>
        </w:rPr>
      </w:pPr>
      <w:r>
        <w:rPr>
          <w:rFonts w:ascii="Times New Roman" w:hAnsi="Times New Roman"/>
          <w:sz w:val="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TextBody"/>
        <w:bidi w:val="0"/>
        <w:spacing w:before="240" w:after="0"/>
        <w:jc w:val="left"/>
        <w:rPr>
          <w:rFonts w:ascii="Times New Roman" w:hAnsi="Times New Roman"/>
          <w:sz w:val="20"/>
        </w:rPr>
      </w:pPr>
      <w:r>
        <w:rPr>
          <w:rFonts w:ascii="Times New Roman" w:hAnsi="Times New Roman"/>
          <w:sz w:val="20"/>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0"/>
        <w:jc w:val="left"/>
        <w:rPr>
          <w:rFonts w:ascii="Times New Roman" w:hAnsi="Times New Roman"/>
          <w:sz w:val="20"/>
        </w:rPr>
      </w:pPr>
      <w:r>
        <w:rPr>
          <w:rFonts w:ascii="Times New Roman" w:hAnsi="Times New Roman"/>
          <w:sz w:val="20"/>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an NDA for a new molecular entity to complete a standard review and act on the submission. This review typically takes twelve months from the date the NDA is submitted to FDA because the FDA has approximately two months to make a “filing” decision after the application is submitted.</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an application for a novel drug to an advisory committee. An advisory committee is a panel of independent experts, including clinicians and other scientific experts, that reviews, evaluates, and provides recommendations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an NDA, the FDA will typically inspect the facility or facilities where the product is manufactured to assure compliance with cGMPs. Additionally, before approving an NDA, the FDA may inspect one or more clinical trial sites to assure compliance with GCPs. After the FDA evaluates an NDA and conducts any required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for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resubmitted NDA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If a product receives regulatory approval, the approval may be significantly limited to specific diseases and dosages or the indications for use may otherwise be limited, which could restrict the commercial value of the product. In addition, the FDA may require that contraindications, warnings or precautions be included in the product’s labeling; require that post-approval studies be conducted to further assess the drug’s safety or effectiveness; require testing and surveillance programs to monitor the safety of the commercialized product; or impose other conditions, including distribution restrictions or other risk management mechanisms, including a risk evaluation and mitigation strategy (REMS) to assure safe use of the product.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pStyle w:val="TextBody"/>
        <w:bidi w:val="0"/>
        <w:spacing w:before="360" w:after="0"/>
        <w:jc w:val="left"/>
        <w:rPr>
          <w:rFonts w:ascii="Times New Roman" w:hAnsi="Times New Roman"/>
          <w:b/>
          <w:i/>
          <w:sz w:val="20"/>
        </w:rPr>
      </w:pPr>
      <w:r>
        <w:rPr>
          <w:rFonts w:ascii="Times New Roman" w:hAnsi="Times New Roman"/>
          <w:b/>
          <w:i/>
          <w:sz w:val="20"/>
        </w:rPr>
        <w:t>Orphan Drug Designation</w:t>
      </w:r>
    </w:p>
    <w:p>
      <w:pPr>
        <w:pStyle w:val="TextBody"/>
        <w:bidi w:val="0"/>
        <w:spacing w:before="120" w:after="0"/>
        <w:jc w:val="left"/>
        <w:rPr>
          <w:rFonts w:ascii="Times New Roman" w:hAnsi="Times New Roman"/>
          <w:sz w:val="20"/>
        </w:rPr>
      </w:pPr>
      <w:r>
        <w:rPr>
          <w:rFonts w:ascii="Times New Roman" w:hAnsi="Times New Roman"/>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2026, Congress passed the 2026 Consolidated Appropriations Act, which included the 2026 appropriations legislation for the Department of Health and Human Services (“HHS”). The HHS appropriations bill included a package of FDA reform legislation better known as the Mikaela Naylon Give Kids a Chance Act. The bill reauthorized the Rare Pediatric Disease Priority Review Voucher program, created new pediatric testing obligations for sponsors of certain molecularly targeted combination oncology products, changed a legal definition impacting how the agency grants orphan drug exclusivity, imposed new requirements on companies to complete pediatric study requirements, and required the FDA to open a new foreign office in a country that signed the Abraham Accords. Additionally, as part of the 2026 Consolidated Appropriations Act, Congress enacted provisions revising how patent exclusivity is applied to orphan-designated drugs. This provision modifies the standard for orphan drug patent protection so that it applies to the same approved use or indication within a rare disease or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An NDA may also be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In June 2025, the FDA launched the Commissioner’s National Priority Voucher (“CNPV”) pilot program, offering drug manufacturers an expedited 30 to 60-day review by proposing plans to advance five stated priorities, which include addressing public health crises, delivering innovative cures, meeting unmet medical needs, strengthening supply chains through onshore drug manufacturing, and increasing affordability. The FDA cites examples that include developing novel medicines for obesity, PTSD, other chronic diseases, or creating universal flu vaccines. Proposals may also include domestic manufacturing expansions and commitments for the firm to implement “most favored nation” pricing models on some of their drugs. Proposals are not required to address all five priority areas, but more comprehensive plans are likely to be favored in the selection process. </w:t>
      </w:r>
    </w:p>
    <w:p>
      <w:pPr>
        <w:pStyle w:val="TextBody"/>
        <w:bidi w:val="0"/>
        <w:spacing w:before="240" w:after="0"/>
        <w:jc w:val="left"/>
        <w:rPr>
          <w:rFonts w:ascii="Times New Roman" w:hAnsi="Times New Roman"/>
          <w:sz w:val="20"/>
        </w:rPr>
      </w:pPr>
      <w:r>
        <w:rPr>
          <w:rFonts w:ascii="Times New Roman" w:hAnsi="Times New Roman"/>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Post-Approval Requirements</w:t>
      </w:r>
    </w:p>
    <w:p>
      <w:pPr>
        <w:pStyle w:val="TextBody"/>
        <w:bidi w:val="0"/>
        <w:spacing w:before="120" w:after="0"/>
        <w:jc w:val="left"/>
        <w:rPr>
          <w:rFonts w:ascii="Times New Roman" w:hAnsi="Times New Roman"/>
          <w:sz w:val="20"/>
        </w:rPr>
      </w:pPr>
      <w:r>
        <w:rPr>
          <w:rFonts w:ascii="Times New Roman" w:hAnsi="Times New Roman"/>
          <w:sz w:val="20"/>
        </w:rPr>
        <w:t xml:space="preserve">Any drug manufactured or distributed pursuant to FDA approvals is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additional labeling claims, are subject to further FDA review and approval. There also are continuing, annual program fees for any marketed products. As noted above, in February 2026, the FDA announced a new postmarket data-collection initiative applicable to all drugs and devices, but the FDA has not yet published guidance specific to this new program. </w:t>
      </w:r>
    </w:p>
    <w:p>
      <w:pPr>
        <w:pStyle w:val="TextBody"/>
        <w:bidi w:val="0"/>
        <w:spacing w:before="240" w:after="0"/>
        <w:jc w:val="left"/>
        <w:rPr>
          <w:rFonts w:ascii="Times New Roman" w:hAnsi="Times New Roman"/>
          <w:sz w:val="20"/>
        </w:rPr>
      </w:pPr>
      <w:r>
        <w:rPr>
          <w:rFonts w:ascii="Times New Roman" w:hAnsi="Times New Roman"/>
          <w:sz w:val="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which impose certain procedural and documentation requirements upon NDA holders and their third-party manufacturers.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pStyle w:val="TextBody"/>
        <w:bidi w:val="0"/>
        <w:spacing w:before="240" w:after="0"/>
        <w:jc w:val="left"/>
        <w:rPr>
          <w:rFonts w:ascii="Times New Roman" w:hAnsi="Times New Roman"/>
          <w:sz w:val="20"/>
        </w:rPr>
      </w:pPr>
      <w:r>
        <w:rPr>
          <w:rFonts w:ascii="Times New Roman" w:hAnsi="Times New Roman"/>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ongoing or planned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approvals;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FDA closely regulates the marketing, labeling, advertising, and promotion of drug products. A sponsor can only make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legally-available products for uses that are not described in the product’s labeling and that differ from those tested by Boundless Bio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Increased scrutiny over direct-to-consumer (DTC) drug advertising has been a priority of the current administration. In September 2025, the FDA announced a crackdown on deceptive drug advertising, sending thousands of letters warning pharmaceutical companies to remove misleading ads, and issuing many enforcement letters to companies with deceptive 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Exclusivity </w:t>
      </w:r>
    </w:p>
    <w:p>
      <w:pPr>
        <w:pStyle w:val="TextBody"/>
        <w:bidi w:val="0"/>
        <w:spacing w:before="120" w:after="0"/>
        <w:jc w:val="left"/>
        <w:rPr>
          <w:rFonts w:ascii="Times New Roman" w:hAnsi="Times New Roman"/>
          <w:sz w:val="20"/>
        </w:rPr>
      </w:pPr>
      <w:r>
        <w:rPr>
          <w:rFonts w:ascii="Times New Roman" w:hAnsi="Times New Roman"/>
          <w:sz w:val="20"/>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40" w:after="0"/>
        <w:jc w:val="left"/>
        <w:rPr>
          <w:rFonts w:ascii="Times New Roman" w:hAnsi="Times New Roman"/>
          <w:sz w:val="20"/>
        </w:rPr>
      </w:pPr>
      <w:r>
        <w:rPr>
          <w:rFonts w:ascii="Times New Roman" w:hAnsi="Times New Roman"/>
          <w:sz w:val="20"/>
        </w:rPr>
        <w:t xml:space="preserve">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based on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Pediatric exclusivity is another type of marketing exclusivity available in the United States. Pediatric exclusivity provides for an additional six months of marketing exclusivity attached to an existing period of regulatory exclusivity or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pStyle w:val="TextBody"/>
        <w:bidi w:val="0"/>
        <w:spacing w:before="360" w:after="0"/>
        <w:jc w:val="left"/>
        <w:rPr>
          <w:rFonts w:ascii="Times New Roman" w:hAnsi="Times New Roman"/>
          <w:b/>
          <w:i/>
          <w:sz w:val="20"/>
        </w:rPr>
      </w:pPr>
      <w:r>
        <w:rPr>
          <w:rFonts w:ascii="Times New Roman" w:hAnsi="Times New Roman"/>
          <w:b/>
          <w:i/>
          <w:sz w:val="20"/>
        </w:rPr>
        <w:t>FDA Regulation of Companion Diagnostics</w:t>
      </w:r>
    </w:p>
    <w:p>
      <w:pPr>
        <w:pStyle w:val="TextBody"/>
        <w:bidi w:val="0"/>
        <w:spacing w:before="120" w:after="0"/>
        <w:jc w:val="left"/>
        <w:rPr>
          <w:rFonts w:ascii="Times New Roman" w:hAnsi="Times New Roman"/>
          <w:sz w:val="20"/>
        </w:rPr>
      </w:pPr>
      <w:r>
        <w:rPr>
          <w:rFonts w:ascii="Times New Roman" w:hAnsi="Times New Roman"/>
          <w:sz w:val="20"/>
        </w:rPr>
        <w:t xml:space="preserve">Boundless Bio believes that certain of its ecDTx may require an </w:t>
      </w:r>
      <w:r>
        <w:rPr>
          <w:rFonts w:ascii="Times New Roman" w:hAnsi="Times New Roman"/>
          <w:i/>
          <w:sz w:val="20"/>
        </w:rPr>
        <w:t>in vitro</w:t>
      </w:r>
      <w:r>
        <w:rPr>
          <w:rFonts w:ascii="Times New Roman" w:hAnsi="Times New Roman"/>
          <w:sz w:val="20"/>
        </w:rPr>
        <w:t xml:space="preserve"> diagnostic to identify appropriate patient populations for investigation and/or use of Boundless Bio’s ecDTx.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Boundless Bio is developing, utilize the PMA pathway.</w:t>
      </w:r>
    </w:p>
    <w:p>
      <w:pPr>
        <w:pStyle w:val="TextBody"/>
        <w:bidi w:val="0"/>
        <w:spacing w:before="240" w:after="0"/>
        <w:jc w:val="left"/>
        <w:rPr>
          <w:rFonts w:ascii="Times New Roman" w:hAnsi="Times New Roman"/>
          <w:sz w:val="20"/>
        </w:rPr>
      </w:pPr>
      <w:r>
        <w:rPr>
          <w:rFonts w:ascii="Times New Roman" w:hAnsi="Times New Roman"/>
          <w:sz w:val="20"/>
        </w:rPr>
        <w:t>If use of a companion diagnostic is deemed essential to the safe and effective use of a drug product, then the FDA generally will require approval or clearance of the diagnostic contemporaneously with the approval of the therapeutic product. In August 2014, the FDA issued a final guidance document addressing the development and approval process for “</w:t>
      </w:r>
      <w:r>
        <w:rPr>
          <w:rFonts w:ascii="Times New Roman" w:hAnsi="Times New Roman"/>
          <w:i/>
          <w:sz w:val="20"/>
        </w:rPr>
        <w:t>In Vitro</w:t>
      </w:r>
      <w:r>
        <w:rPr>
          <w:rFonts w:ascii="Times New Roman" w:hAnsi="Times New Roman"/>
          <w:sz w:val="20"/>
        </w:rPr>
        <w:t xml:space="preserve">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 </w:t>
      </w:r>
    </w:p>
    <w:p>
      <w:pPr>
        <w:pStyle w:val="TextBody"/>
        <w:bidi w:val="0"/>
        <w:spacing w:before="240" w:after="0"/>
        <w:jc w:val="left"/>
        <w:rPr>
          <w:rFonts w:ascii="Times New Roman" w:hAnsi="Times New Roman"/>
          <w:sz w:val="20"/>
        </w:rPr>
      </w:pPr>
      <w:r>
        <w:rPr>
          <w:rFonts w:ascii="Times New Roman" w:hAnsi="Times New Roman"/>
          <w:sz w:val="20"/>
        </w:rPr>
        <w:t xml:space="preserve">In April 2020, the FDA released a guidance titled “Developing and Labeling </w:t>
      </w:r>
      <w:r>
        <w:rPr>
          <w:rFonts w:ascii="Times New Roman" w:hAnsi="Times New Roman"/>
          <w:i/>
          <w:sz w:val="20"/>
        </w:rPr>
        <w:t>In vitro</w:t>
      </w:r>
      <w:r>
        <w:rPr>
          <w:rFonts w:ascii="Times New Roman" w:hAnsi="Times New Roman"/>
          <w:sz w:val="20"/>
        </w:rPr>
        <w:t xml:space="preserve"> Companion Diagnostic Devices for a Specific Group of Oncology Therapeutic Products,” which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 </w:t>
      </w:r>
    </w:p>
    <w:p>
      <w:pPr>
        <w:pStyle w:val="TextBody"/>
        <w:bidi w:val="0"/>
        <w:spacing w:before="240" w:after="0"/>
        <w:jc w:val="left"/>
        <w:rPr>
          <w:rFonts w:ascii="Times New Roman" w:hAnsi="Times New Roman"/>
          <w:sz w:val="20"/>
        </w:rPr>
      </w:pPr>
      <w:r>
        <w:rPr>
          <w:rFonts w:ascii="Times New Roman" w:hAnsi="Times New Roman"/>
          <w:sz w:val="20"/>
        </w:rPr>
        <w:t xml:space="preserve">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currently imposes elaborate testing, control, documentation, and other quality assurance requirements.</w:t>
      </w:r>
    </w:p>
    <w:p>
      <w:pPr>
        <w:pStyle w:val="TextBody"/>
        <w:bidi w:val="0"/>
        <w:spacing w:before="240" w:after="0"/>
        <w:jc w:val="left"/>
        <w:rPr>
          <w:rFonts w:ascii="Times New Roman" w:hAnsi="Times New Roman"/>
          <w:sz w:val="20"/>
        </w:rPr>
      </w:pPr>
      <w:r>
        <w:rPr>
          <w:rFonts w:ascii="Times New Roman" w:hAnsi="Times New Roman"/>
          <w:sz w:val="20"/>
        </w:rPr>
        <w:t>If the FDA’s evaluation of the PMA application is favorable, the FDA may issue an approvable letter requiring the applicant’s agreement to specific conditions, such as changes in labeling, or specific additional information, such as submission of final labeling,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240" w:after="0"/>
        <w:jc w:val="left"/>
        <w:rPr>
          <w:rFonts w:ascii="Times New Roman" w:hAnsi="Times New Roman"/>
          <w:sz w:val="20"/>
        </w:rPr>
      </w:pPr>
      <w:r>
        <w:rPr>
          <w:rFonts w:ascii="Times New Roman" w:hAnsi="Times New Roman"/>
          <w:sz w:val="20"/>
        </w:rPr>
        <w:t xml:space="preserve">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2025, the FDA proposed a rule to reclassify certain class III nucleic acid-based test systems indicated for use with a corresponding approved oncology therapeutic product from class III into class II, subject to premarket notification. The FDA also proposed a new device classification regulation, along with the special controls that the FDA believes are necessary to provide a reasonable assurance of safety and effectiveness for these devices. If this proposed rule were enacted, these nucleic acid-based companion diagnostic tests would become class II devices subject to 510(k) premarket notification requirements, which could delay availability of these tests to be used with oncology therapeutics. </w:t>
      </w:r>
    </w:p>
    <w:p>
      <w:pPr>
        <w:pStyle w:val="TextBody"/>
        <w:bidi w:val="0"/>
        <w:spacing w:before="360" w:after="0"/>
        <w:jc w:val="left"/>
        <w:rPr>
          <w:rFonts w:ascii="Times New Roman" w:hAnsi="Times New Roman"/>
          <w:b/>
          <w:i/>
          <w:sz w:val="20"/>
        </w:rPr>
      </w:pPr>
      <w:r>
        <w:rPr>
          <w:rFonts w:ascii="Times New Roman" w:hAnsi="Times New Roman"/>
          <w:b/>
          <w:i/>
          <w:sz w:val="20"/>
        </w:rPr>
        <w:t>Other Healthcare Laws</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Coverage and Reimbursement</w:t>
      </w:r>
    </w:p>
    <w:p>
      <w:pPr>
        <w:pStyle w:val="TextBody"/>
        <w:bidi w:val="0"/>
        <w:spacing w:before="120" w:after="0"/>
        <w:jc w:val="left"/>
        <w:rPr>
          <w:rFonts w:ascii="Times New Roman" w:hAnsi="Times New Roman"/>
          <w:sz w:val="20"/>
        </w:rPr>
      </w:pPr>
      <w:r>
        <w:rPr>
          <w:rFonts w:ascii="Times New Roman" w:hAnsi="Times New Roman"/>
          <w:sz w:val="20"/>
        </w:rPr>
        <w:t xml:space="preserve">Successful sales of any of Boundless Bio’s future ecDTx in the U.S. market, if approved, will depend, in part, on the extent to which its ecDTx will be covered and eligible for adequate reimbursement by third-party payors, including government health programs, such as Medicare and Medicaid, and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Even if coverage is provided, the approved reimbursement amount may not be adequate to support pricing sufficient to realize a return on Boundless Bio’s investment.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or step therapy for coverage, among other things. For products administered under the supervision of a physician or other healthcare professional, obtaining coverage and adequate reimbursement may be particularly difficult because of the higher prices often associated with such drugs. Additionally, separate reimbursement for the product itself or the treatment or procedure in which the product is used or delivered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Boundless Bio’s net revenue and results. Decreases in third-party payor reimbursement for Boundless Bio’s drug candidates, if approved, or a decision by third-party payors to not cover Boundless Bio’s drug candidates could have a material adverse effect on its sales, results of operations, and financial condition.</w:t>
      </w:r>
    </w:p>
    <w:p>
      <w:pPr>
        <w:pStyle w:val="TextBody"/>
        <w:bidi w:val="0"/>
        <w:spacing w:before="240" w:after="0"/>
        <w:jc w:val="left"/>
        <w:rPr>
          <w:rFonts w:ascii="Times New Roman" w:hAnsi="Times New Roman"/>
          <w:sz w:val="20"/>
        </w:rPr>
      </w:pPr>
      <w:r>
        <w:rPr>
          <w:rFonts w:ascii="Times New Roman" w:hAnsi="Times New Roman"/>
          <w:sz w:val="20"/>
        </w:rPr>
        <w:t>General regulatory cost control measures may also affect reimbursement for Boundless Bio’s products. If Boundless Bio were to obtain approval to market a drug candidate in the United States, it may be subject to spending reductions affecting Medicare, Medicaid, or other publicly funded or subsidized health programs and/or any significant taxes or fees.</w:t>
      </w:r>
    </w:p>
    <w:p>
      <w:pPr>
        <w:pStyle w:val="TextBody"/>
        <w:bidi w:val="0"/>
        <w:spacing w:before="240" w:after="0"/>
        <w:jc w:val="left"/>
        <w:rPr>
          <w:rFonts w:ascii="Times New Roman" w:hAnsi="Times New Roman"/>
          <w:sz w:val="20"/>
        </w:rPr>
      </w:pPr>
      <w:r>
        <w:rPr>
          <w:rFonts w:ascii="Times New Roman" w:hAnsi="Times New Roman"/>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CMS, an agency within the HHS, determines whether and to what extent a new medicine will be covered and reimbursed under Medicare, and private payors tend to follow Medicare policies to a substantial degree. Factors payors frequently consider in determining reimbursement are whether the product is: (a) a covered benefit under its health plan; (b) safe, effective, and medically necessary; (c) appropriate for the specific patient; (d) cost-effective; and (e) neither experimental nor investigational. </w:t>
      </w:r>
    </w:p>
    <w:p>
      <w:pPr>
        <w:pStyle w:val="TextBody"/>
        <w:bidi w:val="0"/>
        <w:spacing w:before="240" w:after="0"/>
        <w:jc w:val="left"/>
        <w:rPr>
          <w:rFonts w:ascii="Times New Roman" w:hAnsi="Times New Roman"/>
          <w:sz w:val="20"/>
        </w:rPr>
      </w:pPr>
      <w:r>
        <w:rPr>
          <w:rFonts w:ascii="Times New Roman" w:hAnsi="Times New Roman"/>
          <w:sz w:val="20"/>
        </w:rPr>
        <w:t xml:space="preserve">Net prices for drugs may be reduced by mandatory discounts or rebates required by government healthcare programs or private payors and by any current or future programs to promote the importation of drugs from countries where they may be sold at lower prices than in the United States. Increasingly, third-party payors are requiring that drug companies provide them with predetermined discounts from list prices and are challenging the prices charged for medical products. Boundless Bio cannot provide any assurances that reimbursement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available for any product candidate that it were to commercialize and, if reimbursement were to be available, whether the level of reimbursement would be adequate. Further, reimbursement for drugs by government healthcare programs may be reduced by mandatory discounts or rebates required by such programs. Certain government healthcare programs impose ceiling prices on products of participating manufacturers. </w:t>
      </w:r>
    </w:p>
    <w:p>
      <w:pPr>
        <w:pStyle w:val="TextBody"/>
        <w:bidi w:val="0"/>
        <w:spacing w:before="360" w:after="0"/>
        <w:jc w:val="left"/>
        <w:rPr>
          <w:rFonts w:ascii="Times New Roman" w:hAnsi="Times New Roman"/>
          <w:b/>
          <w:i/>
          <w:sz w:val="20"/>
        </w:rPr>
      </w:pPr>
      <w:r>
        <w:rPr>
          <w:rFonts w:ascii="Times New Roman" w:hAnsi="Times New Roman"/>
          <w:b/>
          <w:i/>
          <w:sz w:val="20"/>
        </w:rPr>
        <w:t>U.S. Healthcare Reform</w:t>
      </w:r>
    </w:p>
    <w:p>
      <w:pPr>
        <w:pStyle w:val="TextBody"/>
        <w:bidi w:val="0"/>
        <w:spacing w:before="120" w:after="0"/>
        <w:jc w:val="left"/>
        <w:rPr>
          <w:rFonts w:ascii="Times New Roman" w:hAnsi="Times New Roman"/>
          <w:sz w:val="20"/>
        </w:rPr>
      </w:pPr>
      <w:r>
        <w:rPr>
          <w:rFonts w:ascii="Times New Roman" w:hAnsi="Times New Roman"/>
          <w:sz w:val="20"/>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pStyle w:val="TextBody"/>
        <w:bidi w:val="0"/>
        <w:spacing w:before="240" w:after="0"/>
        <w:jc w:val="left"/>
        <w:rPr>
          <w:rFonts w:ascii="Times New Roman" w:hAnsi="Times New Roman"/>
          <w:sz w:val="20"/>
        </w:rPr>
      </w:pPr>
      <w:r>
        <w:rPr>
          <w:rFonts w:ascii="Times New Roman" w:hAnsi="Times New Roman"/>
          <w:sz w:val="20"/>
        </w:rPr>
        <w:t xml:space="preserve">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Thus, the ACA will remain in force in its current form.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Enacted in August 2011, the Budget Control Act of 2011 includes reductions to Medicare payments to providers of 2% per fiscal year, which went into effect on April 1, 2013 and, due to subsequent legislative amendments to the statute,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(IRA) extended this increased tax credit assistance and removal of the 400% federal poverty limit through 2025. This tax credit assistance expired on December 31, 2025, and additional action from Congress would be needed to restore such assistance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programs, and reform government program reimbursement methodologies for products. </w:t>
      </w:r>
    </w:p>
    <w:p>
      <w:pPr>
        <w:pStyle w:val="TextBody"/>
        <w:bidi w:val="0"/>
        <w:spacing w:before="240" w:after="0"/>
        <w:jc w:val="left"/>
        <w:rPr>
          <w:rFonts w:ascii="Times New Roman" w:hAnsi="Times New Roman"/>
          <w:sz w:val="20"/>
        </w:rPr>
      </w:pPr>
      <w:r>
        <w:rPr>
          <w:rFonts w:ascii="Times New Roman" w:hAnsi="Times New Roman"/>
          <w:sz w:val="20"/>
        </w:rPr>
        <w:t xml:space="preserve">Most significantly, in August 2022, the IRA was enacted. This statute marks the most significant action by Congress with respect to the pharmaceutical industry since adoption of the ACA in 2010. Among other things, the IRA requires manufacturers of certain drugs to engage in price negotiations with Medicare, with prices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has published the negotiated prices for the initial ten drugs, which will first be effective in 2026, and has published the list of the subsequent 15 drugs that will be subject to negotiation. The IRA permits the Secretary of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the pharmaceutical industry cannot yet be fully determined but is likely to be significant. </w:t>
      </w:r>
    </w:p>
    <w:p>
      <w:pPr>
        <w:pStyle w:val="TextBody"/>
        <w:bidi w:val="0"/>
        <w:spacing w:before="240" w:after="0"/>
        <w:jc w:val="left"/>
        <w:rPr>
          <w:rFonts w:ascii="Times New Roman" w:hAnsi="Times New Roman"/>
          <w:sz w:val="20"/>
        </w:rPr>
      </w:pPr>
      <w:r>
        <w:rPr>
          <w:rFonts w:ascii="Times New Roman" w:hAnsi="Times New Roman"/>
          <w:sz w:val="20"/>
        </w:rPr>
        <w:t>At the state level, legislatures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pharmaceutical products and suppliers will be included in their prescription drug and other healthcare programs.</w:t>
      </w:r>
    </w:p>
    <w:p>
      <w:pPr>
        <w:pStyle w:val="TextBody"/>
        <w:bidi w:val="0"/>
        <w:spacing w:before="240" w:after="0"/>
        <w:jc w:val="left"/>
        <w:rPr>
          <w:rFonts w:ascii="Times New Roman" w:hAnsi="Times New Roman"/>
          <w:sz w:val="20"/>
        </w:rPr>
      </w:pPr>
      <w:r>
        <w:rPr>
          <w:rFonts w:ascii="Times New Roman" w:hAnsi="Times New Roman"/>
          <w:sz w:val="20"/>
        </w:rPr>
        <w:t xml:space="preserve">Existing healthcare reform measures, as well as the implementation of additional cost containment measures or other reforms, may prevent Boundless Bio from being able to generate revenue, attain profitability or commercialize any future product candidates, if approved. These new laws and the regulations and policies implementing them, as well as other healthcare-related measures that may be adopted in the future, could materially reduce its ability to develop and commercialize any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Data Privacy and Security Laws</w:t>
      </w:r>
    </w:p>
    <w:p>
      <w:pPr>
        <w:pStyle w:val="TextBody"/>
        <w:bidi w:val="0"/>
        <w:spacing w:before="120" w:after="0"/>
        <w:jc w:val="left"/>
        <w:rPr>
          <w:rFonts w:ascii="Times New Roman" w:hAnsi="Times New Roman"/>
          <w:sz w:val="20"/>
        </w:rPr>
      </w:pPr>
      <w:r>
        <w:rPr>
          <w:rFonts w:ascii="Times New Roman" w:hAnsi="Times New Roman"/>
          <w:sz w:val="20"/>
        </w:rPr>
        <w:t>Numerous state, federal, and foreign laws, regulations and standards govern the collection, use, access to, confidentiality, and security of health-related and other personal information, and could apply now or in the future to Boundless Bio’s operations or the operations of its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Boundless Bio had 14 employees, all of whom are full-time employees. Of these employees, four are engaged in research and development and 10 are engaged in finance, legal, and general management and administration. None of Boundless Bio’s employees are represented by labor unions or covered by collective bargaining agreements. Boundless Bio considers its relationship with its employees to be good. </w:t>
      </w:r>
    </w:p>
    <w:p>
      <w:pPr>
        <w:pStyle w:val="TextBody"/>
        <w:bidi w:val="0"/>
        <w:spacing w:before="360" w:after="0"/>
        <w:jc w:val="left"/>
        <w:rPr>
          <w:rFonts w:ascii="Times New Roman" w:hAnsi="Times New Roman"/>
          <w:b/>
          <w:sz w:val="20"/>
        </w:rPr>
      </w:pPr>
      <w:r>
        <w:rPr>
          <w:rFonts w:ascii="Times New Roman" w:hAnsi="Times New Roman"/>
          <w:b/>
          <w:sz w:val="20"/>
        </w:rPr>
        <w:t>Corporate Information</w:t>
      </w:r>
    </w:p>
    <w:p>
      <w:pPr>
        <w:pStyle w:val="TextBody"/>
        <w:bidi w:val="0"/>
        <w:spacing w:before="120" w:after="0"/>
        <w:jc w:val="left"/>
        <w:rPr>
          <w:rFonts w:ascii="Times New Roman" w:hAnsi="Times New Roman"/>
          <w:sz w:val="20"/>
        </w:rPr>
      </w:pPr>
      <w:r>
        <w:rPr>
          <w:rFonts w:ascii="Times New Roman" w:hAnsi="Times New Roman"/>
          <w:sz w:val="20"/>
        </w:rPr>
        <w:t>Boundless Bio was originally founded as a Delaware corporation on April 10, 2018, under the name Pretzel Therapeutics, Inc. On July 8, 2019, it changed its name to Boundless Bio, Inc.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Available Information</w:t>
      </w:r>
    </w:p>
    <w:p>
      <w:pPr>
        <w:pStyle w:val="TextBody"/>
        <w:bidi w:val="0"/>
        <w:spacing w:before="120" w:after="0"/>
        <w:jc w:val="left"/>
        <w:rPr>
          <w:rFonts w:ascii="Times New Roman" w:hAnsi="Times New Roman"/>
          <w:sz w:val="20"/>
        </w:rPr>
      </w:pPr>
      <w:r>
        <w:rPr>
          <w:rFonts w:ascii="Times New Roman" w:hAnsi="Times New Roman"/>
          <w:sz w:val="20"/>
        </w:rPr>
        <w:t xml:space="preserve">Boundless Bio’s website address is </w:t>
      </w:r>
      <w:r>
        <w:rPr>
          <w:rFonts w:ascii="Times New Roman" w:hAnsi="Times New Roman"/>
          <w:i/>
          <w:sz w:val="20"/>
        </w:rPr>
        <w:t>www.boundlessbio.com</w:t>
      </w:r>
      <w:r>
        <w:rPr>
          <w:rFonts w:ascii="Times New Roman" w:hAnsi="Times New Roman"/>
          <w:sz w:val="20"/>
        </w:rPr>
        <w:t xml:space="preserve">. The investor relations portion of its website is located at https://investors.boundlessbio.com. It makes available free of charge on the investor relations portion of its website under “Financials—SEC Filings” certain reports and other information it files with or furnishes to the SEC, including its annual report on Form 10-K, quarterly reports on Form 10-Q, current reports on Form 8-K, its directors’ and officers’ Section 16 reports, and any amendments to those reports, as soon as reasonably practicable after it electronically files such materials with, or furnishes them to, the SEC. They are also available for free on the SEC’s website at </w:t>
      </w:r>
      <w:r>
        <w:rPr>
          <w:rFonts w:ascii="Times New Roman" w:hAnsi="Times New Roman"/>
          <w:i/>
          <w:sz w:val="20"/>
        </w:rPr>
        <w:t>www.sec.gov</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tx108148_26"/>
      <w:bookmarkEnd w:id="61"/>
      <w:r>
        <w:rPr>
          <w:rFonts w:ascii="Times New Roman" w:hAnsi="Times New Roman"/>
          <w:b/>
          <w:sz w:val="20"/>
        </w:rPr>
        <w:t xml:space="preserve">SERAPHA’S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committed to transforming the treatment of AATD, the leading genetic cause of serious, progressive lung and liver disease. Serapha’s only product candidate, SERP-01, is a proprietary base editing therapy currently in a Phase 1 clinical trial for the treatment of AATD with the PiZZ genotype, the most severe genetic mutation responsible for &gt;90% of AATD cases. The PiZZ mutation causes the Z-AAT to misfold and accumulate as polymers within liver cells, producing toxic aggregates that can lead to hepatitis, fibrosis and cirrhosis, while simultaneously reducing the amount of M-AAT secreted into the circulation. The resulting deficiency of circulating functional M-AAT leaves the lungs unprotected from neutrophil elastase, contributing to progressive emphysema and COPD. SERP-01 is designed as a single intravenous administration treatment to correct the underlying genetic cause of PiZZ AATD, with the goal of restoring production of functional M-AAT, reducing accumulation of toxic mutant Z-AAT in the liver and, if successful, fundamentally altering the course of disease. SERP-01 is being evaluated in an ongoing IIT conducted at Renji Hospital in Shanghai, China in collaboration with Hannover Medical School in Hanover, Germany. As of a data cutoff date of August 6, 2026, SERP-01 has been observed to be well-tolerated, with no serious adverse events reported, and has generated preliminary evidence of serum AAT at near-normal levels among the four treated patients. However, similar results may not be replicable in clinical trials with larger patient populations. In March 2026, the FDA cleared an IND submitted by YolTech for SERP-01, permitting the initiation of a Phase 2/3 clinical trial of SERP-01 in the United States. In June 2026, Serapha entered into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Serapha intends to pursue development of SERP-01 in alignment with the FDA, including potentially seeking accelerated approval based on AATD biomarkers, such as restoration of serum AAT, as surrogate endpoints that may be reasonably likely to predict clinical benefit, subject to FDA agreement. There is no guarantee that SERP-01 will receive approval from the FDA or receive approval faster than it otherwise might have if an accelerated pathway were not pursued, as the progress and results of clinical trials are variable and unpredictable. In May 2026, the FDA granted SERP-01 orphan drug designation for the treatment of PiZZ AATD and RMAT designation. </w:t>
      </w:r>
    </w:p>
    <w:p>
      <w:pPr>
        <w:pStyle w:val="TextBody"/>
        <w:bidi w:val="0"/>
        <w:spacing w:before="240" w:after="0"/>
        <w:jc w:val="left"/>
        <w:rPr>
          <w:rFonts w:ascii="Times New Roman" w:hAnsi="Times New Roman"/>
          <w:sz w:val="20"/>
        </w:rPr>
      </w:pPr>
      <w:r>
        <w:rPr>
          <w:rFonts w:ascii="Times New Roman" w:hAnsi="Times New Roman"/>
          <w:sz w:val="20"/>
        </w:rPr>
        <w:t xml:space="preserve">AATD is a serious inherited disease characterized by damage to the lungs and liver and can lead to serious lung and liver disease. It is a progressive condition, which means it may worsen over time. Published studies estimate that there are approximately 100,000 prevalent cases of PiZZ AATD in the United States, with a similar number of patients in Europe. Because the disease affects both the liver and lungs through distinct but related mechanisms, patients may experience significant morbidity involving one or both organ systems throughout their lives. Disease severity and clinical presentation vary considerably among individuals, and many patients remain undiagnosed or misdiagnosed. AATD is generally divided into subcategories with two of the most common termed S and Z. The most common severe form of AATD is associated with inheriting two copies of the Z allele – resulting in the PiZZ genotype or PiZZ AATD. PiZZ AATD has been associated with a substantially increased risk of COPD and liver cirrhosis.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FDA-approved disease-modifying therapy for AATD, and no approved therapy addresses the liver manifestations of the disease. Currently approved therapies are intended to manage certain manifestations of AATD but do not address the underlying genetic cause of disease. The only approved therapy directed at the underlying AAT deficiency is augmentation therapy, in which plasma-derived AAT protein is administered by weekly intravenous infusion. Augmentation products were first approved for AATD in 1987. Augmentation therapy is intended to address the lung manifestations of AATD by raising circulating AAT above the historical protective threshold. However, it does not correct the underlying genetic defect, does not address liver disease, and cannot provide additional AAT during an infection when it is most needed. </w:t>
      </w:r>
    </w:p>
    <w:p>
      <w:pPr>
        <w:pStyle w:val="TextBody"/>
        <w:bidi w:val="0"/>
        <w:spacing w:before="240" w:after="0"/>
        <w:jc w:val="left"/>
        <w:rPr>
          <w:rFonts w:ascii="Times New Roman" w:hAnsi="Times New Roman"/>
          <w:sz w:val="20"/>
        </w:rPr>
      </w:pPr>
      <w:r>
        <w:rPr>
          <w:rFonts w:ascii="Times New Roman" w:hAnsi="Times New Roman"/>
          <w:sz w:val="20"/>
        </w:rPr>
        <w:t xml:space="preserve">Serapha believes a base editing approach is particularly well suited for the treatment of AATD because the disease is caused by a single-nucleotide mutation—a change in a single DNA base within the </w:t>
      </w:r>
      <w:r>
        <w:rPr>
          <w:rFonts w:ascii="Times New Roman" w:hAnsi="Times New Roman"/>
          <w:i/>
          <w:sz w:val="20"/>
        </w:rPr>
        <w:t>SERPINA1</w:t>
      </w:r>
      <w:r>
        <w:rPr>
          <w:rFonts w:ascii="Times New Roman" w:hAnsi="Times New Roman"/>
          <w:sz w:val="20"/>
        </w:rPr>
        <w:t xml:space="preserve"> 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SERP-01 uses a lipid nanoparticle (“LNP”)-formulated </w:t>
      </w:r>
      <w:r>
        <w:rPr>
          <w:rFonts w:ascii="Times New Roman" w:hAnsi="Times New Roman"/>
          <w:i/>
          <w:sz w:val="20"/>
        </w:rPr>
        <w:t>in vivo</w:t>
      </w:r>
      <w:r>
        <w:rPr>
          <w:rFonts w:ascii="Times New Roman" w:hAnsi="Times New Roman"/>
          <w:sz w:val="20"/>
        </w:rPr>
        <w:t xml:space="preserve"> proprietary base editing therapy designed to correct the underlying genetic defect responsible for PiZZ AATD. SERP-01 is designed to possess the key elements of an optimal base editing approach to PiZZ AATD: safe delivery to target liver cells; high editing efficiency; and minimized bystander editing. Following intravenous administration, SERP-01 is designed to deliver the components necessary to enable a precise single-base edit within liver cells without introducing a double-stranded DNA break. Serapha believes the combination of efficient on-target editing, low bystander editing and transient editor expression has the potential to provide a one-time treatment capable of producing durable therapeutic benefit. </w:t>
      </w:r>
    </w:p>
    <w:p>
      <w:pPr>
        <w:pStyle w:val="TextBody"/>
        <w:bidi w:val="0"/>
        <w:spacing w:before="240" w:after="0"/>
        <w:jc w:val="left"/>
        <w:rPr>
          <w:rFonts w:ascii="Times New Roman" w:hAnsi="Times New Roman"/>
          <w:sz w:val="20"/>
        </w:rPr>
      </w:pPr>
      <w:r>
        <w:rPr>
          <w:rFonts w:ascii="Times New Roman" w:hAnsi="Times New Roman"/>
          <w:sz w:val="20"/>
        </w:rPr>
        <w:t xml:space="preserve">The clinical experience with SERP-01 to date derives from an open-label, single-arm trial in patients with severe PiZZ AATD that YolTech initiated in December 2025 under a collaboration between clinical sites in China and Germany. The trial design allows for the enrollment of up to 18 patients in a maximum of three dosing cohorts. The primary objective of the trial is observing safety and tolerability, while secondary objectives include the measure of changes from baseline in total serum AAT levels. One patient received a dose of 35 mg, or the low dose, and three patients received a 45 mg dose, with additional patients planned at 55 mg and at an expansion cohort dose to be determined. In the patients dosed at 45 mg, increases in total serum AAT were observed by turbidimetry, as of the data cutoff date of August 6, 2026. All patients dosed at 45 mg achieved circulating AAT levels above the generally recognized protective threshold of 11 µM and within or near the normal physiological range. The elevations in serum AAT observed in the earliest-treated patients were durable in all patients up to week 12, with one patient confirmed up to 21 weeks. As of a data cutoff date of August 6, 2026, SERP-01 has been observed to be well-tolerated, with no serious adverse events reported, and has generated preliminary evidence of serum AAT at near-normal levels among the four treated patients. </w:t>
      </w:r>
    </w:p>
    <w:p>
      <w:pPr>
        <w:pStyle w:val="TextBody"/>
        <w:bidi w:val="0"/>
        <w:spacing w:before="240" w:after="0"/>
        <w:jc w:val="left"/>
        <w:rPr>
          <w:rFonts w:ascii="Times New Roman" w:hAnsi="Times New Roman"/>
          <w:sz w:val="20"/>
        </w:rPr>
      </w:pPr>
      <w:r>
        <w:rPr>
          <w:rFonts w:ascii="Times New Roman" w:hAnsi="Times New Roman"/>
          <w:sz w:val="20"/>
        </w:rPr>
        <w:t xml:space="preserve">Serapha has an exclusive license with YolTech under certain patent applications related to the use of the components of SERP-01 and the intravenous delivery of SERP-01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Serapha was co-founded in 2026 by RTW Investments, LP (“RTW Investments”) and RA Capital Management, L.P. (“RA Capital Management”) to advance the development of transformative genetic medicines for the treatment of AATD. Under their leadership, Serapha acquired exclusive rights outside Greater China to develop and commercialize SERP-01 and establish initial operations to support its continued and ongoing development. </w:t>
      </w:r>
    </w:p>
    <w:p>
      <w:pPr>
        <w:pStyle w:val="TextBody"/>
        <w:bidi w:val="0"/>
        <w:spacing w:before="240" w:after="0"/>
        <w:jc w:val="left"/>
        <w:rPr>
          <w:rFonts w:ascii="Times New Roman" w:hAnsi="Times New Roman"/>
          <w:sz w:val="20"/>
        </w:rPr>
      </w:pPr>
      <w:r>
        <w:rPr>
          <w:rFonts w:ascii="Times New Roman" w:hAnsi="Times New Roman"/>
          <w:sz w:val="20"/>
        </w:rPr>
        <w:t xml:space="preserve">To execute on Serapha’s mission, Serapha has assembled a management team that includes individuals with expertise in genetic medicines, regulatory development, product development, manufacturing and commercialization, with a history of success in building and operating innovative biotechnology companies focused on rare and life-threatening diseases. This team is led by Chief Executive Officer, Kenneth T. Mills, who brings more than 25 years of broad leadership and management experience in the biopharmaceutical industry to Serapha. Mr. Mills is the current Chairman and was the founding President and Chief Executive Officer of REGENXBIO Inc. </w:t>
      </w:r>
    </w:p>
    <w:p>
      <w:pPr>
        <w:pStyle w:val="TextBody"/>
        <w:bidi w:val="0"/>
        <w:spacing w:before="240" w:after="0"/>
        <w:jc w:val="left"/>
        <w:rPr>
          <w:rFonts w:ascii="Times New Roman" w:hAnsi="Times New Roman"/>
          <w:sz w:val="20"/>
        </w:rPr>
      </w:pPr>
      <w:r>
        <w:rPr>
          <w:rFonts w:ascii="Times New Roman" w:hAnsi="Times New Roman"/>
          <w:sz w:val="20"/>
        </w:rPr>
        <w:t xml:space="preserve">Serapha is supported by a leading group of biotech investors including funds and accounts managed by Janus Henderson Investors, Decheng Capital, Vivo Capital, Casdin Capital, LifeSci Venture Partners, Logos Capital, Balyasny Asset Management, and Eventide Asset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Serapha’s Strategy </w:t>
      </w:r>
    </w:p>
    <w:p>
      <w:pPr>
        <w:pStyle w:val="TextBody"/>
        <w:bidi w:val="0"/>
        <w:spacing w:before="120" w:after="0"/>
        <w:jc w:val="left"/>
        <w:rPr>
          <w:rFonts w:ascii="Times New Roman" w:hAnsi="Times New Roman"/>
          <w:sz w:val="20"/>
        </w:rPr>
      </w:pPr>
      <w:r>
        <w:rPr>
          <w:rFonts w:ascii="Times New Roman" w:hAnsi="Times New Roman"/>
          <w:sz w:val="20"/>
        </w:rPr>
        <w:t xml:space="preserve">Serapha’s goal is to transform the treatment of AATD through the development of innovative genetic medicines designed to address the underlying cause of disease and to address the profound unmet medical needs of patients living with AATD, the leading genetic cause of serious, progressive lung and liver disease. Key elements of Serapha’s strategy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Advance SERP-01 through clinical trials in the United States.</w:t>
            </w:r>
            <w:r>
              <w:rPr>
                <w:rFonts w:ascii="Times New Roman" w:hAnsi="Times New Roman"/>
                <w:sz w:val="20"/>
              </w:rPr>
              <w:t xml:space="preserve"> Serapha intends to initiate a U.S. Phase 2/3 trial of SERP-01 in patients with AATD, building on the data generated in the ongoing IIT.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Pursue an efficient regulatory path to registration in the United States.</w:t>
            </w:r>
            <w:r>
              <w:rPr>
                <w:rFonts w:ascii="Times New Roman" w:hAnsi="Times New Roman"/>
                <w:sz w:val="20"/>
              </w:rPr>
              <w:t xml:space="preserve"> Serapha intends to seek FDA guidance for a registrational program supporting accelerated approval based on AATD biomarkers, such as restoration of serum AAT, as surrogate endpoints that may be reasonably likely to predict clinical benefit, subject to FDA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Continue to invest in and develop robust and sustainable manufacturing processes and multiple supply sources to ensure the supply of high-quality products. </w:t>
            </w:r>
            <w:r>
              <w:rPr>
                <w:rFonts w:ascii="Times New Roman" w:hAnsi="Times New Roman"/>
                <w:sz w:val="20"/>
              </w:rPr>
              <w:t xml:space="preserve">Serapha intends to expand the manufacturing of SERP-01 drug substance and drug product to commercial-grade contract development and manufacturing organizations (“CDMOs”) in the United States and Europe, to support late-stage and commercial supply.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Generate evidence of clinical benefit to support full FDA approval.</w:t>
            </w:r>
            <w:r>
              <w:rPr>
                <w:rFonts w:ascii="Times New Roman" w:hAnsi="Times New Roman"/>
                <w:sz w:val="20"/>
              </w:rPr>
              <w:t xml:space="preserve"> Beyond serum AAT levels, Serapha intends to evaluate pulmonary and liver function measures and patient-reported outcomes to characterize the potential clinical benefit of SERP-01 in both the lung and liver manifestations of AATD.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Advance the development of SERP-01 outside of the United States. </w:t>
            </w:r>
            <w:r>
              <w:rPr>
                <w:rFonts w:ascii="Times New Roman" w:hAnsi="Times New Roman"/>
                <w:sz w:val="20"/>
              </w:rPr>
              <w:t xml:space="preserve">Serapha intends to initiate clinical trial sites in Europe and other international jurisdictions for the Phase 3 portion of its Phase 2/3 clinical trial of SERP-01 in patients with AATD and to engage with regulatory authorities regarding key development and regulatory considerations to support potential accelerated approval pathways.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Continue to develop a strong, collaborative network of key stakeholders, including patients, to inform Serapha’s clinical development and commercialization strategies. </w:t>
            </w:r>
            <w:r>
              <w:rPr>
                <w:rFonts w:ascii="Times New Roman" w:hAnsi="Times New Roman"/>
                <w:sz w:val="20"/>
              </w:rPr>
              <w:t xml:space="preserve">Serapha intends to continue assembling a team with rare-disease and genetic medicine development experience and to develop relationships with the AATD patient community, advocacy organizations and key opinion leaders.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Alpha-1 Antitrypsin Deficiency </w:t>
      </w:r>
    </w:p>
    <w:p>
      <w:pPr>
        <w:pStyle w:val="TextBody"/>
        <w:bidi w:val="0"/>
        <w:spacing w:before="120" w:after="0"/>
        <w:jc w:val="left"/>
        <w:rPr>
          <w:rFonts w:ascii="Times New Roman" w:hAnsi="Times New Roman"/>
          <w:sz w:val="20"/>
        </w:rPr>
      </w:pPr>
      <w:r>
        <w:rPr>
          <w:rFonts w:ascii="Times New Roman" w:hAnsi="Times New Roman"/>
          <w:sz w:val="20"/>
        </w:rPr>
        <w:t xml:space="preserve">The AATD sub-types are characterized based on different combinations of genetic changes in the </w:t>
      </w:r>
      <w:r>
        <w:rPr>
          <w:rFonts w:ascii="Times New Roman" w:hAnsi="Times New Roman"/>
          <w:i/>
          <w:sz w:val="20"/>
        </w:rPr>
        <w:t>SERPINA1</w:t>
      </w:r>
      <w:r>
        <w:rPr>
          <w:rFonts w:ascii="Times New Roman" w:hAnsi="Times New Roman"/>
          <w:sz w:val="20"/>
        </w:rPr>
        <w:t xml:space="preserve"> gene, which encodes AAT, a protein produced primarily in the liver that plays an essential role in protecting lung tissue from damage. </w:t>
      </w:r>
    </w:p>
    <w:p>
      <w:pPr>
        <w:pStyle w:val="TextBody"/>
        <w:bidi w:val="0"/>
        <w:spacing w:before="240" w:after="0"/>
        <w:jc w:val="left"/>
        <w:rPr>
          <w:rFonts w:ascii="Times New Roman" w:hAnsi="Times New Roman"/>
          <w:sz w:val="20"/>
        </w:rPr>
      </w:pPr>
      <w:r>
        <w:rPr>
          <w:rFonts w:ascii="Times New Roman" w:hAnsi="Times New Roman"/>
          <w:sz w:val="20"/>
        </w:rPr>
        <w:t xml:space="preserve">AAT inhibits neutrophil elastase through a reactive central loop that inserts into the protease through a loop-sheet mechanism, a process that depends on AAT adopting its correctly folded conformation. Mutations affecting this region of the protein can reduce both the amount of AAT secreted and its inhibitory activity. The most severe disease-causing mutation (E342K) in the </w:t>
      </w:r>
      <w:r>
        <w:rPr>
          <w:rFonts w:ascii="Times New Roman" w:hAnsi="Times New Roman"/>
          <w:i/>
          <w:sz w:val="20"/>
        </w:rPr>
        <w:t>SERPINA1</w:t>
      </w:r>
      <w:r>
        <w:rPr>
          <w:rFonts w:ascii="Times New Roman" w:hAnsi="Times New Roman"/>
          <w:sz w:val="20"/>
        </w:rPr>
        <w:t xml:space="preserve"> gene occurs in this region.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2942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5960" cy="22942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Structure of alpha-1 antitrypsin showing the reactive central loop, and the loop-sheet mechanism by which AAT inhibits neutrophil elastase. Source: Song et al. (1995); RCSB Protein Data Bank; de Serres and Blanco (2014).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People who inherit one defective copy of the </w:t>
      </w:r>
      <w:r>
        <w:rPr>
          <w:rFonts w:ascii="Times New Roman" w:hAnsi="Times New Roman"/>
          <w:i/>
          <w:sz w:val="20"/>
        </w:rPr>
        <w:t>SERPINA1</w:t>
      </w:r>
      <w:r>
        <w:rPr>
          <w:rFonts w:ascii="Times New Roman" w:hAnsi="Times New Roman"/>
          <w:sz w:val="20"/>
        </w:rPr>
        <w:t xml:space="preserve"> gene and one normal copy of the </w:t>
      </w:r>
      <w:r>
        <w:rPr>
          <w:rFonts w:ascii="Times New Roman" w:hAnsi="Times New Roman"/>
          <w:i/>
          <w:sz w:val="20"/>
        </w:rPr>
        <w:t>SERPINA1</w:t>
      </w:r>
      <w:r>
        <w:rPr>
          <w:rFonts w:ascii="Times New Roman" w:hAnsi="Times New Roman"/>
          <w:sz w:val="20"/>
        </w:rPr>
        <w:t xml:space="preserve"> gene are known as AATD carriers. An estimated 19 million people in the United States are AATD carriers. </w:t>
      </w:r>
    </w:p>
    <w:p>
      <w:pPr>
        <w:pStyle w:val="TextBody"/>
        <w:bidi w:val="0"/>
        <w:spacing w:before="360" w:after="0"/>
        <w:jc w:val="left"/>
        <w:rPr>
          <w:rFonts w:ascii="Times New Roman" w:hAnsi="Times New Roman"/>
          <w:b/>
          <w:sz w:val="20"/>
        </w:rPr>
      </w:pPr>
      <w:r>
        <w:rPr>
          <w:rFonts w:ascii="Times New Roman" w:hAnsi="Times New Roman"/>
          <w:b/>
          <w:sz w:val="20"/>
        </w:rPr>
        <w:t xml:space="preserve">Severe Alpha-1 Antitrypsin Deficiency: PiZZ </w:t>
      </w:r>
    </w:p>
    <w:p>
      <w:pPr>
        <w:pStyle w:val="TextBody"/>
        <w:bidi w:val="0"/>
        <w:spacing w:before="120" w:after="0"/>
        <w:jc w:val="left"/>
        <w:rPr>
          <w:rFonts w:ascii="Times New Roman" w:hAnsi="Times New Roman"/>
          <w:sz w:val="20"/>
        </w:rPr>
      </w:pPr>
      <w:r>
        <w:rPr>
          <w:rFonts w:ascii="Times New Roman" w:hAnsi="Times New Roman"/>
          <w:sz w:val="20"/>
        </w:rPr>
        <w:t xml:space="preserve">The most common severe form of AATD is associated with inheriting two copies of the Z allele – called the PiZZ genotype. In individuals with PiZZ AATD, disease-causing mutations result in production of an abnormal form of AAT that accumulates within liver cells while reducing circulating levels of functional AAT. The resulting deficiency of functional AAT increases susceptibility to progressive lung disease, while intracellular accumulation of the abnormal protein can lead to liver injury, fibrosis, cirrhosis and hepatocellular carcinoma. </w:t>
      </w:r>
    </w:p>
    <w:p>
      <w:pPr>
        <w:pStyle w:val="TextBody"/>
        <w:bidi w:val="0"/>
        <w:spacing w:before="240" w:after="0"/>
        <w:jc w:val="left"/>
        <w:rPr>
          <w:rFonts w:ascii="Times New Roman" w:hAnsi="Times New Roman"/>
          <w:sz w:val="20"/>
        </w:rPr>
      </w:pPr>
      <w:r>
        <w:rPr>
          <w:rFonts w:ascii="Times New Roman" w:hAnsi="Times New Roman"/>
          <w:sz w:val="20"/>
        </w:rPr>
        <w:t xml:space="preserve">Disease risk and severity correlate with genotype. A physiologically normal serum AAT level is generally considered to be above 20 micromolar (µM), and a historical “protective threshold” of approximately 11 µM has been used in the field. Relative to the normal PiMM genotype, the PiZZ genotype has been associated with a substantially increased risk of COPD and cirrhosis, while heterozygotes (for example, PiMZ and PiSZ) are frequently asymptomatic and often require a second insult, such as smoking, to develop clinically significant disease.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1894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5960" cy="2189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Serum AAT levels by Pi genotype (MM, MZ, SZ, ZZ) relative to the 11 µM protective threshold and the lower limit of normal, and odds ratios for COPD and cirrhosis for the PiZZ genotype relative to PiMM. </w:t>
      </w:r>
    </w:p>
    <w:p>
      <w:pPr>
        <w:pStyle w:val="TextBody"/>
        <w:bidi w:val="0"/>
        <w:spacing w:before="360" w:after="0"/>
        <w:jc w:val="left"/>
        <w:rPr>
          <w:rFonts w:ascii="Times New Roman" w:hAnsi="Times New Roman"/>
          <w:b/>
          <w:sz w:val="20"/>
        </w:rPr>
      </w:pPr>
      <w:r>
        <w:rPr>
          <w:rFonts w:ascii="Times New Roman" w:hAnsi="Times New Roman"/>
          <w:b/>
          <w:sz w:val="20"/>
        </w:rPr>
        <w:t xml:space="preserve">Current Treatment for AATD </w:t>
      </w:r>
    </w:p>
    <w:p>
      <w:pPr>
        <w:pStyle w:val="TextBody"/>
        <w:bidi w:val="0"/>
        <w:spacing w:before="120" w:after="0"/>
        <w:jc w:val="left"/>
        <w:rPr>
          <w:rFonts w:ascii="Times New Roman" w:hAnsi="Times New Roman"/>
          <w:sz w:val="20"/>
        </w:rPr>
      </w:pPr>
      <w:r>
        <w:rPr>
          <w:rFonts w:ascii="Times New Roman" w:hAnsi="Times New Roman"/>
          <w:sz w:val="20"/>
        </w:rPr>
        <w:t xml:space="preserve">There is currently no FDA-approved disease-modifying therapy for AATD, and no approved therapy addresses the liver manifestations of the disease. The only approved therapy directed at the underlying AAT deficiency is augmentation therapy, in which plasma-derived AAT protein is administered by weekly intravenous infusion. Augmentation products were first approved for AATD in 1987. Augmentation therapy is intended to address the lung manifestations of AATD by raising circulating AAT above the historical protective threshold. However, it does not correct the underlying genetic defect, does not address liver disease, and typically only restores serum AAT to approximately 11 µM, which is below the lower limit of normal range of 20 µM. The weekly infusion regimen also imposes a substantial treatment burden. For end-stage liver disease, the principal option is liver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The level of serum AAT that constitutes clinically meaningful restoration is the subject of ongoing scientific discussion. The historical 11 µM threshold was derived from genetic and observational data rather than from controlled clinical outcomes. Based on Serapha’s discussions with key opinion leaders, Serapha believes there is increasing focus within the field on restoration toward approximately 17 µM to 20 µM, a range more consistent with the levels observed in largely asymptomatic PiMZ heterozygotes and with the levels augmentation therapy is intended to achieve.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AATD imposes a significant economic burden on patients. Diagnosed patients have been reported to incur approximately twice the healthcare costs of matched COPD controls, with increased utilization across emergency, inpatient and outpatient settings, and analyses have estimated cumulative lifetime healthcare costs in the range of approximately $3 million to $4 million per patient. Augmentation therapy alone has been estimated to cost approximately $100,000 to $150,000 per patient per year. </w:t>
      </w:r>
    </w:p>
    <w:p>
      <w:pPr>
        <w:pStyle w:val="TextBody"/>
        <w:bidi w:val="0"/>
        <w:spacing w:before="360" w:after="0"/>
        <w:jc w:val="left"/>
        <w:rPr>
          <w:rFonts w:ascii="Times New Roman" w:hAnsi="Times New Roman"/>
          <w:b/>
          <w:sz w:val="20"/>
        </w:rPr>
      </w:pPr>
      <w:r>
        <w:rPr>
          <w:rFonts w:ascii="Times New Roman" w:hAnsi="Times New Roman"/>
          <w:b/>
          <w:sz w:val="20"/>
        </w:rPr>
        <w:t xml:space="preserve">Serapha’s Product Candidate: SERP-01 for the Treatment of PiZZ AATD </w:t>
      </w:r>
    </w:p>
    <w:p>
      <w:pPr>
        <w:pStyle w:val="TextBody"/>
        <w:bidi w:val="0"/>
        <w:spacing w:before="120" w:after="0"/>
        <w:jc w:val="left"/>
        <w:rPr>
          <w:rFonts w:ascii="Times New Roman" w:hAnsi="Times New Roman"/>
          <w:sz w:val="20"/>
        </w:rPr>
      </w:pPr>
      <w:r>
        <w:rPr>
          <w:rFonts w:ascii="Times New Roman" w:hAnsi="Times New Roman"/>
          <w:sz w:val="20"/>
        </w:rPr>
        <w:t xml:space="preserve">SERP-01 is Serapha’s investigational </w:t>
      </w:r>
      <w:r>
        <w:rPr>
          <w:rFonts w:ascii="Times New Roman" w:hAnsi="Times New Roman"/>
          <w:i/>
          <w:sz w:val="20"/>
        </w:rPr>
        <w:t>in vivo</w:t>
      </w:r>
      <w:r>
        <w:rPr>
          <w:rFonts w:ascii="Times New Roman" w:hAnsi="Times New Roman"/>
          <w:sz w:val="20"/>
        </w:rPr>
        <w:t xml:space="preserve"> base-editing therapy for the treatment of severe AATD. SERP-01 is designed to correct the most severe disease-causing mutation (E342K) in the </w:t>
      </w:r>
      <w:r>
        <w:rPr>
          <w:rFonts w:ascii="Times New Roman" w:hAnsi="Times New Roman"/>
          <w:i/>
          <w:sz w:val="20"/>
        </w:rPr>
        <w:t>SERPINA1</w:t>
      </w:r>
      <w:r>
        <w:rPr>
          <w:rFonts w:ascii="Times New Roman" w:hAnsi="Times New Roman"/>
          <w:sz w:val="20"/>
        </w:rPr>
        <w:t xml:space="preserve"> gene within hepatocytes, with the goal of restoring endogenous production of functional AAT while reducing production and intracellular accumulation of the abnormal mutant protein. SERP-01 consists of an LNP formulation containing messenger RNA encoding Serapha’s proprietary adenine base editor together with a guide RNA. The therapy is designed to enable precise correction of the disease-causing mutation in PiZZ AATD.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SERP-01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Adenine Base Editor</w:t>
            </w:r>
            <w:r>
              <w:rPr>
                <w:rFonts w:ascii="Times New Roman" w:hAnsi="Times New Roman"/>
                <w:b/>
                <w:sz w:val="20"/>
              </w:rPr>
              <w:t xml:space="preserve">: </w:t>
            </w:r>
            <w:r>
              <w:rPr>
                <w:rFonts w:ascii="Times New Roman" w:hAnsi="Times New Roman"/>
                <w:sz w:val="20"/>
              </w:rPr>
              <w:t xml:space="preserve">Base editing is a form of precision genome editing that enables a single DNA base pair to be changed without creating a double-stranded break in the DNA. Serapha’s proprietary adenine base editor consists of a catalytically impaired clustered regularly interspaced short palindromic repeats (“CRISPR”) protein, modified so that it does not cut both strands of the DNA, fused to a deaminase enzyme that chemically converts a target adenine (A) to guanine (G). Because the change is made directly to the genomic DNA, a single, successful editing event is intended to produce a durable correction that is maintained as cells divide. The proprietary adenine base editor incorporated into SERP-01 was engineered to achieve high editing efficiency while minimizing bystander editing and other unintended DNA modifications. Serapha believes these characteristics are important to maximizing correction of the disease-causing mutation while supporting the therapeutic potential of SERP-01. Because the editor is delivered as messenger RNA, expression is transient following administration. Serapha believes transient expression and the absence of double-stranded DNA breaks represent an important aspect of the overall design of SERP-01.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Lipid Nanoparticle</w:t>
            </w:r>
            <w:r>
              <w:rPr>
                <w:rFonts w:ascii="Times New Roman" w:hAnsi="Times New Roman"/>
                <w:b/>
                <w:sz w:val="20"/>
              </w:rPr>
              <w:t xml:space="preserve">: </w:t>
            </w:r>
            <w:r>
              <w:rPr>
                <w:rFonts w:ascii="Times New Roman" w:hAnsi="Times New Roman"/>
                <w:sz w:val="20"/>
              </w:rPr>
              <w:t xml:space="preserve">SERP-01 is designed to be a proprietary LNP that encapsulates the messenger RNA encoding the adenine base editor together with the guide RNA. LNPs are proprietary delivery systems composed of specialized lipids that are designed to encapsulate and transport nucleic acid-based therapeutics to target cells. Following intravenous administration, LNPs facilitate cellular uptake and intracellular release of their therapeutic cargo, enabling expression or activity within the target tissue. LNP technology has become an important delivery platform for a range of nucleic acid medicines and is used in multiple approved and investigational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Guide RNA</w:t>
            </w:r>
            <w:r>
              <w:rPr>
                <w:rFonts w:ascii="Times New Roman" w:hAnsi="Times New Roman"/>
                <w:sz w:val="20"/>
              </w:rPr>
              <w:t xml:space="preserve">: Guide RNA (“gRNA”) guides the adenine base editor to the specific genomic site. It is a synthetic RNA molecule designed to direct a base-editing enzyme to a specific DNA sequence within the genome. By providing sequence-specific targeting, the gRNA enables the base-editing system to recognize and modify the intended genomic site, supporting the precision of the therapeutic approach.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intravenous administration, the LNP delivers the messenger RNA and guide RNA components of SERP-01 to liver cells. Within the cell, the messenger RNA is translated into the proprietary adenine base editor, which is directed by the guide RNA to the disease-causing mutation in the </w:t>
      </w:r>
      <w:r>
        <w:rPr>
          <w:rFonts w:ascii="Times New Roman" w:hAnsi="Times New Roman"/>
          <w:i/>
          <w:sz w:val="20"/>
        </w:rPr>
        <w:t>SERPINA1</w:t>
      </w:r>
      <w:r>
        <w:rPr>
          <w:rFonts w:ascii="Times New Roman" w:hAnsi="Times New Roman"/>
          <w:sz w:val="20"/>
        </w:rPr>
        <w:t xml:space="preserve"> gene. The editor is designed to catalyze a single-base conversion that corrects the disease-causing mutation without introducing a double-stranded DNA break. Successful editing is intended to restore production of functional AAT while reducing production and intracellular accumulation of the abnormal mutant protein. By correcting the underlying mutation, SERP-01 is designed to simultaneously address the two principal biological mechanisms responsible for lung and liver disease in AATD.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Clinical Development of SERP-01 </w:t>
      </w:r>
    </w:p>
    <w:p>
      <w:pPr>
        <w:pStyle w:val="TextBody"/>
        <w:bidi w:val="0"/>
        <w:spacing w:before="120" w:after="0"/>
        <w:jc w:val="left"/>
        <w:rPr>
          <w:rFonts w:ascii="Times New Roman" w:hAnsi="Times New Roman"/>
          <w:sz w:val="20"/>
        </w:rPr>
      </w:pPr>
      <w:r>
        <w:rPr>
          <w:rFonts w:ascii="Times New Roman" w:hAnsi="Times New Roman"/>
          <w:sz w:val="20"/>
        </w:rPr>
        <w:t xml:space="preserve">SERP-01 is being evaluated in an ongoing IIT conducted at Renji Hospital in Shanghai, China in collaboration with Hannover Medical School in Hanover, Germany. This is a single-arm, open-label, dose-escalation study evaluating the safety and tolerability of SERP-01 in patients with PiZZ AATD and a baseline serum AAT below 11 µM. Dose levels being studied include 35 mg, 45 mg and 55 mg. One patient received a dose of 35 mg, or the low dose, and three patients received a 45 mg dose, with additional patients planned at 55 mg and at an expansion cohort dose to be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Clinical Results </w:t>
      </w:r>
    </w:p>
    <w:p>
      <w:pPr>
        <w:pStyle w:val="TextBody"/>
        <w:bidi w:val="0"/>
        <w:spacing w:before="120" w:after="0"/>
        <w:jc w:val="left"/>
        <w:rPr>
          <w:rFonts w:ascii="Times New Roman" w:hAnsi="Times New Roman"/>
          <w:sz w:val="20"/>
        </w:rPr>
      </w:pPr>
      <w:r>
        <w:rPr>
          <w:rFonts w:ascii="Times New Roman" w:hAnsi="Times New Roman"/>
          <w:sz w:val="20"/>
        </w:rPr>
        <w:t>As of a data cutoff date of August 6, 2026, the three patients dosed at 45 mg all achieved circulating AAT levels above the generally recognized protective threshold of 11 µM and were within or near the normal physiological range. The cohort achieved a mean total serum AAT of approximately 17.5 µM at week 3 as measured by turbidimetry. Elevations in serum AAT were durable in all patients up to week 12, with one patient confirmed up to 21 weeks. Based on all patients dosed with SERP-01 as of August 6, 2026, no serious adverse events have been observed.</w:t>
      </w:r>
    </w:p>
    <w:p>
      <w:pPr>
        <w:pStyle w:val="TextBody"/>
        <w:bidi w:val="0"/>
        <w:spacing w:before="0" w:after="0"/>
        <w:jc w:val="left"/>
        <w:rPr/>
      </w:pPr>
      <w:r>
        <w:rPr/>
        <w:t> </w:t>
      </w:r>
    </w:p>
    <w:p>
      <w:pPr>
        <w:pStyle w:val="TextBody"/>
        <w:bidi w:val="0"/>
        <w:spacing w:before="0" w:after="0"/>
        <w:jc w:val="center"/>
        <w:rPr/>
      </w:pPr>
      <w:r>
        <w:rPr/>
        <w:drawing>
          <wp:inline distT="0" distB="0" distL="0" distR="0">
            <wp:extent cx="3992880" cy="21996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92880" cy="21996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Mean total serum AAT by turbidimetry in the 45 mg cohort (n=3) through week 3, relative to the 11 µM protective threshold and the 20 µM lower bound of the normal range.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Preliminary preclinical proof of concept and safety and tolerability studies evaluating the intravenous administration of SERP-01 were designed and overseen by YolTech and conducted under good laboratory practice (“GLP”) standards. In the PiZZ mouse model of AATD, a single intravenous administration of SERP-01 resulted in significant and sustained increases in serum AAT levels compared with baseline, with effects maintained through the 13-week observation period. Also in preclinical studies, Serapha’s proprietary adenine base editor achieved on-target correction comparable to a benchmark base editor while producing substantially less of this bystander edit, which, taken together, was associated with greater secretion of functional M-AAT. YolTech has also conducted multiple GLP safety studies in PiZZ mice and non-human primates. No evidence of toxicity was observed following administration of SERP-01 for up to 13 weeks. YolTech has utilized the same LNP and proprietary adenine base editor messenger RNA (“mRNA”) in other disease models with no evidence of toxicity observed up to nine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SERP-01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FDA cleared an IND for SERP-01, permitting the initiation of a U.S. Phase 2/3 clinical trial of SERP-01 in PiZZ AATD patients. In August 2026, YolTech transferred sponsorship of the IND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and Serapha is the current sponsor of the IND. Serapha’s development activities with respect to SERP-01 to date have consisted of assuming sponsorship of the IND, preparing for the initiation of the U.S. Phase 2/3 clinical trial, including protocol development, bioanalytical method development and validation, clinical research organization and clinical site selection, and interactions with the FDA, and initiating the technology transfer of YolTech’s manufacturing process for SERP-01 to other cGMP-compliant manufacturing facilities. Serapha has not yet conducted any preclinical studies or clinical trials of SERP-01. Serapha intends to initiate the U.S. Phase 2/3 clinical trial in late 2026 or early 2027. Serapha currently expects the Phase 2 part to be an open-label study enrolling up to 12 patients at an optimal biologically active dose (“OBD”), with a primary endpoint of change from baseline in serum AAT and secondary endpoints assessing pulmonary and liver measures and patient-reported outcomes. Serapha expects that data from the ongoing IIT, including additional patients, may contribute to the safety database supporting Serapha’s U.S. program. </w:t>
      </w:r>
    </w:p>
    <w:p>
      <w:pPr>
        <w:pStyle w:val="TextBody"/>
        <w:bidi w:val="0"/>
        <w:spacing w:before="240" w:after="0"/>
        <w:jc w:val="left"/>
        <w:rPr>
          <w:rFonts w:ascii="Times New Roman" w:hAnsi="Times New Roman"/>
          <w:sz w:val="20"/>
        </w:rPr>
      </w:pPr>
      <w:r>
        <w:rPr>
          <w:rFonts w:ascii="Times New Roman" w:hAnsi="Times New Roman"/>
          <w:sz w:val="20"/>
        </w:rPr>
        <w:t xml:space="preserve">Based on the data observed from the ongoing IIT and the Phase 2 part of the Phase 2/3 clinical trial, Serapha intends to engage in discussions with the FDA to discuss the next steps in the SERP-01 development plan for PiZZ AATD. Subject to the outcome of Serapha’s discussions with the FDA and European regulatory authorities, Serapha anticipates initiating the Phase 3 part of the Phase 2/3 clinical trial of SERP-01 for PiZZ AATD in each of the United States and the European Union in 2027. </w:t>
      </w:r>
    </w:p>
    <w:p>
      <w:pPr>
        <w:pStyle w:val="TextBody"/>
        <w:bidi w:val="0"/>
        <w:spacing w:before="240" w:after="0"/>
        <w:jc w:val="left"/>
        <w:rPr>
          <w:rFonts w:ascii="Times New Roman" w:hAnsi="Times New Roman"/>
          <w:sz w:val="20"/>
        </w:rPr>
      </w:pPr>
      <w:r>
        <w:rPr>
          <w:rFonts w:ascii="Times New Roman" w:hAnsi="Times New Roman"/>
          <w:sz w:val="20"/>
        </w:rPr>
        <w:t xml:space="preserve">In May 2026, the FDA granted SERP-01 orphan drug designation for the treatment of PiZZ AATD and RMAT designation. Serapha intends to seek FDA guidance for a registrational program supporting accelerated approval based on AATD biomarkers, such as restoration of serum AAT, as surrogate endpoints that may be reasonably likely to predict clinical benefit, subject to FDA agreement. However, there is no guarantee that SERP-01 will receive approval from the FDA or receive approval faster than it otherwise might have if an accelerated pathway were not pursued, as the progress and results of clinical trials are variable and unpredictable.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Clinical drug supply used in the IIT was manufactured at YolTech’s current good manufacturing practice (“cGMP”)-compliant facility. YolTech’s manufacturing process and facility have been used to produce multiple </w:t>
      </w:r>
      <w:r>
        <w:rPr>
          <w:rFonts w:ascii="Times New Roman" w:hAnsi="Times New Roman"/>
          <w:i/>
          <w:sz w:val="20"/>
        </w:rPr>
        <w:t>in vivo</w:t>
      </w:r>
      <w:r>
        <w:rPr>
          <w:rFonts w:ascii="Times New Roman" w:hAnsi="Times New Roman"/>
          <w:sz w:val="20"/>
        </w:rPr>
        <w:t xml:space="preserve"> and </w:t>
      </w:r>
      <w:r>
        <w:rPr>
          <w:rFonts w:ascii="Times New Roman" w:hAnsi="Times New Roman"/>
          <w:i/>
          <w:sz w:val="20"/>
        </w:rPr>
        <w:t>ex vivo</w:t>
      </w:r>
      <w:r>
        <w:rPr>
          <w:rFonts w:ascii="Times New Roman" w:hAnsi="Times New Roman"/>
          <w:sz w:val="20"/>
        </w:rPr>
        <w:t xml:space="preserve"> base editing product candidates that have been evaluated or are being evaluated in clinical trials. Serapha believes its current manufacturing process is sufficient to support dosing of additional patients in the ongoing IIT and to provide initial clinical supply for the U.S. Phase 2 portion of the Phase 2/3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As Serapha scales manufacturing of SERP-01 to support potential future registrational studies and commercial demand, Serapha has initiated a technology transfer of YolTech’s manufacturing process for SERP-01 to other cGMP-compliant manufacturing facilities. Serapha intends to transfer manufacturing to FDA-, European Medicines Agency-, and Pharmaceuticals and Medical Devices Agency-inspected commercial-scale CDMOs in the United States and Europe to support late-stage clinical development and potential commercial supply. Serapha expects to conduct appropriate comparability studies between clinical material manufactured by YolTech and material produced at the new manufacturing sites, as required to support regulatory submissions. </w:t>
      </w:r>
    </w:p>
    <w:p>
      <w:pPr>
        <w:pStyle w:val="TextBody"/>
        <w:bidi w:val="0"/>
        <w:spacing w:before="240" w:after="0"/>
        <w:jc w:val="left"/>
        <w:rPr>
          <w:rFonts w:ascii="Times New Roman" w:hAnsi="Times New Roman"/>
          <w:sz w:val="20"/>
        </w:rPr>
      </w:pPr>
      <w:r>
        <w:rPr>
          <w:rFonts w:ascii="Times New Roman" w:hAnsi="Times New Roman"/>
          <w:sz w:val="20"/>
        </w:rPr>
        <w:t xml:space="preserve">Serapha is working with qualified cGMP-compliant manufacturing partners capable of producing each key component of SERP-01, including plasmid DNA, mRNA produced through </w:t>
      </w:r>
      <w:r>
        <w:rPr>
          <w:rFonts w:ascii="Times New Roman" w:hAnsi="Times New Roman"/>
          <w:i/>
          <w:sz w:val="20"/>
        </w:rPr>
        <w:t>in vitro</w:t>
      </w:r>
      <w:r>
        <w:rPr>
          <w:rFonts w:ascii="Times New Roman" w:hAnsi="Times New Roman"/>
          <w:sz w:val="20"/>
        </w:rPr>
        <w:t xml:space="preserve"> transcription, gRNA, LNP formulation, and fill-finish services. Serapha intends to use SERP-01 manufactured by qualified third-party manufacturers in future U.S. clinical trials and expects to rely on a network of third-party manufacturing partners to support long-term clinical and potential commercial supply globally.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b/>
          <w:i/>
          <w:sz w:val="20"/>
        </w:rPr>
      </w:pPr>
      <w:bookmarkStart w:id="62" w:name="tx108148_709"/>
      <w:bookmarkEnd w:id="62"/>
      <w:r>
        <w:rPr>
          <w:rFonts w:ascii="Times New Roman" w:hAnsi="Times New Roman"/>
          <w:b/>
          <w:i/>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an exclusive, sub-licensable, royalty-bearing license agreement (the “YolTech License Agreement”) with YolTech under which Serapha obtained worldwide rights, excluding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Greater China, to develop, manufacture and commercialize SERP-01 and other </w:t>
      </w:r>
      <w:r>
        <w:rPr>
          <w:rFonts w:ascii="Times New Roman" w:hAnsi="Times New Roman"/>
          <w:i/>
          <w:sz w:val="20"/>
        </w:rPr>
        <w:t>SERPINA1</w:t>
      </w:r>
      <w:r>
        <w:rPr>
          <w:rFonts w:ascii="Times New Roman" w:hAnsi="Times New Roman"/>
          <w:sz w:val="20"/>
        </w:rPr>
        <w:t xml:space="preserve">-directed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w:t>
      </w:r>
      <w:r>
        <w:rPr>
          <w:rFonts w:ascii="Times New Roman" w:hAnsi="Times New Roman"/>
          <w:i/>
          <w:sz w:val="20"/>
        </w:rPr>
        <w:t>SERPINA1</w:t>
      </w:r>
      <w:r>
        <w:rPr>
          <w:rFonts w:ascii="Times New Roman" w:hAnsi="Times New Roman"/>
          <w:sz w:val="20"/>
        </w:rPr>
        <w:t xml:space="preserve">-directed gene therapies, subject to customary acquisition-related exceptions. Serapha may terminate the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highly competitive and subject to rapid technological change. Serapha faces competition from established augmentation therapies and from a number of companies developing genetic medicines for AATD. In particular, the field of genetic medicines is characterized by rapidly advancing technologies, intense competition and a strong emphasis on proprietary products. </w:t>
      </w:r>
    </w:p>
    <w:p>
      <w:pPr>
        <w:pStyle w:val="TextBody"/>
        <w:bidi w:val="0"/>
        <w:spacing w:before="240" w:after="0"/>
        <w:jc w:val="left"/>
        <w:rPr>
          <w:rFonts w:ascii="Times New Roman" w:hAnsi="Times New Roman"/>
          <w:sz w:val="20"/>
        </w:rPr>
      </w:pPr>
      <w:r>
        <w:rPr>
          <w:rFonts w:ascii="Times New Roman" w:hAnsi="Times New Roman"/>
          <w:sz w:val="20"/>
        </w:rPr>
        <w:t xml:space="preserve">Approved augmentation therapies for AATD are marketed by companies including Grifols SA, Takeda Pharmaceutical Company Limited and CSL Behring. </w:t>
      </w:r>
    </w:p>
    <w:p>
      <w:pPr>
        <w:pStyle w:val="TextBody"/>
        <w:bidi w:val="0"/>
        <w:spacing w:before="240" w:after="0"/>
        <w:jc w:val="left"/>
        <w:rPr>
          <w:rFonts w:ascii="Times New Roman" w:hAnsi="Times New Roman"/>
          <w:sz w:val="20"/>
        </w:rPr>
      </w:pPr>
      <w:r>
        <w:rPr>
          <w:rFonts w:ascii="Times New Roman" w:hAnsi="Times New Roman"/>
          <w:sz w:val="20"/>
        </w:rPr>
        <w:t xml:space="preserve">At this time, there is no FDA- or EMA-approved disease-modifying therapy for AATD. However, a number of companies are developing drug candidates for AATD. Serapha is aware of companies exploring base editing treatments, including Beam Therapeutics Inc., which is conducting a Phase 1/2 clinical trial of BEAM-302, an </w:t>
      </w:r>
      <w:r>
        <w:rPr>
          <w:rFonts w:ascii="Times New Roman" w:hAnsi="Times New Roman"/>
          <w:i/>
          <w:sz w:val="20"/>
        </w:rPr>
        <w:t>in</w:t>
      </w:r>
      <w:r>
        <w:rPr>
          <w:rFonts w:ascii="Times New Roman" w:hAnsi="Times New Roman"/>
          <w:sz w:val="20"/>
        </w:rPr>
        <w:t xml:space="preserve"> </w:t>
      </w:r>
      <w:r>
        <w:rPr>
          <w:rFonts w:ascii="Times New Roman" w:hAnsi="Times New Roman"/>
          <w:i/>
          <w:sz w:val="20"/>
        </w:rPr>
        <w:t>vivo</w:t>
      </w:r>
      <w:r>
        <w:rPr>
          <w:rFonts w:ascii="Times New Roman" w:hAnsi="Times New Roman"/>
          <w:sz w:val="20"/>
        </w:rPr>
        <w:t xml:space="preserve"> LNP-delivered adenine base editor targeting the same mutation (E342K) as SERP-01. In addition to a base editing solution, alternative approaches in clinical development for treatment of AATD include other editing or gene-modifying, RNA-editing and RNA interference technologies. Potential competitors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gene editing or gene modifying approaches.</w:t>
            </w:r>
            <w:r>
              <w:rPr>
                <w:rFonts w:ascii="Times New Roman" w:hAnsi="Times New Roman"/>
                <w:sz w:val="20"/>
              </w:rPr>
              <w:t xml:space="preserve"> Tessera Therapeutics, Inc. and Regeneron Pharmaceuticals, Inc., which are collaborating on a Phase 1/2 clinical trial in AATD. CRISPR Therapeutics AG, which has initiated a Phase 1 clinical trial and Prime Medicine, Inc. which has received FDA clearance of an IND for a Phase 1/2 clinical trial in AATD.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RNA editing (repeat dosing).</w:t>
            </w:r>
            <w:r>
              <w:rPr>
                <w:rFonts w:ascii="Times New Roman" w:hAnsi="Times New Roman"/>
                <w:sz w:val="20"/>
              </w:rPr>
              <w:t xml:space="preserve"> Wave Life Sciences Ltd., which is conducting a Phase 1b/2a clinical trial in AATD.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RNA interference (repeat dosing).</w:t>
            </w:r>
            <w:r>
              <w:rPr>
                <w:rFonts w:ascii="Times New Roman" w:hAnsi="Times New Roman"/>
                <w:sz w:val="20"/>
              </w:rPr>
              <w:t xml:space="preserve"> Takeda Pharmaceutical Company Limited and Arrowhead Pharmaceuticals Inc., which are conducting a Phase 3 clinical trial in AATD.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believes the principal competitive factors in its market include the magnitude and durability of restoration of functional AAT, the breadth of clinical benefit across lung and liver disease, safety and tolerability, the convenience of a potential one-time versus a repeat dosing regimen, manufacturing scalability and cost, intellectual property position, and the timing and scope of regulatory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Serapha’s commercial success depends in part on its ability to obtain and maintain patent and other proprietary protection for SERP-01, to operate without infringing the valid and enforceable intellectual property rights of others, and to protect its trade secrets and know-how. Serapha expects to rely on a combination of patents, patent applications, trade secrets, know-how and in-licensed rights, including rights obtained from YolTech relating to the components of SERP-01 and its formulation and manufacturing processes. </w:t>
      </w:r>
    </w:p>
    <w:p>
      <w:pPr>
        <w:pStyle w:val="TextBody"/>
        <w:bidi w:val="0"/>
        <w:spacing w:before="240" w:after="0"/>
        <w:jc w:val="left"/>
        <w:rPr>
          <w:rFonts w:ascii="Times New Roman" w:hAnsi="Times New Roman"/>
          <w:sz w:val="20"/>
        </w:rPr>
      </w:pPr>
      <w:r>
        <w:rPr>
          <w:rFonts w:ascii="Times New Roman" w:hAnsi="Times New Roman"/>
          <w:sz w:val="20"/>
        </w:rPr>
        <w:t xml:space="preserve">Serapha’s intellectual property portfolio relating to SERP-01 consists primarily of rights in-licensed from YolTech, together with rights Serapha may develop or acquire. The in-licensed rights include patents and patent applications directed to the proprietary adenine base editor used in SERP-01, the </w:t>
      </w:r>
      <w:r>
        <w:rPr>
          <w:rFonts w:ascii="Times New Roman" w:hAnsi="Times New Roman"/>
          <w:i/>
          <w:sz w:val="20"/>
        </w:rPr>
        <w:t>SERPINA1</w:t>
      </w:r>
      <w:r>
        <w:rPr>
          <w:rFonts w:ascii="Times New Roman" w:hAnsi="Times New Roman"/>
          <w:sz w:val="20"/>
        </w:rPr>
        <w:t xml:space="preserve">-targeting gRNA and related editing compositions, the LNP formulation used to deliver SERP-01, and methods of treating AATD using these compositions. Under the YolTech License Agreement, Serapha holds rights to develop, manufacture and commercialize SERP-01 worldwide, excluding Greater China, and to prosecute and maintain certain of the licensed patent rights in such territory, in each case subject to the terms of the license. </w:t>
      </w:r>
    </w:p>
    <w:p>
      <w:pPr>
        <w:pStyle w:val="TextBody"/>
        <w:bidi w:val="0"/>
        <w:spacing w:before="240" w:after="0"/>
        <w:jc w:val="left"/>
        <w:rPr>
          <w:rFonts w:ascii="Times New Roman" w:hAnsi="Times New Roman"/>
          <w:sz w:val="20"/>
        </w:rPr>
      </w:pPr>
      <w:r>
        <w:rPr>
          <w:rFonts w:ascii="Times New Roman" w:hAnsi="Times New Roman"/>
          <w:sz w:val="20"/>
        </w:rPr>
        <w:t xml:space="preserve">Serapha’s in-licensed patent estate comprises five patent families, predominantly of Chinese origin with Patent Cooperation Treaty (“PCT”) stage, or with national-stage and counterpart filings in the United States, Europe, Japan and South Korea. These patent families are collectively directed to (i) compositions and methods for treating AATD by editing the </w:t>
      </w:r>
      <w:r>
        <w:rPr>
          <w:rFonts w:ascii="Times New Roman" w:hAnsi="Times New Roman"/>
          <w:i/>
          <w:sz w:val="20"/>
        </w:rPr>
        <w:t>SERPINA1</w:t>
      </w:r>
      <w:r>
        <w:rPr>
          <w:rFonts w:ascii="Times New Roman" w:hAnsi="Times New Roman"/>
          <w:sz w:val="20"/>
        </w:rPr>
        <w:t xml:space="preserve"> gene, (ii) the ionizable lipid and lipid nanoparticle technology used to deliver SERP-01, and (iii) the adenine deaminases and base-editor systems comprising the proprietary adenine base editor. The earliest patent family, directed to a proprietary adenine base editor, claims priority to 2022 and has issued in China, with national applications pending in the United States, Europe, China, Japan, and South Korea. The remaining families claim priority between 2023 and 2025, including: two patent families each claiming priority to 2023 and pending in the United States, Europe, China, Japan, and South Korea; and two patent families each claiming priority to 2025 and pending at the PCT stage. Absent any patent term adjustment or extension, Serapha expects the issued and pending patents in these patent families to expire between 2043 and 2046.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Serapha relies on trade secrets, know-how and proprietary technology, including with respect to the manufacture and formulation of SERP-01, which Serapha seeks to protect through confidentiality and invention-assignment agreements with its employees, consultants and advisers and through other security measures, although these measures may not provide adequate protection. Serapha also seeks to protect its corporate and product brands through trademarks.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products (“biologics”) such as those Serapha is developing. Serapha, along with third-party contractors, will be required to navigate the various preclinical, clinical and commercial approval requirements of the governing regulatory agencies of the countries in which Serapha wishes to conduct studies or seek approval or licensure of its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Serapha and its products or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the FDA’s current GLP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is commenced;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cGMPs;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(“GCP”) requirements to establish the safety, purity and potency of the proposed biologic product candidate for its intended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all pivotal clinical trials;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particular indications for use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any clinical trial with a product candidate in the United States, Serapha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generally requires more than one adequate and well-controlled Phase 3 clinical trial to support marketing approval of a product candidate. A clinical trial may also combine elements of more than one phase.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these phases overlap or are combined, the trials may be referred to as Phase 1/2 or Phase 2/3. A Phase 1/2 clinical trial is a human trial that investigates both safety and preliminary efficacy of an investigational therapy. A Phase 2/3 clinical trial is a human trial that investigates both preliminary and confirmatory efficacy and safety to potentially support submission of a marketing application with the applicable regulatory authorities.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before="360" w:after="0"/>
        <w:jc w:val="left"/>
        <w:rPr>
          <w:rFonts w:ascii="Times New Roman" w:hAnsi="Times New Roman"/>
          <w:b/>
          <w:sz w:val="20"/>
        </w:rPr>
      </w:pPr>
      <w:r>
        <w:rPr>
          <w:rFonts w:ascii="Times New Roman" w:hAnsi="Times New Roman"/>
          <w:b/>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within 60 days after an end-of-Phase 2 meeting or as may be agreed between the sponsor and the FDA. Unless otherwise required by regulation, PREA does not apply to any biological product for an indication for which orphan designation has been granted, except that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the BLA to determine if it is substantially complete before the agency accepts it for filing. The FDA may refuse to file any BLA that it deems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incomplete or not properly reviewable at the time of submission and may request additional information. In this event, the BLA must be resubmitted with the additional information. Once a BLA has been accepted for filing, the FDA’s goal is to review standard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Considerations for Gene Therapy Products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regulations discussed above, there are a number of additional considerations that apply to clinical trials involving the use of gene therapy. Supervision of human gene transfer trials includes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The FDA has issued various guidance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gene therapies, which outline additional factors that the FDA will consider at each of the above stages of development and relate to, among other things: the proper preclinical assessment of gene therapies; the chemistry, manufacturing and controls information that should be included in an IND; the proper design of tests to measure product efficacy or potency in support of an IND or BLA; and measures to observe delayed adverse effects in subjects who have been exposed to investigational gene therapies when the risk of such effects is high. For instance, the FDA usually recommends that sponsors observe all surviving subjects who receive treatment using gene therapies that are based on adeno-associated virus vectors in clinical trials for potential gene therapy-related delayed adverse events for a minimum five-year period. The FDA does not require the long-term tracking to be complete prior to its review of the BLA. </w:t>
      </w:r>
    </w:p>
    <w:p>
      <w:pPr>
        <w:pStyle w:val="TextBody"/>
        <w:bidi w:val="0"/>
        <w:spacing w:before="360" w:after="0"/>
        <w:jc w:val="left"/>
        <w:rPr>
          <w:rFonts w:ascii="Times New Roman" w:hAnsi="Times New Roman"/>
          <w:b/>
          <w:sz w:val="20"/>
        </w:rPr>
      </w:pPr>
      <w:r>
        <w:rPr>
          <w:rFonts w:ascii="Times New Roman" w:hAnsi="Times New Roman"/>
          <w:b/>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data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 Serapha intends to seek FDA guidance for a registrational program supporting accelerated approval of SERP-01 based on AATD biomarkers, such as restoration of serum AAT, as surrogate endpoints that may be reasonably likely to predict clinical benefit, subject to FDA agreement. However, there is no guarantee that SERP-01 will receive approval from the FDA or receive approval faster than it otherwise might have if an accelerated pathway were not pursued, as the progress and results of clinical trials are variable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2017, the FDA established a new regenerative medicine advanced therapy (“RMAT”) designation as part of its implementation of the 21st Century Cures Act (the “Cures Act”). The RMAT designation program is intended to fulfill the Cures Act requirement that the FDA facilitate an efficient development program for, and expedite review of, any drug that meets the following criteria: (i) the drug qualifies as an RMAT, which is defined as a cell therapy, therapeutic tissue engineering product, human cell and tissue product, or any combination product using such therapies or products, with limited exceptions; (ii) the drug is intended to treat, modify, reverse, or cure a serious or life-threatening disease or condition; and (iii) preliminary clinical evidence indicates that the drug has the potential to address unmet medical needs for such a disease or condition. RMAT designation provides all the benefits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breakthrough therapy designation, including more frequent meetings with the FDA to discuss the development plan for the product candidate and eligibility for rolling review and priority review. </w:t>
      </w:r>
    </w:p>
    <w:p>
      <w:pPr>
        <w:pStyle w:val="TextBody"/>
        <w:bidi w:val="0"/>
        <w:spacing w:before="240" w:after="0"/>
        <w:jc w:val="left"/>
        <w:rPr>
          <w:rFonts w:ascii="Times New Roman" w:hAnsi="Times New Roman"/>
          <w:sz w:val="20"/>
        </w:rPr>
      </w:pPr>
      <w:r>
        <w:rPr>
          <w:rFonts w:ascii="Times New Roman" w:hAnsi="Times New Roman"/>
          <w:sz w:val="20"/>
        </w:rPr>
        <w:t xml:space="preserve">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When appropriate, the FDA can permit fulfillment of post-approval requirements for an RMAT that has received accelerated approval through: the submission of clinical evidence, preclinical studies, clinical trials, patient registries or other sources of real-world evidence such as electronic health records; the collection of larger confirmatory datasets; or post-approval monitoring of all patients treated with the therapy prior to approval. In May 2026, the FDA granted RMAT designation to SERP-01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there is evidence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 Serapha has not sought priority review for SERP-01 to date, but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Fast track designation, breakthrough therapy designation, RMAT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b/>
          <w:sz w:val="20"/>
        </w:rPr>
      </w:pPr>
      <w:r>
        <w:rPr>
          <w:rFonts w:ascii="Times New Roman" w:hAnsi="Times New Roman"/>
          <w:b/>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of 1983,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 In May 2026, the FDA granted SERP-01 orphan drug designation for the treatment of PiZZ AATD.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approved use or indication for seven years, except in limited circumstances, such as a showing of clinical superiority to the product with orphan drug exclusivity by means of greater effectiveness,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greater safety or providing a major contribution to patient care or if the holder of the orphan drug exclusivity cannot assure the availability of sufficient quantities of the orphan drug to meet the needs of patients with the same use or indication for which the already-approved or licensed product was approved or licensed.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 </w:t>
      </w:r>
    </w:p>
    <w:p>
      <w:pPr>
        <w:pStyle w:val="TextBody"/>
        <w:bidi w:val="0"/>
        <w:spacing w:before="24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is some uncertainty with respect to the FDA’s interpretation of the scope of orphan drug exclusivity. Historically, exclusivity was specific to the orphan indication for which the drug was approved. As a result, the scope of exclusivity was interpreted as preventing approval of a competing product. However, in 2021, the U.S. Court of Appeals for the Eleventh Circuit in </w:t>
      </w:r>
      <w:r>
        <w:rPr>
          <w:rFonts w:ascii="Times New Roman" w:hAnsi="Times New Roman"/>
          <w:i/>
          <w:sz w:val="20"/>
        </w:rPr>
        <w:t>Catalyst Pharmaceuticals, Inc. v. Becerra</w:t>
      </w:r>
      <w:r>
        <w:rPr>
          <w:rFonts w:ascii="Times New Roman" w:hAnsi="Times New Roman"/>
          <w:sz w:val="20"/>
        </w:rPr>
        <w:t xml:space="preserve"> suggested that orphan drug exclusivity covers the full scope of the orphan-designated “disease or condition” regardless of whether a drug obtained approval for a narrower use. </w:t>
      </w:r>
    </w:p>
    <w:p>
      <w:pPr>
        <w:pStyle w:val="TextBody"/>
        <w:bidi w:val="0"/>
        <w:spacing w:before="360" w:after="0"/>
        <w:jc w:val="left"/>
        <w:rPr>
          <w:rFonts w:ascii="Times New Roman" w:hAnsi="Times New Roman"/>
          <w:b/>
          <w:sz w:val="20"/>
        </w:rPr>
      </w:pPr>
      <w:r>
        <w:rPr>
          <w:rFonts w:ascii="Times New Roman" w:hAnsi="Times New Roman"/>
          <w:b/>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Serapha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Serapha and its third-party manufacturers.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FDA regulations also require investigation and correction of any deviations from cGMPs and impose reporting requirements upon Serapha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Serapha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has issued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are subject to significant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the issue date of the patent for which extension is sought, and the submission date of a BLA, plus the time between the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Serapha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U.S. </w:t>
      </w:r>
    </w:p>
    <w:p>
      <w:pPr>
        <w:pStyle w:val="TextBody"/>
        <w:bidi w:val="0"/>
        <w:spacing w:before="360" w:after="0"/>
        <w:jc w:val="left"/>
        <w:rPr>
          <w:rFonts w:ascii="Times New Roman" w:hAnsi="Times New Roman"/>
          <w:b/>
          <w:sz w:val="20"/>
        </w:rPr>
      </w:pPr>
      <w:r>
        <w:rPr>
          <w:rFonts w:ascii="Times New Roman" w:hAnsi="Times New Roman"/>
          <w:b/>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the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Serapha’s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Serapha is also subject to federal price reporting laws and federal consumer protection and unfair competition laws. Federal price reporting laws require manufacturers to calculate and report complex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metrics to government programs, where such reported prices may be used in the calculation of reimbursement and/or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Serapha is also subject to additional similar U.S. state and foreign law equivalents of each of the above federal laws, which, in some cases, differ from each other in significant ways, and may not have the same effect, thus complicating compliance efforts. If Serapha’s operations are found to be in violation of any of such laws or any other governmental regulations that apply, it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Serapha’s operations or the operations of its partners.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HIPAA, as amended by the Health Information Technology for Economic and Clinical Health Act (“HITECH”), and their respective implementing regulations impose data privacy, security, and breach notification obligations on certain healthcare providers, health plans and healthcare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to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to the security and integrity of such PHI and reasonably anticipated impermissible uses or disclosures; and reporting breaches of PHI to individuals and regulators.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Serapha submits electronic healthcare claims and payment transactions that do not comply with the electronic data transmission standards established under HIPAA and HITECH, payments to Serapha may be delayed or denied.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when HIPAA and state health information privacy laws do not apply, according to the Federal Trade Commission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such as the California Consumer Privacy Act of 2018 (“CCPA”), as amended by the California Privacy Rights Act of 2020,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 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Serapha and the third parties upon whom it relies.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Serapha’s use of artificial intelligence and machine learning may be subject to laws and evolving regulations regarding the use of artificial intelligence and machine learning, controlling for data bias, and antidiscrimination.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Serapha’s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for which Serapha obtains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Serapha’s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have their own methods and approval process apart from Medicare determinations. As a result, the coverage determination process is often a time-consuming and costly process that will require Serapha to provide scientific and clinical support for the use of its product candidates to each payor separately, with no assurance 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 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Inflation Reduction Act of 2022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Serapha cannot be sure that reimbursement will be available for any product candidate that it may commercialize and, if reimbursement is available, the level of reimbursement.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many pharmaceutical manufacturers must calculate and report certain price reporting metrics to the government, such as average sales price and best price. Penalties may apply in some cases when such metrics are not submitted accurately and timely. </w:t>
      </w:r>
    </w:p>
    <w:p>
      <w:pPr>
        <w:pStyle w:val="TextBody"/>
        <w:bidi w:val="0"/>
        <w:spacing w:before="24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Serapha’s product candidates. Historically, products launched in the EU do not follow price structures of the U.S. and generally prices tend to be significantly lower.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and Congressional challenges to certain aspects of the ACA, and Serapha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HHS and other agencies to communicate most-favored-nation (“MFN”) price targets to pharmaceutical manufacturers to bring prices for U.S. patients in line with comparably developed nations and to facilitate direct-to-consumer purchasing programs. HHS subsequently issued guidance indicating the MFN target price will be the lowest price paid in an Organisation for Economic Co-operation and Development country with a gross domestic product (“GDP”) per capita of at least 60% of the U.S. GDP per capita.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Serapha’s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IRA, continued legislative and enforcement interest exists in the United States with respect to specialty drug pricing practices. Specifically, Serapha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Serapha’s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Serapha’s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Serapha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and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Serapha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Laws </w:t>
      </w:r>
    </w:p>
    <w:p>
      <w:pPr>
        <w:pStyle w:val="TextBody"/>
        <w:bidi w:val="0"/>
        <w:spacing w:before="120" w:after="0"/>
        <w:jc w:val="left"/>
        <w:rPr>
          <w:rFonts w:ascii="Times New Roman" w:hAnsi="Times New Roman"/>
          <w:sz w:val="20"/>
        </w:rPr>
      </w:pPr>
      <w:r>
        <w:rPr>
          <w:rFonts w:ascii="Times New Roman" w:hAnsi="Times New Roman"/>
          <w:sz w:val="20"/>
        </w:rPr>
        <w:t xml:space="preserve">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“UK”), the processing of personal data is mainly governed by the GDPR as incorporated into UK law pursuant to the EU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transfers from the UK to other countries, these transfers are also subject to specific transfer rules under the UK regime. These UK international transfer rules broadly mirror the GDPR rules.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EU-U.S. Data Privacy Framework, the UK-U.S. Data Bridge, which came into force on October 12, 2023. The UK-U.S. Data Bridge recognizes the United States as offering an adequate level of data protection where the recipient is a U.S. organization certified to the EU-U.S. Data Privacy Framework and participating in the UK Extension to the EU-U.S. Data Privacy Framework.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or UK GDPR and the related national data protection laws of the EEA countries may result in significant monetary fines for noncompliance of up to €20 million or £17.5 million (as applicable) or 4% of the total worldwide annual turnover, whichever is greater (for higher-tier infringements). Fines under the UK GDPR are enforced by the ICO and are entirely separate from fines under the GDPR. In addition, violations of national laws can trigger additional administrative penalties, investigations, corrective orders, temporary or definitive bans, and, in some jurisdictions, a number of criminal offenses for organizations and, in certain cases, their directors and officers, as well as civil liability claims from individuals whose personal data was processed. </w:t>
      </w:r>
    </w:p>
    <w:p>
      <w:pPr>
        <w:pStyle w:val="TextBody"/>
        <w:bidi w:val="0"/>
        <w:spacing w:before="240" w:after="0"/>
        <w:jc w:val="left"/>
        <w:rPr>
          <w:rFonts w:ascii="Times New Roman" w:hAnsi="Times New Roman"/>
          <w:sz w:val="20"/>
        </w:rPr>
      </w:pPr>
      <w:r>
        <w:rPr>
          <w:rFonts w:ascii="Times New Roman" w:hAnsi="Times New Roman"/>
          <w:sz w:val="20"/>
        </w:rPr>
        <w:t xml:space="preserve">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Serapha, harm to its reputation, and adversely impact its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CTR, a sponsor is able to submit a single application for approval of a clinical trial through a centralized EU clinical trials portal (the “CTIS”). One national regulatory authority (the reporting EU Member State proposed by the applicant) will take the lead in validating and evaluating the application and will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were required to comply with the CTR and to have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the CTR, national laws, regulations, and the applicable GCP and GLP standards must also be respected during the conduct of the trials, including the International Council for Harmonisation of Technical Requirements for Pharmaceuticals for Human Use guidelines on Good Clinical Practice and the ethical principles that have their origin in the Declaration of Helsinki. Under the current regime, all suspected unexpected serious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 reactions to the investigated drug that occur during the clinical trial must be reported to the National Competent Authority and to the Ethics Committees of the EU Member State where they occur.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EEA, after completion of all required clinical testing, pharmaceutical products may only be placed on the market after obtaining an MA. To obtain an MA of a drug under EU regulatory systems, an applicant can submit an MAA through, amongst others, a centralized or decentralized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2023, the MHRA published detailed guidance on its recently announced new International Recognition Procedure (“IRP”) for MAAs. The IRP has applied since January 1, 2024 and replaced the existing EU reliance procedures to apply for authorizations from seven international regulators (e.g., Health Canada, Swissmedic, the FDA and the EMA, among others). The IRP allows medicinal products approved in other jurisdictions that meet certain criteria to undergo a fast-tracked MHRA review to obtain and/or update an MA in the UK. Applicants can submit initial MAAs to the IRP but the procedure can also be used throughout the lifecycle of a product for post-authorization procedures including line extensions, variations and renewals.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 that is issued by the EC following the scientific assessment of the application by the EMA that is valid in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an MA through the centralized procedure would be in the interest of public health at EU level, an applicant may voluntarily submit an application for an MA through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an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an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on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the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which is not followed by the actual placing of the drug on the EU market (in the case of the centralized procedure) or on the market of the authorizing Member State within three years after authorization ceases to be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UK, the period of three years during which the drug has not been marketed in Great Britain will be restarted from the date of conversion to a Great Britain MA. Following Windsor Framework changes, which became effective January 1, 2025, EU authorizations are no longer valid in Northern Ireland and centrally authorized products are instead authorized by the MHRA under UK-wide marketing authorizations; existing licenses for products licensed by the MHRA that cover Great Britain only become geographically valid UK-wide while retaining their license number/prefix.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for the EU, in the case that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three-year period will start running from the last date the drug was placed on the UK market before the end of the Brexit Transition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Advanced Therapy Medicinal Products </w:t>
      </w:r>
    </w:p>
    <w:p>
      <w:pPr>
        <w:pStyle w:val="TextBody"/>
        <w:bidi w:val="0"/>
        <w:spacing w:before="120" w:after="0"/>
        <w:jc w:val="left"/>
        <w:rPr>
          <w:rFonts w:ascii="Times New Roman" w:hAnsi="Times New Roman"/>
          <w:sz w:val="20"/>
        </w:rPr>
      </w:pPr>
      <w:r>
        <w:rPr>
          <w:rFonts w:ascii="Times New Roman" w:hAnsi="Times New Roman"/>
          <w:sz w:val="20"/>
        </w:rPr>
        <w:t xml:space="preserve">In the EU, medicinal products, including advanced therapy medicinal products (“ATMPs”), are subject to extensive pre- and post-market regulation by regulatory authorities at both the EU and national levels. ATMPs comprise gene therapy products, somatic cell therapy products and tissue-engineered products, which are genes, cells or tissues that have undergone substantial manipulation and that are administered to human beings in order to cure, diagnose or prevent diseases or regenerate, repair or replace a human tissue. Pursuant to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Although such guidelines are not legally binding, compliance with them is often necessary to gain and maintain approval for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mandatory RMP, the holder of an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fulfill specific obligations within defined timelines. A conditional MA is valid for one year and must be renewed annually, but it can be converted into a standard MA once the MA holder fulfills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and/or data exclusivity in the EU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 for the purposes of submitting an application, obtaining an MA or placing the product on the market. Innovative medicinal products, referred to as New Chemical Entities (“NCEs”), approved in the EU qualify for eight years of data exclusivity and 10 years of marketing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EU’s regulatory authorities to include an NCE. Even if a compound is considered to be an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an MA for its product.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2023, the EC submitted a proposal for the reform of the European pharmaceutical legislation and negotiations are still ongoing. The timing for finalization of these negotiations and entry into force are unclear. </w:t>
      </w:r>
    </w:p>
    <w:p>
      <w:pPr>
        <w:pStyle w:val="TextBody"/>
        <w:bidi w:val="0"/>
        <w:spacing w:before="240" w:after="0"/>
        <w:jc w:val="left"/>
        <w:rPr>
          <w:rFonts w:ascii="Times New Roman" w:hAnsi="Times New Roman"/>
          <w:sz w:val="20"/>
        </w:rPr>
      </w:pPr>
      <w:r>
        <w:rPr>
          <w:rFonts w:ascii="Times New Roman" w:hAnsi="Times New Roman"/>
          <w:sz w:val="20"/>
        </w:rPr>
        <w:t xml:space="preserve">The current drafts envisage: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shortening of the periods of data exclusivity from eight to six years (with transferable vouchers for an additional year of market protection as an incentive for the development of new antibiotics),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earlier regulatory guidance and extension of market exclusivity for orphan medicines (depending on certain conditions),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four-year data exclusivity for additional indications of existing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rules governing the availability of products (including shortage prevention plans and some supply obligations for manufacturers).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criteria for designating an orphan medicinal product in the EU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an MA, as not all orphan-designated medicines reach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authorization application stage) must be submitted before an application for MA of the medicinal product is submitted. The applicant will receive a fee reduction for the MAA if the orphan drug designation has been granted, but not if the designation is still pending at the time the MAA is submitted, and sponsors must submit an annual report to the EMA summarizing the status of development of the medicine. Orphan drug designation does not convey any advantage in, or shorten the duration of, the regulatory review and approval process. Designated orphan medicines are eligible for conditional MA. </w:t>
      </w:r>
    </w:p>
    <w:p>
      <w:pPr>
        <w:pStyle w:val="TextBody"/>
        <w:bidi w:val="0"/>
        <w:spacing w:before="240" w:after="0"/>
        <w:jc w:val="left"/>
        <w:rPr>
          <w:rFonts w:ascii="Times New Roman" w:hAnsi="Times New Roman"/>
          <w:sz w:val="20"/>
        </w:rPr>
      </w:pPr>
      <w:r>
        <w:rPr>
          <w:rFonts w:ascii="Times New Roman" w:hAnsi="Times New Roman"/>
          <w:sz w:val="20"/>
        </w:rPr>
        <w:t xml:space="preserve">The EMA’s Committee for Orphan Medicinal Products reassesses the orphan drug designation of a product in parallel with the review for an MA; for a product to benefit from market exclusivity it must maintain its orphan drug designation at the time of MA review by the EMA and approval by the EC. Additionally, any MA granted for an orphan medicinal product must only cover the therapeutic indication(s) that are covered by the orphan drug designation. Upon the grant of an MA, orphan drug designation provides up to 10 years of market exclusivity in the orphan indication.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10-year period of market exclusivity, with a limited number of exceptions, the regulatory authorities of the EU Member States and the EMA may not accept applications for MA, accept an application to extend an existing MA or grant an MA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an MA may be granted to a similar medicinal product (orphan or not) for the same or overlapping indication subject to certain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the UK, following the Brexit Transition Period, a system for incentivizing the development of orphan medicines was introduced. Overall, the requirements for orphan designation largely replicate the requirements in the EU and the benefit of market exclusivity has been retained. Products with an orphan designation in the EU can be considered for an orphan MA in Great Britain and marketing authorizations granted for products that fulfil UK orphan criteria are valid UK-wide regardless of whether there is an EU orphan designation. The MHRA will review applications for orphan designation at the time of an MA, and will offer incentives, such as market exclusivity and full or partial refunds for MA fees to encourage the development of medicines in rare diseases. Separately, the MHRA has stated that it is considering updating its licensing framework for orphan medicines, with a draft framework expected by spring 2026.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Medicinal products that are granted an MA on the basis of the pediatric clinical trials conducted in accordance with the approved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approved PIP are developed and submitted. An approved PIP is also required when an MA holder wants to add a new indication, medicinal form or route of administration for a medicine that is already authorized and covered by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In the UK, the MHRA has published guidance on the procedures for UK Pediatric Investigation Plans,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the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 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Serapha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pharmacovigilance rules can impose on holders of MAs the obligation to conduct a labor-intensive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time-consuming and expensive and could impact Serapha’s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The EMA reviews PSURs for medicinal products authorized through the centralized procedure. If the EMA has concerns that the risk-benefit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w:t>
      </w:r>
    </w:p>
    <w:p>
      <w:pPr>
        <w:pStyle w:val="TextBody"/>
        <w:bidi w:val="0"/>
        <w:spacing w:before="240" w:after="0"/>
        <w:jc w:val="left"/>
        <w:rPr>
          <w:rFonts w:ascii="Times New Roman" w:hAnsi="Times New Roman"/>
          <w:sz w:val="20"/>
        </w:rPr>
      </w:pPr>
      <w:r>
        <w:rPr>
          <w:rFonts w:ascii="Times New Roman" w:hAnsi="Times New Roman"/>
          <w:sz w:val="20"/>
        </w:rPr>
        <w:t xml:space="preserve">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EC Guidelines for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activation/declaration of a crisis or emergency mode. The European Parliament has not yet voted on the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Serapha’s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The SmPC is the document that provides information to physicians concerning the safe and effective use of the medicinal product. It forms an intrinsic and integral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Serapha’s products to the general public and may also impose limitations on Serapha’s promotional activities with healthcare professionals. EU regulation with regard to dispensing, sale and purchase of medicines has generally been preserved in the UK following Brexit, through the Human Medicines Regulations. However, organizations wishing to sell medicines online need to register with the MHRA. Following Brexit, the requirements to display the common logo no longer apply to UK-based online sellers, except for those established in Northern Ireland. </w:t>
      </w:r>
    </w:p>
    <w:p>
      <w:pPr>
        <w:pStyle w:val="TextBody"/>
        <w:bidi w:val="0"/>
        <w:spacing w:before="36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come within its scope. If the act or omission does not take place in the UK, but the person’s act or omission would constitute an offense if carried out there and the person has a close connection with the UK, an offense will still have been committed. </w:t>
      </w:r>
    </w:p>
    <w:p>
      <w:pPr>
        <w:pStyle w:val="TextBody"/>
        <w:bidi w:val="0"/>
        <w:spacing w:before="240" w:after="0"/>
        <w:jc w:val="left"/>
        <w:rPr>
          <w:rFonts w:ascii="Times New Roman" w:hAnsi="Times New Roman"/>
          <w:sz w:val="20"/>
        </w:rPr>
      </w:pPr>
      <w:r>
        <w:rPr>
          <w:rFonts w:ascii="Times New Roman" w:hAnsi="Times New Roman"/>
          <w:sz w:val="20"/>
        </w:rPr>
        <w:t xml:space="preserve">The Bribery Act 2010 comprises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offense committed, harm and culpability, and penalties range from unlimited fines to imprisonment for a maximum term of 10 years, or in some cases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in the UK and 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EU laws now only apply to the UK in respect of Northern Ireland as laid out in the protocol on Ireland and Northern Ireland, as amended by the Windsor Framework, which sets out a long-term set of arrangements for the supply of medicines into Northern Ireland. The EU and the UK agreed on a trade and cooperation agreement (the “TCA”),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Serapha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Conservation and Recovery Act and the Toxic Substances Control Act, affect Serapha’s business. These and other laws govern its use, handling and disposal of various biological, chemical and radioactive substances used in, and wastes generated by, its operations. If its operations result in contamination of the environment or expose individuals to hazardous or biohazardous substances, Serapha could be liable for damages, environmental remediation, and/or governmental fines. Serapha believes that it is in material compliance with applicable environmental laws and occupational health and safety laws and that continued compliance therewith will not have a material adverse effect on its business. Serapha cannot predict, however, how changes in these laws may affect its future operations. Serapha may incur significant costs to comply with such laws and regulations now or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1, 2026, Serapha had seven full-time employees. Serapha’s team includes individuals with experience in genetic medicine, rare disease, regulatory affairs and chemistry, manufacturing and controls. Members of Serapha’s leadership and scientific team include individuals with prior experience at companies developing genetic medicines. Serapha expects to receive certain administrative support (including in finance, human resources, legal, information technology and business development) from its principal investors during its initial period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Serapha uses office space for its principal operations in New York, which is provided by its principal investors during its initial period of operations. Serapha does not own any manufacturing facilities and relies on third-party CDMOs for the manufacture of SERP-01. Serapha believes its facilities are adequate to meet its current needs and that additional or alternative space will be available as needed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Serapha may become involved in legal proceedings arising in the ordinary course of its business. Except as described below, Serapha is not currently a party to any material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Beam Therapeutics Inc. v. Wang et al.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2026, Beam filed a complaint in the U.S. District Court for the District of Massachusetts, captioned Beam Therapeutics Inc. v. Zi Jun (Emma) Wang, et al., Civil Action No. 1:26-cv-14414, against Dr. Wang, Dr. Wu, YolTech (named in the complaint as Shanghai Yaotang Biotechnology Co., Ltd., a/k/a YolTech Therapeutics) and Serapha. The complaint alleges, among other things, that Dr. Wang, while employed by Beam from March 2021 to January 2022, co-founded YolTech and acquired Beam’s confidential information and trade secrets relating to, among other things, lipid nanoparticle delivery, base editing and manufacturing, that at least some such information was incorporated into a Chinese patent application filed by YolTech in June 2022 naming Dr. Wang as the sole inventor, and that at least some such information was used by YolTech in developing its technology, including YOLT-202 (which Serapha refers to as SERP-01). With respect to Serapha, the complaint alleges, among other things, that Serapha acquired and has used, and will continue to use, Beam’s alleged trade secrets through the YolTech License Agreement, including through the transfer of CMC information from YolTech to Serapha, knowing or having reason to know that Dr. Wang had obtained the alleged trade secrets in breach of her obligations to Beam, and that Serapha induced Dr. Wang to breach her employee non-solicitation, confidentiality and assignment agreement with Beam. </w:t>
      </w:r>
    </w:p>
    <w:p>
      <w:pPr>
        <w:pStyle w:val="TextBody"/>
        <w:bidi w:val="0"/>
        <w:spacing w:before="240" w:after="0"/>
        <w:jc w:val="left"/>
        <w:rPr>
          <w:rFonts w:ascii="Times New Roman" w:hAnsi="Times New Roman"/>
          <w:sz w:val="20"/>
        </w:rPr>
      </w:pPr>
      <w:r>
        <w:rPr>
          <w:rFonts w:ascii="Times New Roman" w:hAnsi="Times New Roman"/>
          <w:sz w:val="20"/>
        </w:rPr>
        <w:t xml:space="preserve">The complaint asserts claims against all defendants for misappropriation of trade secrets under the Defend Trade Secrets Act and the Massachusetts Uniform Trade Secrets Act, unjust enrichment, and unfair competition and unfair or deceptive acts or practices under Massachusetts General Laws Chapter 93A, Section 11; a claim against Dr. Wu, YolTech and Serapha for tortious interference with contractual relations; and a claim against Dr. Wang for breach of contract. Beam seeks, among other relief, a permanent injunction against the use of its alleged trade secrets and against developing, marketing or selling products derived from them, an accounting and constructive trust over rights and benefits obtained by the defendants through alleged misappropriation or other wrongful conduct, the assignment to Beam of related intellectual property (including the Chinese patent application referenced above and related patents and patent applications), compensatory damages or a royalty, exemplary damages of up to two times actual damages and treble damages under Chapter 93A, and attorneys’ fees and costs. Beam has demanded a jury trial on all issues so triable. As of the date of this proxy statement/prospectus, Beam has not sought a temporary restraining order or preliminary injunction, and Serapha has not yet responded to the complaint. </w:t>
      </w:r>
    </w:p>
    <w:p>
      <w:pPr>
        <w:pStyle w:val="TextBody"/>
        <w:bidi w:val="0"/>
        <w:spacing w:before="240" w:after="0"/>
        <w:jc w:val="left"/>
        <w:rPr>
          <w:rFonts w:ascii="Times New Roman" w:hAnsi="Times New Roman"/>
          <w:sz w:val="20"/>
        </w:rPr>
      </w:pPr>
      <w:r>
        <w:rPr>
          <w:rFonts w:ascii="Times New Roman" w:hAnsi="Times New Roman"/>
          <w:sz w:val="20"/>
        </w:rPr>
        <w:t>Serapha was incorporated in April 2026, more than four years after Beam acknowledges that Dr. Wang’s employment with Beam ended, and Serapha obtained its rights to SERP-01 from YolTech pursuant to the YolTech License Agreement in June 2026. The complaint does not assert any claim of patent infringement. Serapha believes that the claims asserted against it are without merit and intends to defend itself vigorously. However, the Beam Litigation is at an early stage, and Serapha cannot predict its outcome or reasonably estimate the amount or range of any potential loss. An adverse outcome in the Beam Litigation could have a material adverse effect on Serapha’s business, financial condition, results of operations and prospects, including its ability to develop and commercialize SERP-01. See the section titled “</w:t>
      </w:r>
      <w:r>
        <w:rPr>
          <w:rFonts w:ascii="Times New Roman" w:hAnsi="Times New Roman"/>
          <w:i/>
          <w:sz w:val="20"/>
        </w:rPr>
        <w:t>Risk Factors — Risks Related to Serapha</w:t>
      </w:r>
      <w:r>
        <w:rPr>
          <w:rFonts w:ascii="Times New Roman" w:hAnsi="Times New Roman"/>
          <w:sz w:val="20"/>
        </w:rPr>
        <w:t xml:space="preserve">” beginning on page 93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tx108148_27"/>
      <w:bookmarkEnd w:id="63"/>
      <w:r>
        <w:rPr>
          <w:rFonts w:ascii="Times New Roman" w:hAnsi="Times New Roman"/>
          <w:b/>
          <w:sz w:val="20"/>
        </w:rPr>
        <w:t xml:space="preserve">BOUNDLESS BIO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for purposes of this subsection only, all references to “Boundless Bio” refer to Boundless Bio, Inc. and its subsidiaries prior to the consummation of the Merger. You should read the following discussion and analysis of Boundless Bio’s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Boundless Bio’s current plans, estimates and beliefs. Boundless Bio’s actual results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w:t>
      </w:r>
    </w:p>
    <w:p>
      <w:pPr>
        <w:pStyle w:val="TextBody"/>
        <w:bidi w:val="0"/>
        <w:spacing w:before="240" w:after="0"/>
        <w:jc w:val="left"/>
        <w:rPr>
          <w:rFonts w:ascii="Times New Roman" w:hAnsi="Times New Roman"/>
          <w:sz w:val="20"/>
        </w:rPr>
      </w:pPr>
      <w:r>
        <w:rPr>
          <w:rFonts w:ascii="Times New Roman" w:hAnsi="Times New Roman"/>
          <w:sz w:val="20"/>
        </w:rPr>
        <w:t xml:space="preserve">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Boundless Bio’s proprietary Spyglass platform, Boundless Bio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(“CIN”) and ecDNA amplification biology to grow, adapt, and become resistant to existing therapies. Instead of directly targeting the proteins produced by amplified oncogenes, which is the approach of traditional targeted therapies, Boundless Bio’s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Boundless Bio’s ecDTx were designed to preferentially kill ecDNA-enabled cancer cells, but not healthy cells. They were engineered to disrupt the underlying cellular machinery that enables ecDNA or functional amplification.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lead ecDTx, BBI-940, is a novel, oral, selective degrader that targets a previously undrugged kinesin involved in DNA segregation, including ecDNA segregation during mitosis. In February 2026, Boundless Bio initiated the KOMODO-1 trial, a Phase 1, open-label, multicenter, first-in-human clinical trial of BBI-940 in patients with estrogen receptor positive and human epidermal growth factor receptor 2 negative, or ER+/HER2-, breast cancer who have progressed following treatment with a cyclin-dependent kinase 4/6 inhibitor (“CDK4/6 inhibitor”) plus endocrine therapy, as well as patients with triple-negative breast cancer luminal androgen receptor subtype (“TNBC-LAR”). In June 2026, Boundless Bio announced that based on preliminary exposure data obtained in the early dose escalation cohorts of the KOMODO-1 clinical trial, it believed that the observed pharmacokinetic exposure data, indicating that human oral bioavailability of BBI-940 was significantly lower than what had been predicted based on preclinical studies, did not support continued clinical development of BBI-940.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had been investigating BBI-355, a novel, oral, selective inhibitor of checkpoint kinase 1 designed to target replication stress in oncogene amplified cancers, and BBI-825, a novel, oral, selective inhibitor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ribonucleotide reductase, in the clinic in the POTENTIATE trial and the STARMAP trial. As previously reported, Boundless Bio made decisions to cease enrollment in each of these trials, and, accordingly, it also does not plan to invest further in the development of ECHO, which is an ecDNA diagnostic clinical trial assay used in the POTENTIATE trial. Boundless Bio has completed winding down both the STARMAP trial and the POTENTIATE trial. </w:t>
      </w:r>
    </w:p>
    <w:p>
      <w:pPr>
        <w:pStyle w:val="TextBody"/>
        <w:bidi w:val="0"/>
        <w:spacing w:before="240" w:after="0"/>
        <w:jc w:val="left"/>
        <w:rPr>
          <w:rFonts w:ascii="Times New Roman" w:hAnsi="Times New Roman"/>
          <w:sz w:val="20"/>
        </w:rPr>
      </w:pPr>
      <w:r>
        <w:rPr>
          <w:rFonts w:ascii="Times New Roman" w:hAnsi="Times New Roman"/>
          <w:sz w:val="20"/>
        </w:rPr>
        <w:t xml:space="preserve">Spyglass is Boundless Bio’s internal proprietary platform used to identify new targets. Boundless Bio utilized Spyglass to identify targets that exploit cellular vulnerabilities of oncogene amplified cancers. Its target identification efforts revealed multiple distinct nodes of vulnerability within the lifecycle of ecDNA. In addition to the program described above, Boundless Bio has preclinically validated multiple additional targets and has historically initiated ecDTx drug discovery efforts to identify potential candidates against such targets.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Since Boundless Bio commenced operations in 2018, it has devoted substantially all of its efforts and resources to organizing and staffing its company, business planning, raising capital, building its proprietary Spyglass platform, discovering its ecDTx, developing its diagnostic, establishing its intellectual property portfolio, conducting research, preclinical studies, and clinical trials, establishing arrangements with third parties for the manufacture of its ecDTx and related raw materials, and providing general and administrative support for these operations. During this time, Boundless Bio has incurred significant operating losses and, as of June 30, 2026, it had an accumulated deficit of $296.9 million. Boundless Bio expects to continue to incur losses for the foreseeable future, and, in general, it anticipates these losses will increase substantially in the future if it continues its development of, seeks regulatory approval for, and potentially commercializes its current or any future ecDTx, conducts any clinical trials and preclinical studies, utilizes third parties to manufacture its ecDTx and related raw materials, leverages Spyglass to potentially identify additional development opportunities for its ecDTx and expands its therapeutic pipeline, seeks to expand and protect its intellectual property, as well as incurs additional costs associated with being a public company. If it obtains regulatory approval for its ecDTx, Boundless Bio expects to incur significant commercialization expenses related to product sales, marketing, manufacturing, and distribution. Boundless Bio’s net losses may fluctuate significantly from quarter-to-quarter and year-to-year, depending on the timing of its clinical trials, preclinical studies, and its other research and development activities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Boundless Bio has raised a total of $353.9 million to fund its operations primarily from the gross proceeds from the sale and issuance of Boundless Bio Preferred Stock and Boundless Bio Common Stock. In April 2024, it completed its IPO, in which it sold and issued 6,250,000 shares of Boundless Bio Common Stock for gross proceeds of $100.0 million. In April 2025, it commenced an “at the market” offering as defined in Rule 415(a)(4) under the Securities Act, under which it may offer and sell shares of Boundless Bio Common Stock having an aggregate offering price of up to $14.5 million from time to time through or to its sales agent, as described further under “Liquidity and Capital Resources” below. As of June 30, 2026, Boundless Bio had cash, cash equivalents, and short-term investments of $72.6 million.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clinical data and other market considerations, Boundless Bio has made a series of portfolio prioritization decisions and taken steps to streamline operations in connection with those decisions. In January 2026, it focused its research and development activities on BBI-940. In April 2026, it further streamlined its operations by restructuring its facilities footprint, terminating its long-term lease (the “2024 Lease”) for approximately 80,168 rentable square feet of laboratory and office space in San Diego effective May 31, 2026, and entering into a new, shorter-term lease for approximately 10,822 rentable square feet at a nearby location commencing June 1, 2026. The 2024 Lease termination involved a cash payment of $10.0 million by Boundless Bio to the landlord, and the landlord’s retention of Boundless Bio’s security deposit of approximately $0.5 million.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have any products approved for sale and has not generated any revenue to date. It does not expect to generate any revenue from product sales unless it decides to continue to develop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successfully complete development and obtain regulatory approval for one or more of its ecDTx, which it expects would take several years and may never occur. If the Merger is not completed, Boundless Bio will need substantial additional funding to support its continuing operations and pursue any long-term business plan, including to complete the development and commercialization of any ecDTx, if approved. Accordingly, until such time as Boundless Bio can generate significant revenue from sales of its ecDTx, if ever, it expects to finance its cash needs through equity offerings, debt financings, or other capital sources, including potential collaborations, licenses, and other similar arrangements. However, it may be unable to raise additional funds or enter such other arrangements when needed on favorable terms or at all. Boundless Bio’s failure to raise capital or enter such other arrangements when needed would have a negative impact on its financial condition and could force it to delay, limit, reduce, or terminate its research and development programs or other operations, or grant rights to develop and market ecDTx that it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Boundless Bio does not own or operate, and currently has no plans to establish, any manufacturing facilities. If the Merger is not completed, Boundless Bio expects to continue to rely on third parties for the manufacture of its ecDTx, for preclinical and clinical testing, as well as for commercial manufacture if it develops any ecDTx and any of such ecDTx were to obtain marketing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Proposed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with Serapha and Merger Sub, pursuant to which, among other matters, and subject to the satisfaction or waiver of the conditions set forth in the Merger Agreement, Merger Sub will merge with and into Serapha, with Serapha continuing as a wholly owned subsidiary of Boundless Bio and the surviving corporation of the Merger. The Merger is intended to qualify for federal income tax purposes as (1) a tax-free reorganization under the provisions of Section 368(a) of the Code and/or (2) an exchange of shares of Serapha Capital Stock for Boundless Bio Common Stock under Section 351(a)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signing of the Merger Agreement, Boundless Bio announced a reduction in workforce of approximately 75%. Boundless Bio recognized a charge of approximately $2.8 million during the three and six months ended June 30, 2026 and estimated aggregate one-time charges of approximately $3.0 million to $5.0 million, with the remainder to be recognized in the second half of 2026. See Note 1 to Boundless Bio’s unaudited condensed financial statements appearing elsewhere in this proxy statement/prospectus for further information regarding the reduction in workforce.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close in the fourth quarter of 2026, subject to the satisfaction of certain closing conditions, along with the concurrent Serapha Pre-Closing Financing (as described below). Following completion of the Merger, the Combined Company plans to focus on advancing SERP-01, an investigational in vivo base editing therapy for AATD, and does not intend to continue development of any of Boundless Bio’s legacy ecDTx. Boundless Bio may continue to evaluate opportunities for its ecDTx, which may include a sale, license, transfer, disposition, divestiture or other monetization transaction to a third party or to a related party so long as the transaction would not result in material post-closing obligations to the Combined Company without Serapha’s consent. 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Serapha Series A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certain institutional and accredited investors (the “Series A Investors,” led by affiliates of RTW Investments and RA Capital Management) and Serapha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entered into the Series A Financing Agreement, pursuant to which such persons invested in and purchased an aggregate of 30,668,708 shares of Serapha Series A Preferred Stock at a purchase price of $4.4997 per share for aggregate gross proceeds to Serapha of approximately $138.0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Series A Investors also entered into the Securities Purchase Agreement with Serapha, pursuant to which such investors have agreed to purchase, immediately prior to the Merger, shares of Serapha Common Stock or, in lieu thereof, Serapha Pre-Funded Warrants, representing an aggregate commitment of approximately $92.0 million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Serapha Common Stock and Serapha Pre-Funded Warrants that are issued in the Serapha Pre-Closing Financing will be or will have the right to be, respectively, converted into shares of Boundless Bio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also contemplates Serapha and the investors participating in the Serapha Pre-Closing Financing entering into a registration rights agreement at the closing of the Serapha Pre-Closing Financing, pursuant to which, among other things, the Combined Company will agree to provide for the registration and resale of certain shares of Boundless Bio Common Stock that are held by the investors participating in the Serapha Pre-Closing Financing from time to time pursuant to Rule 415. </w:t>
      </w:r>
    </w:p>
    <w:p>
      <w:pPr>
        <w:pStyle w:val="TextBody"/>
        <w:bidi w:val="0"/>
        <w:spacing w:before="360" w:after="0"/>
        <w:jc w:val="left"/>
        <w:rPr>
          <w:rFonts w:ascii="Times New Roman" w:hAnsi="Times New Roman"/>
          <w:i/>
          <w:sz w:val="20"/>
        </w:rPr>
      </w:pPr>
      <w:r>
        <w:rPr>
          <w:rFonts w:ascii="Times New Roman" w:hAnsi="Times New Roman"/>
          <w:i/>
          <w:sz w:val="20"/>
        </w:rPr>
        <w:t xml:space="preserve">Boundless Bio Pre-Closing Dividend </w:t>
      </w:r>
    </w:p>
    <w:p>
      <w:pPr>
        <w:pStyle w:val="TextBody"/>
        <w:bidi w:val="0"/>
        <w:spacing w:before="120" w:after="0"/>
        <w:jc w:val="left"/>
        <w:rPr>
          <w:rFonts w:ascii="Times New Roman" w:hAnsi="Times New Roman"/>
          <w:sz w:val="20"/>
        </w:rPr>
      </w:pPr>
      <w:r>
        <w:rPr>
          <w:rFonts w:ascii="Times New Roman" w:hAnsi="Times New Roman"/>
          <w:sz w:val="20"/>
        </w:rPr>
        <w:t xml:space="preserve">Further, prior to the Closing, Boundless Bio expects to declare and set aside the aggregate cash amount to be paid in accordance with a special cash dividend (the “Boundless Bio Pre-Closing Dividend”) to holders of record of outstanding shares of Boundless Bio Common Stock as of a record date prior to the Effective Time, to be determined by the Boundless Bio Board of Directors. The ex-dividend date in respect of the Boundless Bio Pre-Closing Dividend will be determined by Nasdaq. Boundless Bio stockholders of record who continue to hold their eligible shares of Boundless Bio Common Stock until market open on the ex-dividend date will be entitled to payment of the Boundless Bio Pre-Closing Dividend. The amount of the Boundless Bio Pre-Closing Dividend is expected to be approximately $44 to $48 million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Known Trends, Events and Uncertainties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Macroeconomic, Political, and Regulatory Environment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United States and global macroeconomic, political, and regulatory environments present significant risks to Boundless Bio’s business. Boundless Bio’s operating costs, ability to raise additional capital, and stock price could be materially and adversely affected by macroeconomic and geopolitical events and conditions outside of its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related thereto, liquidity concerns at financial institutions, supply chain disruptions, military conflicts, and other geopolitical events and instability. Further, one or more of Boundless Bio’s current service providers or vendors, manufacturers, clinical investigative sites, financial institutions, and other partners may be adversely affected by the foregoing risks, which could directly affect its ability to attain its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In addition, FDA-regulated industries, such as Boundless Bio’s, face uncertainty with regard to the regulatory environment Boundless Bio will face if the Merger is not completed and it proceeds with research and development and possibly in the future commercialization. The FDA has recently experienced significant leadership changes, voluntary and involuntary staff departures, shifts in scientific and regulatory priorities,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political pressure to increase scrutiny of certain products. These and other factors increase uncertainties associated with interpreting the FDA’s guidance and predicting its areas of focus and responses to various issues. Changes and disruptions at the FDA, including due to federal government shutdowns, could impact the FDA’s ability to retain key personnel and hire additional personnel and may result in delays or limitations on Boundless Bio’s ability to obtain guidance from agency staff and slow review times for applications Boundless Bio may submit to obtain the requisite regulatory approvals in the future. Moreover, actions that the federal government recently has taken and may take in the future to freeze or reduce federal funding for medical research, has and could further decrease the ability of facilities that rely on such funding to conduct clinical trials or increase the costs to Boundless Bio of conducting clinical trials at those facilities. There remains general uncertainty regarding future activities. New executive orders, regulations, policies, or guidance could be issued or promulgated that adversely affect Boundless Bio or create a more challenging or costly environment to pursue the development and commercialization of its ecDTx, including in areas relating to regulatory framework and oversight, research and development funding, drug pricing reform, intellectual property rights, global trade policy, and tariffs. </w:t>
      </w:r>
    </w:p>
    <w:p>
      <w:pPr>
        <w:pStyle w:val="TextBody"/>
        <w:bidi w:val="0"/>
        <w:spacing w:before="240" w:after="0"/>
        <w:jc w:val="left"/>
        <w:rPr>
          <w:rFonts w:ascii="Times New Roman" w:hAnsi="Times New Roman"/>
          <w:sz w:val="20"/>
        </w:rPr>
      </w:pPr>
      <w:r>
        <w:rPr>
          <w:rFonts w:ascii="Times New Roman" w:hAnsi="Times New Roman"/>
          <w:sz w:val="20"/>
        </w:rPr>
        <w:t>Although, as of the date of this proxy statement/prospectus, Boundless Bio’s business has not been materially impacted, the ultimate impact of global economic and market conditions and changes in government agencies, regulations and policies remains highly uncertain and will depend on future developments and factors that continue to evolve. Boundless Bio will closely monitor these ongoing developments and the potential impact of these factors on its business, operating expenses, and cash position and, if circumstances warrant, it may make adjustments to Boundless Bio’s operating plan. For more information regarding these risks and uncertainties, see the section titled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Boundless Bio has not generated any revenue from the sale of products. Boundless Bio does not expect to generate any such revenue unless and until such time that its ecDTx have advanced through clinical development and regulatory approval, if ever. If Boundless Bio fails to complete preclinical and clinical development of its ecDTx or obtain regulatory approval for them, its ability to generate future revenues, and its results of operations and financial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operating expenses consist of research and development expenses and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research and development (“R&amp;D”) expenses have related primarily to building its Spyglass platform, its ecDTx discovery efforts, its preclinical and clinical development activities, and the development of a diagnostic test. R&amp;D expenses are recognized as incurred, and payments made prior to the receipt of goods or services to be used in R&amp;D are capitalized until the goods or services are received. Boundless Bio uses internal resources primarily to conduct its research and discovery activities, as well as for managing its preclinical development, process development, manufacturing, and clinical development activities. Boundless Bio tracks direct costs on a development program specific basis. Indirect costs are not included in program costs, as these costs are general in nature and benefit all of its discovery efforts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direct, or development program specific, R&amp;D costs consist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under agreements with its contract research organizations (“CROs”), investigative sites, and consultants to conduct its clinical trials and preclinical studies, as well as third party costs related to the development of a diagnostic test;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related to manufacturing its ecDTx for clinical trials and preclinical studies, including fees paid to third-party manufacturers.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Bio’s indirect R&amp;D costs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costs, including salaries, severance, bonuses, benefits, travel, and stock-based compensation expenses for employees engaged in R&amp;D functions,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outside services from third parties, including consultants,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lab and pharmacology supplies,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facilities-related costs, including rent and maintenance costs, and other costs including insurance, depreciation, supplies, and miscellaneous expenses,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costs, including costs related to travel, repairs and maintenance, service contracts, computer supplies, software, and publications and subscription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of Boundless Bio’s ecDTx is highly uncertain. There are numerous factors associated with the successful development of its ecDTx, including future trial design and various regulatory requirements, many of which cannot be determined with accuracy at this time based on its stage of development. In addition, future regulatory factors beyond its control may impact its clinical development programs. Product candidates in later stages of development generally have higher development costs than those in earlier stages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If Boundless Bio resumes development of any ecDTx, Boundless Bio’s future R&amp;D expenses may vary significantly based on a wide variety of factors such as: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scope, rate of progress, expense, and results of its clinical trials and preclinical activities;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doses that patients receive;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additional safety monitoring requested by regulatory agencies;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manufacturing its ecDTx;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its ecDTx;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decision not to advance the clinical development of an ecDTx;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necessity and cost of developing a diagnostic for its ecDTx;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laboratory supplies and equipment and pharmacology supplies for its preclinical activities and clinical trials;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changes in government regulation and regulatory guidance;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its ecDTx;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approvals from applicable regulatory authorities; and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it establishes collaboration, license, or other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development of its ecDTx could significantly change the costs and timing associated with any development of its ecDTx.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conducting the necessary preclinical and clinical research to obtain regulatory approval is costly and time-consuming. The actual probability of success for its ecDTx or any future ecDTx may be affected by a variety of factors. Boundless Bio may never succeed in achieving regulatory approval for its ecDTx. Preclinical and clinical development timelines, the probability of success, and total development costs can differ materially from expectations. If the Merger is not completed, Boundless Bio anticipates that it will continue to make determinations as to how much funding to direct to any ecDTx it may decide to develop on an ongoing basis in response to the results of ongoing and future preclinical studies and clinical trials, regulatory developments, and its ongoing assessment of its ecDTx’s commercial potential. Boundless Bio will need to raise substantial additional capital in the future if the Merger is not completed and it decides to develop any ecDTx. In addition, it cannot forecast whether its ecDTx may be subject to future collaborations, when such arrangements will be secured, if at all, and to what degree such arrangements would affect its development plans and capital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costs, including salaries, bonuses, benefits, travel, severance, and stock-based compensation for employees in executive, accounting and finance, business development, legal, and other administrative functions. Other significant costs include allocated facility-related expenses, legal fees relating to intellectual property and corporate matters, professional fees for accounting and consulting services, insurance costs, and business development expenses. Boundless Bio also incurs costs associated with maintaining compliance with securities exchange listing and SEC requirements, including audit, legal, regulatory, and tax-related services, as well as director and officer insurance premiums and investor relations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Boundless Bio decides to develop any ecDTx, it anticipates that its G&amp;A expenses will increase in the long-term if it is successful in developing its ecDTx and growing its business and, if its ecDTx receives marketing approval, when it commences commercialization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primarily of interest income earned on Boundless Bio’s cash, cash equivalents, and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6337" w:type="dxa"/>
        <w:jc w:val="left"/>
        <w:tblInd w:w="0" w:type="dxa"/>
        <w:tblLayout w:type="fixed"/>
        <w:tblCellMar>
          <w:top w:w="0" w:type="dxa"/>
          <w:left w:w="0" w:type="dxa"/>
          <w:bottom w:w="0" w:type="dxa"/>
          <w:right w:w="0" w:type="dxa"/>
        </w:tblCellMar>
      </w:tblPr>
      <w:tblGrid>
        <w:gridCol w:w="2750"/>
        <w:gridCol w:w="120"/>
        <w:gridCol w:w="149"/>
        <w:gridCol w:w="808"/>
        <w:gridCol w:w="165"/>
        <w:gridCol w:w="128"/>
        <w:gridCol w:w="149"/>
        <w:gridCol w:w="808"/>
        <w:gridCol w:w="155"/>
        <w:gridCol w:w="120"/>
        <w:gridCol w:w="147"/>
        <w:gridCol w:w="668"/>
        <w:gridCol w:w="17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13,973</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12,218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1,755</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10,411</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4,843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5,568</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24,384</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17,061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7,323</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(24,384</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(17,061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(7,323</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690</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(696</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1</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691</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(695</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(23,693</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(15,675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(8,018</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808" w:type="dxa"/>
            <w:tcBorders/>
            <w:vAlign w:val="center"/>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80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7561" w:type="dxa"/>
        <w:jc w:val="left"/>
        <w:tblInd w:w="0" w:type="dxa"/>
        <w:tblLayout w:type="fixed"/>
        <w:tblCellMar>
          <w:top w:w="0" w:type="dxa"/>
          <w:left w:w="0" w:type="dxa"/>
          <w:bottom w:w="0" w:type="dxa"/>
          <w:right w:w="0" w:type="dxa"/>
        </w:tblCellMar>
      </w:tblPr>
      <w:tblGrid>
        <w:gridCol w:w="4070"/>
        <w:gridCol w:w="120"/>
        <w:gridCol w:w="161"/>
        <w:gridCol w:w="784"/>
        <w:gridCol w:w="178"/>
        <w:gridCol w:w="138"/>
        <w:gridCol w:w="161"/>
        <w:gridCol w:w="784"/>
        <w:gridCol w:w="60"/>
        <w:gridCol w:w="120"/>
        <w:gridCol w:w="147"/>
        <w:gridCol w:w="668"/>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BBI-940</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4" w:type="dxa"/>
            <w:tcBorders/>
            <w:vAlign w:val="center"/>
          </w:tcPr>
          <w:p>
            <w:pPr>
              <w:pStyle w:val="TableContents"/>
              <w:bidi w:val="0"/>
              <w:spacing w:before="0" w:after="283"/>
              <w:jc w:val="right"/>
              <w:rPr/>
            </w:pPr>
            <w:r>
              <w:rPr/>
              <w:t>3,740</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784" w:type="dxa"/>
            <w:tcBorders/>
            <w:vAlign w:val="center"/>
          </w:tcPr>
          <w:p>
            <w:pPr>
              <w:pStyle w:val="TableContents"/>
              <w:bidi w:val="0"/>
              <w:spacing w:before="0" w:after="283"/>
              <w:jc w:val="right"/>
              <w:rPr/>
            </w:pPr>
            <w:r>
              <w:rPr/>
              <w:t>1,554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2,186</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(396</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2,808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(3,204</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(839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3,348</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5,229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(1,881</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3,421</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3,862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(441</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218</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(208</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67</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(125</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5,268</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3,186</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1,055</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1,055</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596</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169</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10,625</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6,989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3,636</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78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13,973</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12,218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1,755</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784" w:type="dxa"/>
            <w:tcBorders/>
            <w:vAlign w:val="center"/>
          </w:tcPr>
          <w:p>
            <w:pPr>
              <w:pStyle w:val="TableContents"/>
              <w:pBdr>
                <w:top w:val="double" w:sz="6" w:space="1" w:color="000000"/>
              </w:pBdr>
              <w:bidi w:val="0"/>
              <w:spacing w:before="0" w:after="0"/>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78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$14.0 million and $12.2 million for the three months ended June 30, 2026 and 2025, respectively. The $1.8 million increase was primarily attributable to (i) a $3.2 million increase in facilities-related costs due to the early termination of the 2024 Lease, and (ii) a $1.1 million increase related to the impairment of property and equipment as a result of its early termination of the 2024 Lease, partially offset by (iii) a $1.9 million decrease in direct program costs, (iv) a $0.4 million decrease in personnel-related costs, reflecting a decline in ongoing compensation costs resulting from the reduction in workforce, substantially offset by severance costs and stock-based compensation recognized in connection with the amendment of its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during the second quarter of 2026, and (v) a $0.2 million decrease in outside services and consulting costs. The increase in BBI-940 direct program costs for the three months ended June 30, 2026 compared with the same period in 2025 was primarily due to costs relating to the KOMODO-1 clinical trial initiated in early 2026, and the decreases in BBI-355 and BBI-825 direct program costs for the three months ended June 30, 2026 compared with the same period in 2025 were primarily due to Boundless Bio’s decisions to wind down the POTENTIATE and STARMAP clinical trials,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BBI-940 direct program costs are shown as a separate component of R&amp;D expenses in the table above for all periods presented. Such costs were included in “other development programs” in its annual financial statements for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$10.4 million and $4.8 million for the three months ended June 30, 2026 and 2025, respectively. The $5.6 million increase in G&amp;A expenses was primarily attributable to (i) a $1.7 million increase in personnel-related costs, primarily related to severance costs and stock-based compensation expense recognized in connection with the amendment of its stock options (see Notes 1 and 9 to Boundless Bio’s unaudited condensed financial statements appearing elsewhere in this proxy statement/prospectus), (ii) a $2.0 million increase in facilities-related costs due to the early termination of the 2024 Lease, (iii) a $1.4 million increase in professional fees, primarily related to legal fees incurred in connection with the Merger, and (iv) a $0.5 million increase in other G&amp;A costs.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$0.7 million and $1.4 million for the three months ended June 30, 2026 and 2025, respectively. The $0.7 million decrease resulted from a reduction in interest income generated by Boundless Bio’s available-for-sale investment securities portfolio due to a decrease in the amount of cash and cash equivalents available for investing purposes as well as a decline in the market yields available for such investment securities compared to the prior year period.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expects interest income to decrease prior to the Closing as it winds down its R&amp;D activities and incurs costs associated with the Merger, and as its investable asset base declines, including the anticipated Boundless Bio Pre-Closing Dividend described under “Boundless Bio Pre-Closing Dividend” above. Market yields on Boundless Bio’s investment portfolio may also fluctuate in response to changes in monetary policy and broader interest rate conditions, which could further affect interest income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6195" w:type="dxa"/>
        <w:jc w:val="left"/>
        <w:tblInd w:w="0" w:type="dxa"/>
        <w:tblLayout w:type="fixed"/>
        <w:tblCellMar>
          <w:top w:w="0" w:type="dxa"/>
          <w:left w:w="0" w:type="dxa"/>
          <w:bottom w:w="0" w:type="dxa"/>
          <w:right w:w="0" w:type="dxa"/>
        </w:tblCellMar>
      </w:tblPr>
      <w:tblGrid>
        <w:gridCol w:w="2750"/>
        <w:gridCol w:w="120"/>
        <w:gridCol w:w="140"/>
        <w:gridCol w:w="755"/>
        <w:gridCol w:w="155"/>
        <w:gridCol w:w="120"/>
        <w:gridCol w:w="140"/>
        <w:gridCol w:w="755"/>
        <w:gridCol w:w="155"/>
        <w:gridCol w:w="120"/>
        <w:gridCol w:w="147"/>
        <w:gridCol w:w="668"/>
        <w:gridCol w:w="17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23,707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24,355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(648</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5,105</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34,402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4,457</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(38,859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(4,457</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(1,361</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(1,358</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(31,433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(5,815</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4070"/>
        <w:gridCol w:w="120"/>
        <w:gridCol w:w="146"/>
        <w:gridCol w:w="713"/>
        <w:gridCol w:w="62"/>
        <w:gridCol w:w="125"/>
        <w:gridCol w:w="146"/>
        <w:gridCol w:w="713"/>
        <w:gridCol w:w="60"/>
        <w:gridCol w:w="120"/>
        <w:gridCol w:w="147"/>
        <w:gridCol w:w="668"/>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BBI-940</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3" w:type="dxa"/>
            <w:tcBorders/>
            <w:vAlign w:val="center"/>
          </w:tcPr>
          <w:p>
            <w:pPr>
              <w:pStyle w:val="TableContents"/>
              <w:bidi w:val="0"/>
              <w:spacing w:before="0" w:after="283"/>
              <w:jc w:val="right"/>
              <w:rPr/>
            </w:pPr>
            <w:r>
              <w:rPr/>
              <w:t>7,630</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3" w:type="dxa"/>
            <w:tcBorders/>
            <w:vAlign w:val="center"/>
          </w:tcPr>
          <w:p>
            <w:pPr>
              <w:pStyle w:val="TableContents"/>
              <w:bidi w:val="0"/>
              <w:spacing w:before="0" w:after="283"/>
              <w:jc w:val="right"/>
              <w:rPr/>
            </w:pPr>
            <w:r>
              <w:rPr/>
              <w:t>2,340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5,290</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504</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5,776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(5,272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(1,989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3</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(54</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8,137</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10,162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(2,025</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5,943</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7,871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(1,928</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276</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795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(519</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199</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(226</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7,139</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4,092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3,047</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1,055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1,055</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958</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15,570</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14,193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1,377</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23,707</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24,355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(648</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$23.7 million and $24.4 million for the six months ended June 30, 2026 and 2025, respectively. The $0.6 million decrease was primarily attributable to (i) a $2.0 million decrease in direct program costs, (ii) a $1.9 million decrease in personnel-related costs, reflecting a decline in ongoing compensation costs resulting from the reduction in workforce, partially offset by severance costs recognized during the second quarter of 2026, and (iii) a $0.8 million decrease in other R&amp;D costs, partially offset by (iv) a $3.0 million increase in facilities-related costs due to the early termination of the 2024 Lease, and (v) a $1.1 million increase related to the impairment of property and equipment as a result of its early termination of the 2024 Lease. The increase in BBI-940 direct program costs for the six months ended June 30, 2026 compared with the same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2025 was primarily due to costs relating to the KOMODO-1 clinical trial initiated in early 2026, and the decreases in BBI-355 and BBI-825 direct program costs for the six months ended June 30, 2026 compared with the same period in 2025 were primarily due to Boundless Bio’s decisions to wind down the POTENTIATE and STARMAP clinical trials,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BBI-940 direct program costs are shown as a separate component of R&amp;D expenses in the table above for all periods presented. Such costs were included in “other development programs” in Boundless Bio’s annual financial statements for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$15.2 million and $10.0 million for the six months ended June 30, 2026 and 2025, respectively. The $5.1 million increase in G&amp;A expenses was primarily attributable to (i) a $1.5 million increase in personnel-related costs, primarily related to severance costs and stock-based compensation expense recognized in connection with the amendment of its stock options (see Notes 1 and 9 to Boundless Bio’s unaudited condensed financial statements appearing elsewhere in this proxy statement/prospectus), (ii) a $2.4 million increase in facilities-related costs due to the early termination of the 2024 Lease, and (iii) a $1.2 million increase in professional fees.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$1.6 million and $3.0 million for the six months ended June 30, 2026 and 2025, respectively. The $1.4 million decrease resulted from a reduction in interest income generated by Boundless Bio’s available-for-sale investment securities portfolio due to a decrease in the amount of cash and cash equivalents available for investing purposes as well as a decline in the market yields available for such investment securities compared to the prior 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results of operations for each of the periods indicated (in thousands): </w:t>
      </w:r>
    </w:p>
    <w:p>
      <w:pPr>
        <w:pStyle w:val="TextBody"/>
        <w:bidi w:val="0"/>
        <w:spacing w:before="0" w:after="0"/>
        <w:jc w:val="left"/>
        <w:rPr/>
      </w:pPr>
      <w:r>
        <w:rPr/>
        <w:t> </w:t>
      </w:r>
    </w:p>
    <w:tbl>
      <w:tblPr>
        <w:tblW w:w="5825" w:type="dxa"/>
        <w:jc w:val="left"/>
        <w:tblInd w:w="0" w:type="dxa"/>
        <w:tblLayout w:type="fixed"/>
        <w:tblCellMar>
          <w:top w:w="0" w:type="dxa"/>
          <w:left w:w="0" w:type="dxa"/>
          <w:bottom w:w="0" w:type="dxa"/>
          <w:right w:w="0" w:type="dxa"/>
        </w:tblCellMar>
      </w:tblPr>
      <w:tblGrid>
        <w:gridCol w:w="2300"/>
        <w:gridCol w:w="120"/>
        <w:gridCol w:w="140"/>
        <w:gridCol w:w="755"/>
        <w:gridCol w:w="155"/>
        <w:gridCol w:w="120"/>
        <w:gridCol w:w="140"/>
        <w:gridCol w:w="755"/>
        <w:gridCol w:w="155"/>
        <w:gridCol w:w="120"/>
        <w:gridCol w:w="140"/>
        <w:gridCol w:w="755"/>
        <w:gridCol w:w="17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44,845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55,267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(10,422</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707</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73,267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(9,715</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(63,552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(73,267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9,715</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(2,549</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(65,363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7,166</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Boundless Bio’s R&amp;D expenses for each of the periods indicated (in thousands):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4070"/>
        <w:gridCol w:w="120"/>
        <w:gridCol w:w="140"/>
        <w:gridCol w:w="680"/>
        <w:gridCol w:w="60"/>
        <w:gridCol w:w="120"/>
        <w:gridCol w:w="140"/>
        <w:gridCol w:w="680"/>
        <w:gridCol w:w="60"/>
        <w:gridCol w:w="120"/>
        <w:gridCol w:w="140"/>
        <w:gridCol w:w="755"/>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 program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BBI-355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BBI-825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(8,757</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development programs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2,481</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direct program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(6,613</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Indirect program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(4,080</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services and consulting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(2,409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 and pharmacology supplies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(1,319</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Facilities-related (including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7,797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3,979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indirect program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indirect program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28,421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(3,809</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R&amp;D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55,267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(10,422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R&amp;D expenses were $44.8 million and $55.3 million for the years ended December 31, 2025 and 2024, respectively. The $10.4 million decrease was primarily attributable to (i) a $6.6 million decrease in direct program costs, driven by reduced spending on the STARMAP and POTENTIATE trials, partially offset by increased investment in other development programs, primarily BBI-940, (ii) a $4.1 million decrease in personnel-related costs, primarily due to workforce reductions implemented in 2024 and 2025, (iii) a $2.4 million decrease in outside services and consulting costs, and (iv) a $1.3 million decrease in laboratory and pharmacology supply costs due to lower material needs in certain development programs. These decreases were partially offset by a $4.0 million increase in facilities-related expenses, primarily due to the commencement of the lease related to its corporate headquarters in the fourth quarter of 2024, which resulted in a full-year impact on facilities-related costs in 2025 compared to a partial-year impact in 2024.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G&amp;A expenses were $18.7 million and $18.0 million for the years ended December 31, 2025 and 2024, respectively. The $0.7 million increase in G&amp;A expenses was primarily attributable to a $1.9 million increase in facilities-related costs, primarily due to the relocation of its corporate headquarters in the fourth quarter of 2024, partially offset by a $1.2 million decrease in personnel-related costs, primarily due to workforce reductions implemented in 2024 and 2025.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$5.4 million and $7.9 million for the years ended December 31, 2025 and 2024, respectively. The $2.5 million decrease resulted primarily from a reduction in interest income generated by Boundless Bio’s available-for-sale investment securities portfolio, due to both a decrease in the amount of cash equivalents available for investing purposes and a decline in the market yields available for such investment securities compared to the prior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Boundless Bio entered into the Merger Agreement pursuant to which, among other matters, Merger Sub will merge with and into Serapha, with Serapha surviving as a wholly owned subsidiary of Boundless Bio. The Closing is subject to approval by Boundless Bio stockholders and the stockholders of Serapha and other closing conditions. Boundless Bio’s future operations are highly dependent on the success of the proposed Merger with Serapha.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Boundless Bio has raised a total of $353.9 million to fund its operations primarily from the gross proceeds from the sale and issuance of shares of Boundless Bio Preferred Stock prior to its IPO and the sale and issuance of 6,250,000 shares of Boundless Bio Common Stock in its IPO, which closed in April 2024. Boundless Bio’s IPO generated gross proceeds of $100.0 million, which resulted in net proceeds to it of approximately $87.7 million, after deducting underwriting discounts and commissions and other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April 2025, Boundless Bio entered into an Open Market Sale AgreementSM (the “Sales Agreement”) with Jefferies LLC (the “Agent”), pursuant to which Boundless Bio may, from time to time, sell shares of Boundless Bio Common Stock in “at-the-market” offerings through or to the Agent, acting as sales agent or principal. See Note 1 to Boundless Bio’s unaudited condensed financial statements appearing elsewhere in this proxy statement/prospectus for further information. Boundless Bio is not obligated to sell any shares under the Sales Agreement, and the Agent is not obligated to buy or sell any shares of Boundless Bio Common Stock. Boundless Bio cannot provide any assurance that it will sell any shares under the Sales Agreement, or, if it does, as to the prices, amounts, or timing of any such sales. As of June 30, 2026, no shares had been sold under the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Boundless Bio had cash, cash equivalents, and short-term investments of $72.6 million. As of December 31, 2025, Boundless Bio had cash, cash equivalents, and short-term investments of $107.6 million. In April 2026, Boundless Bio terminated the 2024 Lease and entered into a new, shorter-term lease, the term of which commenced June 1, 2026. The lease termination involved a cash payment of $10.0 million by Boundless Bio to the landlord, and the landlord’s retention of Boundless Bio’s security deposit of approximately $0.5 million. See Note 7 to Boundless Bio’s unaudited condensed financial statements appearing elsewhere in this proxy statement/prospectus for further information regarding the lease termination and new lease. Based on Boundless Bio’s current operating plan, and without giving effect to the anticipated Boundless Bio Pre-Closing Dividend of approximately $44 to $48 million or the proposed Merger, Boundless Bio believes that its existing cash, cash equivalents, and short-term investments will be sufficient to fund its operations through the anticipated closing date of the Merger and for a period of at least 12 months from the date of issuance of the unaudited condensed financial statements of Boundless Bio appearing elsewhere in this proxy statement/prospectus. However, Boundless Bio’s operating plan may change, whether or not the Merger is completed. Boundless Bio has based this estimate on assumptions that may prove to be wrong, and it could deplete its capital resources sooner than it expects. Additionally, the process of conducting preclinical studies, manufacturing any ecDTx or other product candidates, and testing ecDTx or other product candidates in clinical trials is costly, and the timing of progress and expenses in these studies and trials is uncertain.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primary uses of capital were historically compensation and related expenses, research and development costs to support its ecDTx pipeline, legal and other regulatory expenses and general overhead costs. Now that Boundless Bio has suspended and is winding down its research and development activities in anticipation of the Merger with Serapha, its operations will be limited and it expects that Boundless Bio expenses other than those related to the Merger will decrease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future operations are highly dependent on the success of the proposed Merger with Serapha. If the Merger with Serapha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incurred significant operating losses since its inception and, as of June 30, 2026, it had an accumulated deficit of $296.9 million. Boundless Bio expects to continue to incur losses for the foreseeable future, and, in general, it anticipates these losses will increase substantially in the future if it decides to develop, seek regulatory approval for, and potentially commercialize any ecDTx, conduct clinical trials and preclinical studies, utilize third parties to manufacture any ecDTx and related raw materials, leverage Spyglass to potentially identify additional development opportunities for its ecDTx and expand its therapeutic pipeline, seek to expand and protect its intellectual property, as well as incur additional costs associated with being a public company. If Boundless Bio obtains regulatory approval for its ecDTx, it expects to incur significant commercialization expenses related to product sales, marketing, manufacturing, and distribution. Boundless Bio’s net losses may fluctuate significantly from quarter-to-quarter and year-to-year, depending on the timing of its clinical trials, preclinical studies, and its other research and development activities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future capital requirements are difficult to predict and depend on many factors, including but not limited to: </w:t>
      </w:r>
    </w:p>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Boundless Bio’s ability to complete the Merger or, if the Merger is not completed, identify and consummate another strategic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progress, expansions, results, costs, and timing of clinical trials and preclinical studies of any ecDTx that Boundless Bio may choose to pursue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any ecDTx, including commercial manufacture at sufficient scale, if its ecDTx is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obtaining raw materials for manufacturing sufficient quantities of its ecDTx or obtaining sufficient quantities of any combination agents or other materials needed for use in its clinical trials and preclinical studies;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developing diagnostics, if required, and the outcome of their regulatory review;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meetings and reviews of its ecDTx;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approval pathways;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that hinder its ability to perform routine activities or function in the normal course;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seeking to obtain, maintain, expand, enforce, defend, and protect its patents and other intellectual property and proprietary rights or, if necessary, challenging third-party patents and other intellectual property and proprietary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purchasing laboratory supplies and equipment and pharmacology supplies for its preclinical activities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costs not currently contemplated due to events that may occur as a result of, or that are associated with, streamlining its operations as discussed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needed, to support any clinical and preclinical development efforts;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any ecDTx is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its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collaborations, licenses, and other similar arrangements;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it may in-license or acquire;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competing technological and market developments as well as disruptions to and volatility in the credit and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Boundless Bio has no committed sources of capital. Until it can generate sufficient product revenue to finance its cash requirements, if ever, it expects to finance its future cash needs primarily through equity offerings (including through the Sales Agreement), debt financings, or other capital sources, including potential collaborations, licenses, and other similar arrangements. However, Boundless Bio may be unable to raise additional funds or enter such other arrangements when needed on favorable terms or at all. To the extent that it raises additional capital through the sale of equity or convertible debt securities, the ownership interest of its stockholders will be, or could be diluted, and the terms of these securities may include liquidation or other preferences that adversely affect the rights of its common stockholders. Debt financing, if available, may involve agreements that include covenants limiting or restricting its ability to take specific actions, such as incurring additional debt, making capital expenditures, or declaring dividends. If Boundless Bio raises additional funds through other collaborations or licensing arrangements with third parties, it may have to relinquish valuable rights to its future revenue streams, ecDTx, research programs, intellectual property, or proprietary technology, or grant licenses on terms that may not be favorable to it. Boundless Bio’s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Boundless Bio is unable to raise additional funds through equity or debt financings or other arrangements when needed, it may be required to delay, limit, reduce, or terminate any ecDTx development or other operations, or grant rights to develop and market ecDTx to third parties that it would otherwise prefer to develop and market itself, or on less favorable terms than it would otherwise choose.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Boundless Bio’s cash flows for each of the periods indicated (in thousands): </w:t>
      </w:r>
    </w:p>
    <w:p>
      <w:pPr>
        <w:pStyle w:val="TextBody"/>
        <w:bidi w:val="0"/>
        <w:spacing w:before="0" w:after="0"/>
        <w:jc w:val="left"/>
        <w:rPr/>
      </w:pPr>
      <w:r>
        <w:rPr/>
        <w:t> </w:t>
      </w:r>
    </w:p>
    <w:tbl>
      <w:tblPr>
        <w:tblW w:w="8975" w:type="dxa"/>
        <w:jc w:val="left"/>
        <w:tblInd w:w="0" w:type="dxa"/>
        <w:tblLayout w:type="fixed"/>
        <w:tblCellMar>
          <w:top w:w="0" w:type="dxa"/>
          <w:left w:w="0" w:type="dxa"/>
          <w:bottom w:w="0" w:type="dxa"/>
          <w:right w:w="0" w:type="dxa"/>
        </w:tblCellMar>
      </w:tblPr>
      <w:tblGrid>
        <w:gridCol w:w="5525"/>
        <w:gridCol w:w="120"/>
        <w:gridCol w:w="140"/>
        <w:gridCol w:w="755"/>
        <w:gridCol w:w="155"/>
        <w:gridCol w:w="120"/>
        <w:gridCol w:w="140"/>
        <w:gridCol w:w="755"/>
        <w:gridCol w:w="155"/>
        <w:gridCol w:w="120"/>
        <w:gridCol w:w="140"/>
        <w:gridCol w:w="680"/>
        <w:gridCol w:w="170"/>
      </w:tblGrid>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(26,359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(9,586</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37,657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14,352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23,305</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1,785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(11,890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13,675</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050" w:type="dxa"/>
        <w:jc w:val="left"/>
        <w:tblInd w:w="0" w:type="dxa"/>
        <w:tblLayout w:type="fixed"/>
        <w:tblCellMar>
          <w:top w:w="0" w:type="dxa"/>
          <w:left w:w="0" w:type="dxa"/>
          <w:bottom w:w="0" w:type="dxa"/>
          <w:right w:w="0" w:type="dxa"/>
        </w:tblCellMar>
      </w:tblPr>
      <w:tblGrid>
        <w:gridCol w:w="5525"/>
        <w:gridCol w:w="120"/>
        <w:gridCol w:w="140"/>
        <w:gridCol w:w="755"/>
        <w:gridCol w:w="155"/>
        <w:gridCol w:w="120"/>
        <w:gridCol w:w="140"/>
        <w:gridCol w:w="755"/>
        <w:gridCol w:w="155"/>
        <w:gridCol w:w="120"/>
        <w:gridCol w:w="140"/>
        <w:gridCol w:w="755"/>
        <w:gridCol w:w="170"/>
      </w:tblGrid>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(46,661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(60,841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14,180</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37,801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(26,101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63,902</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89,823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(89,682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(8,719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(11,600</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$35.9 million and $26.4 million for the six months ended June 30, 2026 and 2025, respectively. The net cash used in operating activities during the six months ended June 30, 2026 was primarily driven by Boundless Bio’s reported net loss of $37.2 million, net of noncash charges (including stock-based compensation expense, depreciation, impairment of property and equipment, and right-of-use asset amortization) totaling $14.3 million and a $13.0 million increase of Boundless Bio’s net operating assets. The net cash used in operating activities during the six months ended June 30, 2025 was primarily driven by Boundless Bio’s reported net loss of $31.4 million, net of noncash charges (including stock-based compensation expense, depreciation, and right-of-use asset amortization) totaling $4.3 million and a $0.8 million decrease of Boundless Bio’s net operating assets. The increase in cash used in operations during the six months ended June 30, 2026 in comparison to the six months ended June 30, 2025 was primarily attributable to the $10.0 million cash payment associated with the termination of the 2024 Lease, partially offset by a decrease in third-party spending associated with Boundless Bio’s discovery, development, and clinical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$46.7 million and $60.8 million for the years ended December 31, 2025 and 2024, respectively. The net cash used in operating activities during the year ended December 31, 2025 was primarily due to Boundless Bio’s reported net loss of $58.2 million, net of noncash charges (including stock-based compensation expense, depreciation, and right-of-use (“ROU”) asset amortization) totaling $8.1 million and a $3.5 million decrease of its net operating assets. The net cash used in operating activities during the year ended December 31, 2024 was primarily due to Boundless Bio’s reported net loss of $65.4 million, net of noncash charges (including stock-based compensation expense, depreciation, and ROU asset amortization) totaling $6.2 million and a $1.7 million increase of its net operating assets. The decrease in cash used in operations during the year ended December 31, 2025 in comparison to the year ended December 31, 2024 was primarily attributable to a decrease in third-party spending associated with its discovery, development, and clinical activities and a decrease in personnel-related costs, each resulting from a reduction in scope of its programs and its headcount following its portfolio prioritization.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Investing activities consist primarily of purchases and maturities of investment securities and purchases of property and equipment. Such activities resulted in a net cash inflow of approximately $37.7 million and $14.4 million during the six months ended June 30, 2026 and 2025, respectively, in each case, primarily from the net maturities of Boundless Bio’s available-for-sale securities portfolio. </w:t>
      </w:r>
    </w:p>
    <w:p>
      <w:pPr>
        <w:pStyle w:val="TextBody"/>
        <w:bidi w:val="0"/>
        <w:spacing w:before="240" w:after="0"/>
        <w:jc w:val="left"/>
        <w:rPr>
          <w:rFonts w:ascii="Times New Roman" w:hAnsi="Times New Roman"/>
          <w:sz w:val="20"/>
        </w:rPr>
      </w:pPr>
      <w:r>
        <w:rPr>
          <w:rFonts w:ascii="Times New Roman" w:hAnsi="Times New Roman"/>
          <w:sz w:val="20"/>
        </w:rPr>
        <w:t xml:space="preserve">Investing activities resulted in a net cash inflow of approximately $37.8 million during the year ended December 31, 2025, compared to a net cash outflow of approximately $26.1 million during the year ended December 31, 2024. The net inflow during 2025 was primarily driven by higher maturities of investment securities relative to purchases as Boundless Bio managed its available-for-sale securities portfolio to maintain liquidity. In contrast, the net outflow during 2024 was primarily attributable to greater purchases of investment securities as it invested proceeds from financing activities, primarily the issuance of shares of Boundless Bio Common Stock in its IPO. Purchases of property and equipment were $0.5 million in 2025, compared to $2.5 million in 2024, reflecting lower capital investment requirements following the company’s relocation to its new headquarters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Financing activities during the six months ended June 30, 2026 consisted of less than $0.1 million in proceeds from the sale of Boundless Bio Common Stock under the Boundless Bio ESPP and less than $0.1 million in proceeds from the exercise of stock options. Financing activities during the six months ended June 30, 2025 consisted of $0.1 million in proceeds from the sale of Boundless Bio Common Stock under the Boundless Bio ESPP.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$0.1 million during the year ended December 31, 2025, representing net proceeds from the sale of shares of Boundless Bio Common Stock under the Boundless Bio ESPP. Net cash provided by financing activities was $89.8 million during the year ended December 31, 2024, primarily due to the net proceeds from its IPO.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Boundless Bio terminated the 2024 Lease effective May 31, 2026. In connection with the termination, Boundless Bio paid the landlord $10.0 million, and the landlord retained Boundless Bio’s security deposit of approximately $0.5 million. As of June 30, 2026, Boundless Bio has no remaining obligations under the 2024 Lease. See Note 7 to Boundless Bio’s unaudited condensed financial statements appearing elsewhere in this proxy statement/prospectus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Boundless Bio entered into a new, shorter-term facility lease for approximately 10,822 square feet of laboratory and office space in La Jolla, California, with an initial term of 12 months commencing June 1, 2026. Monthly base rent payments are approximately $56,000, with two months of base rent abatement during the second and third full calendar months of the lease term. As of June 30, 2026, Boundless Bio’s remaining obligations under this lease were approximately $0.5 million.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enters into contracts in the normal course of Boundless Bio’s business with various third parties for clinical trial and preclinical research services, contract manufacturing services, and professional and other services and products related to Boundless Bio’s business. These contracts generally provide for termination after a notice period and are therefore cancellable contracts and not separately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Boundless Bio has not had, and it does not currently have, any off-balance sheet arrangements as defined under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Estimates and Judgments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management’s discussion and analysis of its financial condition and results of operations are based on its financial statements, which have been prepared in accordance with U.S. generally accepted accounting principles. The preparation of these financial statements requires it to make estimates, assumptions, and judgments that affect the reported amounts of assets, liabilities, and expenses and the disclosure of contingent assets and liabilities in its financial statements. On an ongoing basis, Boundless Bio evaluates its estimates, assumptions, and judgments, including those related to accrued R&amp;D expenses and stock-based compensation expense. It bases its estimates on historical experience, known trends and events, and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Boundless Bio’s significant accounting policies are described in more detail in Note 2 to its financial statements included elsewhere in this proxy statement/prospectus, it believes that the accounting policies described below are critical to understanding and evaluating its financial condition and results of operations because they involve a significant degree of estimation uncertainty and have had, or are reasonably likely to have, a material impact on Boundless Bio’s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Accrued R&amp;D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its financial statements, Boundless Bio is required to estimate its accrued R&amp;D expenses as of each balance sheet date. This process involves reviewing open contracts and purchase orders, communicating with its personnel to identify services that have been performed on its behalf, and estimating the level of service performed and the associated cost incurred for the service when it has not yet been invoiced or otherwise notified of the actual cost. Boundless Bio makes estimates of its accrued R&amp;D expenses as of each balance sheet date based on facts and circumstances known to it at that time. The significant estimates in Boundless Bio’s accrued R&amp;D expenses include the costs incurred for services performed by its vendors in connection with services for which it has not yet been invoiced.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bases its expenses related to R&amp;D activities on its estimates of the services received and efforts expended pursuant to quotes and contracts with vendors that conduct R&amp;D on its behalf. The financial terms of these agreements are subject to negotiation, vary from contract to contract, and may result in uneven payment flows. </w:t>
      </w:r>
    </w:p>
    <w:p>
      <w:pPr>
        <w:pStyle w:val="TextBody"/>
        <w:bidi w:val="0"/>
        <w:spacing w:before="240" w:after="0"/>
        <w:jc w:val="left"/>
        <w:rPr>
          <w:rFonts w:ascii="Times New Roman" w:hAnsi="Times New Roman"/>
          <w:sz w:val="20"/>
        </w:rPr>
      </w:pPr>
      <w:r>
        <w:rPr>
          <w:rFonts w:ascii="Times New Roman" w:hAnsi="Times New Roman"/>
          <w:sz w:val="20"/>
        </w:rPr>
        <w:t xml:space="preserve">There may be instances in which payments made to Boundless Bio’s vendors will exceed the level of services provided and result in a prepayment of the R&amp;D expense. In accruing service fees, Boundless Bio estimates the time period over which services will be performed and the level of effort to be expended in each period. If the actual timing of the performance of services or the level of effort varies from its estimate, it adjusts the accrual or prepaid expense accordingly. Advance payments for goods and services that will be used in future R&amp;D activities are expensed when the activity has been performed or when the goods have been received rather than when the payment is made. </w:t>
      </w:r>
    </w:p>
    <w:p>
      <w:pPr>
        <w:pStyle w:val="TextBody"/>
        <w:bidi w:val="0"/>
        <w:spacing w:before="240" w:after="0"/>
        <w:jc w:val="left"/>
        <w:rPr>
          <w:rFonts w:ascii="Times New Roman" w:hAnsi="Times New Roman"/>
          <w:sz w:val="20"/>
        </w:rPr>
      </w:pPr>
      <w:r>
        <w:rPr>
          <w:rFonts w:ascii="Times New Roman" w:hAnsi="Times New Roman"/>
          <w:sz w:val="20"/>
        </w:rPr>
        <w:t xml:space="preserve">Although Boundless Bio does not expect its estimates to be materially different from amounts actually incurred, if its estimates of the status and timing of services performed differ from the actual status and timing of services performed, it could result in Boundless Bio reporting amounts that are too high or too low in any particular period. To date, there have been no material differences between its estimates of such expenses and the amounts actually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grant date fair value of equity awards recognized over the requisite service period of the awards (usually the vesting period of the award) on a straight-line basis. Boundless Bio estimates the grant date fair value of stock-based awards, which for the years ended December 31, 2025 and 2024, consisted of stock option awards and, subsequent to completion of its IPO, rights to purchase shares under the Boundless Bio ESPP, using the Black-Scholes option pricing model and recognizes forfeitures as they occur. The Black-Scholes option pricing model requires the use of subjective assumptions, including the risk-free interest rate, the expected stock price volatility, the expected term of the award, the expected dividend yield, and, prior to the completion of Boundless Bio’s IPO, the estimated fair value of Boundless Bio Common Stock. Changes in these assumptions can materially affect the grant date fair value of Boundless Bio’s stock-based awards, and ultimately, how much stock-based compensation expense is recognized. These inputs are subjective and generally require significant judgment to develop. See Note 2 under “Stock-Based Compensation” and Note 10 to Boundless Bio’s financial statements included elsewhere in this proxy statement/prospectus for information concerning the subjectivity and judgment involved in developing these assumptions and certain of the specific inputs it used in applying the Black-Scholes option pricing model to determine the estimated fair value of stock options granted and rights to purchase Boundless Bio ESPP shares in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Prior to Boundless Bio’s IPO, since there was no public market for Boundless Bio Common Stock, it was required to estimate the fair value of the Boundless Bio Common Stock underlying Boundless Bio’s equity awards when performing fair value calculations. The fair value of the Boundless Bio Common Stock underlying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equity awards was determined on each grant date by the Boundless Bio Board of Directors, taking into account input from management and independent third-party valuation analyses. All Boundless Bio Options are intended to be granted with an exercise price per share no less than the fair value per share of Boundless Bio Common Stock underlying those options on the date of grant, based on the information known to it on the date of grant. In the absence of a public trading market for Boundless Bio Common Stock, on each grant date it developed an estimate of the fair value of Boundless Bio Common Stock in order to determine an exercise price for the option grants. Boundless Bio’s determinations of the fair value of Boundless Bio Common Stock were made using methodologies, approaches, and assumptions consistent with the American Institute of Certified Public Accountants Accounting and Valuation Guide: Valuation of Privately Held Company Equity Securities Issued as Compensation (the Practice Aid). </w:t>
      </w:r>
    </w:p>
    <w:p>
      <w:pPr>
        <w:pStyle w:val="TextBody"/>
        <w:bidi w:val="0"/>
        <w:spacing w:before="240" w:after="0"/>
        <w:jc w:val="left"/>
        <w:rPr>
          <w:rFonts w:ascii="Times New Roman" w:hAnsi="Times New Roman"/>
          <w:sz w:val="20"/>
        </w:rPr>
      </w:pPr>
      <w:r>
        <w:rPr>
          <w:rFonts w:ascii="Times New Roman" w:hAnsi="Times New Roman"/>
          <w:sz w:val="20"/>
        </w:rPr>
        <w:t xml:space="preserve">Following Boundless Bio’s IPO, the fair value of Boundless Bio Common Stock is based on the closing price per share on the Nasdaq Global Select Market on the date of grant. Boundless Bio will continue to use judgment in evaluating the interest rates, expected stock price volatility, expected terms of the stock-based awards, and expected dividend yield utilized for its stock-based compensation expense calculations on a prospective basis.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As an emerging growth company under the Jumpstart Our Business Startups Act of 2012 (the “JOBS Act”), Boundless Bio can take advantage of an extended transition period for complying with new or revised accounting standards. This period allows an emerging growth company to delay the adoption of certain accounting standards until those standards would otherwise apply to private companies. Boundless Bio has elected to avail itself of this exemption from new or revised accounting standards, and therefore its financial statements may not be comparable to companies that comply with new or revised accounting standards as of public company effective dates. Boundless Bio also intends to rely on other exemptions provided by the JOBS Act, including, without limitation, the exemption from the auditor attestation requirement of Section 404(b) of the Sarbanes-Oxley Act, for so long as it remains eligible.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will remain an emerging growth company until the earliest of (i) December 31, 2029, which is the last day of the fiscal year following the fifth anniversary of the consummation of its IPO; (ii) the last day of the fiscal year in which it has total annual gross revenue of at least $1.235 billion; (iii) the last day of the fiscal year in which it is deemed to be a “large accelerated filer” as defined in Rule 12b-2 under the Exchange Act, which would occur if the market value of Boundless Bio Common Stock held by non-affiliates exceeded $700.0 million as of the last business day of the second fiscal quarter of such year; or (iv) the date on which it has issued more than $1.0 billion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also a smaller reporting company as defined in Rule 12b-2 under the Exchange Act. It may continue to be a smaller reporting company even after it is no longer an emerging growth company. Boundless Bio may take advantage of certain of the scaled disclosures available to smaller reporting companies and will be able to take advantage of these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and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2 to Boundless Bio’s financial statements included elsewhere in this proxy statement/prospectus for recently adopted accounting pronouncements and recently issued accounting pronouncements not yet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4" w:name="tx108148_28"/>
      <w:bookmarkEnd w:id="64"/>
      <w:r>
        <w:rPr>
          <w:rFonts w:ascii="Times New Roman" w:hAnsi="Times New Roman"/>
          <w:b/>
          <w:sz w:val="20"/>
        </w:rPr>
        <w:t xml:space="preserve">QUANTITATIVE AND QUALITATIVE DISCLOSURES ABOUT THE MARKET RISK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a smaller reporting company as defined by Rule 12b-2 of the Exchange Act and Item 10(f)(1) of Regulation S-K and is not required to provide the information otherwise required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5" w:name="tx108148_29"/>
      <w:bookmarkEnd w:id="65"/>
      <w:r>
        <w:rPr>
          <w:rFonts w:ascii="Times New Roman" w:hAnsi="Times New Roman"/>
          <w:b/>
          <w:sz w:val="20"/>
        </w:rPr>
        <w:t xml:space="preserve">SERAPHA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Serapha’s financial condition and results of operations in conjunction with the financial statements and the related notes thereto and other financial information included elsewhere in this proxy statement/prospectus. This discussion contains forward-looking statements based upon Serapha’s current plans, estimates and beliefs related to future events and Serapha’s future financial performance that involve risks, uncertainties and assumptions. Serapha’s actual results and the timing of events could differ materially from those discussed in these forward-looking statements as a result of various factors. Factors that could cause or contribute to these differences include, but are not limited to,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Serapha is a clinical-stage genetic medicines company committed to transforming the treatment of alpha-1 antitrypsin (“AAT”) deficiency (“AATD”), the leading genetic cause of serious, progressive lung and liver disease. Serapha’s only product candidate, SERP-01, is a proprietary base editing therapy designed as a single intravenous administration to correct the underlying genetic cause of AATD with the PiZZ genotype (“PiZZ AATD”), the most severe genetic mutation responsible for &gt;90% of AATD cases, with the goal of restoring production of functional AAT and reducing accumulation of toxic mutant AAT in the liver. SERP-01 is currently being evaluated in an ongoing investigator-initiated trial (“IIT”) conducted at Renji Hospital in Shanghai, China, in collaboration with Hannover Medical School in Hanover, Germany. In March 2026, the U.S. Food and Drug Administration (the “FDA”) cleared an investigational new drug application (“IND”) submitted by Shanghai Yaotang Biotechnology Co., Ltd. (also known as YolTech Therapeutics Co., Ltd.) (“YolTech”) for SERP-01, permitting the initiation of a Phase 2/3 clinical trial of SERP-01 in the United States. In June 2026 Serapha entered into an exclusive sub-licensable, royalty-bearing license agreement with YolTech (the “YolTech License Agreement”), pursuant to which Serapha obtained exclusive rights to develop, manufacture and commercialize SERP-01 outside of Greater China. In connection with the YolTech License Agreement, YolTech transferred sponsorship of the IND to Serapha, and Serapha is the current sponsor of the IND. </w:t>
      </w:r>
    </w:p>
    <w:p>
      <w:pPr>
        <w:pStyle w:val="TextBody"/>
        <w:bidi w:val="0"/>
        <w:spacing w:before="240" w:after="0"/>
        <w:jc w:val="left"/>
        <w:rPr>
          <w:rFonts w:ascii="Times New Roman" w:hAnsi="Times New Roman"/>
          <w:sz w:val="20"/>
        </w:rPr>
      </w:pPr>
      <w:r>
        <w:rPr>
          <w:rFonts w:ascii="Times New Roman" w:hAnsi="Times New Roman"/>
          <w:sz w:val="20"/>
        </w:rPr>
        <w:t xml:space="preserve">From its inception in April 2026 until it in-licensed the rights to develop SERP-01 outside of Greater China from YolTech, Serapha devoted substantially all of its resources to raising capital, organizing and staffing Serapha, business and scientific planning, establishing arrangements with third parties, and providing general and administrative support for these operations. Since June 2026, Serapha has continued its focus on these activities and has assumed sponsorship from YolTech of the IND for a U.S. Phase 2/3 clinical trial of SERP-01 and initiated the technology transfer of YolTech’s manufacturing process for SERP-01 to third-party manufacturing facilities. As of October 1, 2026, Serapha had seven full-time employees, and does not intend to use any of the workforce of YolTech going forward. The Combined Company may retain certain employees of Boundless Bio to support its operations as a public company. Serapha does not have any products approved for sale and has not generated any revenue from product sales. To date, Serapha has funded its operations primarily with proceeds from the issuance of Serapha preferred stock, par value $0.00001 per share (the “Serapha Preferred Stock”), from which Serapha received gross proceeds of approximately $138.0 million in June 2026. </w:t>
      </w:r>
    </w:p>
    <w:p>
      <w:pPr>
        <w:pStyle w:val="TextBody"/>
        <w:bidi w:val="0"/>
        <w:spacing w:before="240" w:after="0"/>
        <w:jc w:val="left"/>
        <w:rPr>
          <w:rFonts w:ascii="Times New Roman" w:hAnsi="Times New Roman"/>
          <w:sz w:val="20"/>
        </w:rPr>
      </w:pPr>
      <w:r>
        <w:rPr>
          <w:rFonts w:ascii="Times New Roman" w:hAnsi="Times New Roman"/>
          <w:sz w:val="20"/>
        </w:rPr>
        <w:t xml:space="preserve">Serapha has incurred operating losses since inception. Serapha’s ability to generate product revenue sufficient to achieve profitability will depend heavily on the successful development and eventual commercialization of SERP-01 and any future product candidates Serapha may develop. Serapha generated a net loss of $170.1 million for the period from April 2, 2026 (inception) through June 30, 2026. As of June 30, 2026, Serapha had an accumulated deficit of $170.1 million. Serapha expects to continue to incur significantly increased expenses for the foreseeable future if and as Serapha: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the clinical development of SERP-01 in the United States and territories outside of Greater China and initiates and advances preclinical studies and clinical trials of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product candidates and initiates discovery-related activities and preclinical studies for those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INDs or comparable foreign applications that allow commencement of its planned clinical trials or future clinical trials;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in and successfully completes clinical trials;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its product candidates, including with respect to its regulatory strategies;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sustainable, scalable, reproducible and transferable clinical and commercial-scale current good manufacturing practices (“cGMP”) capabilities through third parties for Serapha’s current and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Serapha successfully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product candidates for which Serapha may obtain regulatory approval;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Serapha receives regulatory approval,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future clinical trials that support the safety, tolerability and efficacy profile of any product candidates Serapha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portfolio and other intellectual property protection or regulatory exclusivity for any products Serapha may develop and defends any intellectual property-related claims;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Serapha’s current collaboration with YolTech and establishes and maintains any future collaborations, including making royalty, milestone or other payments thereunder;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costs of operating as a public company, including increased costs of audit, legal, regulatory and tax-related services associated with maintaining compliance with an exchange listing and SEC requirements, director and officer insurance premiums and investor and public relations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Serapha’s current and any future product candidates could mean a significant change in the costs and timing associated with the development of such product candidates. For example, if the FDA or another comparable regulatory authority were to require Serapha to conduct clinical trials beyond those that Serapha currently anticipates, or if Serapha experiences significant delays in its future preclinical studies or clinical trials, Serapha would be required to expend significant additional financial resources and time to advance and complete clinical development. Serapha may never obtain regulatory approval for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Serapha will not generate revenue from product sales unless and until Serapha successfully initiates and completes clinical development and obtains regulatory approval for any product candidates. If Serapha obtains regulatory approval for any of its product candidates and does not enter into a commercialization partnership, Serapha expects to incur significant expenses related to developing its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the foregoing, Serapha expects to need substantial additional funding to support its continued operations and growth strategy. Until such a time as Serapha can generate significant revenue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sales, if ever, Serapha expects to finance its operations through the sale of equity, debt financings or other capital sources, including collaborations with other companies or other strategic transactions. Serapha may be unable to raise additional funds or enter into such other agreements on favorable terms, or at all. If Serapha fails to raise capital or enter into such agreements as, and when, needed, Serapha may have to significantly delay, scale back or discontinue the development and commercialization of one or more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associated with product development, Serapha is unable to accurately predict the timing or amount of increased expenses or when or if Serapha will be able to achieve or maintain profitability. Even if Serapha is able to generate product sales, Serapha may not become profitable. If Serapha fails to become profitable or is unable to sustain profitability on a continuing basis, then Serapha may be unable to continue its operations at planned levels and be forced to reduce or terminate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Serapha had cash of $138.0 million ($53.0 million after the $85.0 million payment to YolTech for the upfront YolTech License Agreement fee).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entered into the Merger Agreement on June 22, 2026, as amended by Amendment No. 1 to Agreement and Plan of Merger and Reorganization on August 28, 2026, pursuant to which, among other matters, Merger Sub will merge with and into Serapha, with Serapha surviving as a wholly owned subsidiary of Boundless Bio and the surviving corporation of the Merger. In connection with the Merger, Boundless Bio will change its name to “Serapha Bio, Inc.” Boundless Bio following the Merger is referred to herein as the “Combined Company.” The Combined Company will be led by Serapha’s management team and will focus on developing a novel </w:t>
      </w:r>
      <w:r>
        <w:rPr>
          <w:rFonts w:ascii="Times New Roman" w:hAnsi="Times New Roman"/>
          <w:i/>
          <w:sz w:val="20"/>
        </w:rPr>
        <w:t>in vivo</w:t>
      </w:r>
      <w:r>
        <w:rPr>
          <w:rFonts w:ascii="Times New Roman" w:hAnsi="Times New Roman"/>
          <w:sz w:val="20"/>
        </w:rPr>
        <w:t xml:space="preserve"> base editing therapy for the treatment of severe AATD.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Serapha entered into a Series A stock purchase agreement with certain institutional and accredited investors pursuant to which such persons invested in and purchased (the “Series A Financing”) an aggregate of 30,668,708 shares of Serapha Preferred Stock at a purchase price of $4.4997 per share for aggregate gross proceeds to Serapha of approximately $138.0 million.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Serapha also entered into a Securities Purchase Agreement with certain investors pursuant to which Serapha agreed to issue and sell to investors in the Serapha Pre-Closing Financing shares of Serapha Common Stock and pre-funded warrants to purchase shares of Serapha Common Stock (each, a “Serapha Pre-Funded Warrant”) at an estimated purchase price of $4.4997 per share and $4.49969 per pre-funded warrant for an aggregate purchase price of approximately $92.0 million, which is expected to close immediately prior to the Closing. At the Effective Time, (i) each then-outstanding share of Serapha Common Stock and Serapha Preferred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equal to the Exchange Ratio, (ii)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(iii) each then-outstanding restricted stock unit award covering shares of Serapha Common Stock (a “Serapha RSU”) will be converted into and become a restricted stock unit award covering shares of Boundless Bio Common Stock (an “Assumed RSU”) on the existing terms and conditions (including with respect to vesting and accelerated vesting), subject to adjustment as set forth in the Merger Agreement, and (iv) each then-outstanding warrant to purchase shares of Serapha Common Stock (each, a “Serapha Warrant”), including each then-outstanding Serapha Pre-Funded Warrant to purchase shares of Serapha Common Stock, will be converted into a warrant to purchase shares of Boundless Bio Common Stock on the existing terms and conditions (each an “Assumed Warrant”), subject to adjustment as set forth in the Merger Agreement and the form of warrant. The proceeds from the Serapha Pre-Closing Financing are expected to advance the Combined Company’s pipeline and will be used for research and development, business development, working capital, and other general corporate purposes. If the aggregate number of shares of Boundless Bio Common Stock that would otherwise be issued to a holder of Serapha Capital Stock at the Effective Time would exceed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Serapha’s existing cash balance, excluding the Serapha Pre-Closing Financing, will not be sufficient to sustain planned operations through at least twelve months from the date of this proxy statement/prospectus. However, Serapha estimates that the net proceeds from the Serapha Pre-Closing Financing, together with its existing cash as of the date of this proxy statement/prospectus will be sufficient to enable Serapha to fund its operating expenses and capital expenditure requirements into     . Serapha has based this estimate on assumptions that may prove to be wrong. Serapha’s operating plan may change as a result of many factors currently unknown to Serapha and Serapha could exhaust its available capital resources sooner than Serapha expects. See the sections titled “— </w:t>
      </w:r>
      <w:r>
        <w:rPr>
          <w:rFonts w:ascii="Times New Roman" w:hAnsi="Times New Roman"/>
          <w:i/>
          <w:sz w:val="20"/>
        </w:rPr>
        <w:t>Liquidity and Capital Resources</w:t>
      </w:r>
      <w:r>
        <w:rPr>
          <w:rFonts w:ascii="Times New Roman" w:hAnsi="Times New Roman"/>
          <w:sz w:val="20"/>
        </w:rPr>
        <w:t>” and “</w:t>
      </w:r>
      <w:r>
        <w:rPr>
          <w:rFonts w:ascii="Times New Roman" w:hAnsi="Times New Roman"/>
          <w:i/>
          <w:sz w:val="20"/>
        </w:rPr>
        <w:t>Risk Factors — Risks Related to Serapha — Risks Related to Serapha’s Limited Operating History, Financial Position and Capital Requirements</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Beam Litigation </w:t>
      </w:r>
    </w:p>
    <w:p>
      <w:pPr>
        <w:pStyle w:val="TextBody"/>
        <w:bidi w:val="0"/>
        <w:spacing w:before="120" w:after="0"/>
        <w:jc w:val="left"/>
        <w:rPr>
          <w:rFonts w:ascii="Times New Roman" w:hAnsi="Times New Roman"/>
          <w:sz w:val="20"/>
        </w:rPr>
      </w:pPr>
      <w:r>
        <w:rPr>
          <w:rFonts w:ascii="Times New Roman" w:hAnsi="Times New Roman"/>
          <w:sz w:val="20"/>
        </w:rPr>
        <w:t>Serapha expects to incur significant legal fees and other costs in connection with its defense of the Beam Litigation, which may increase its general and administrative expenses and which may not be fully covered by insurance or recoverable from YolTech under the YolTech License Agreement. Serapha is unable at this time to predict the outcome of the Beam Litigation or reasonably estimate the amount or range of any potential loss and, accordingly, has not recorded any accrual related to this matter. For more information, see the sections titled “</w:t>
      </w:r>
      <w:r>
        <w:rPr>
          <w:rFonts w:ascii="Times New Roman" w:hAnsi="Times New Roman"/>
          <w:i/>
          <w:sz w:val="20"/>
        </w:rPr>
        <w:t>Serapha’s Business — Legal Proceedings</w:t>
      </w:r>
      <w:r>
        <w:rPr>
          <w:rFonts w:ascii="Times New Roman" w:hAnsi="Times New Roman"/>
          <w:sz w:val="20"/>
        </w:rPr>
        <w:t>” and “</w:t>
      </w:r>
      <w:r>
        <w:rPr>
          <w:rFonts w:ascii="Times New Roman" w:hAnsi="Times New Roman"/>
          <w:i/>
          <w:sz w:val="20"/>
        </w:rPr>
        <w:t>Risk Factors — Risks Related to Serapha</w:t>
      </w:r>
      <w:r>
        <w:rPr>
          <w:rFonts w:ascii="Times New Roman" w:hAnsi="Times New Roman"/>
          <w:sz w:val="20"/>
        </w:rPr>
        <w:t xml:space="preserve">” beginning on pages 308 and 93,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Serapha’s Operations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Serapha’s business. Serapha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bank failures, geopolitical factors, including the ongoing conflicts between Russia and Ukraine and in the Middle East and the responses thereto and rising tensions with China, and supply chain disruptions. While Serapha is closely monitoring the impact of the current macroeconomic and geopolitical conditions on all aspects of its business, including the impacts on Serapha’s access to capital, ability to manufacture drug product, ability to conduct clinical trials, and its clinical trial participants, employees, suppliers, vendors and business partners, the ultimate extent of the impact on Serapha’s business remains highly uncertain and will depend on future developments and factors that continue to evolve. Most of these developments and factors are outside Serapha’s control and could exist for an extended period of time. Serapha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 to Serapha</w:t>
      </w:r>
      <w:r>
        <w:rPr>
          <w:rFonts w:ascii="Times New Roman" w:hAnsi="Times New Roman"/>
          <w:sz w:val="20"/>
        </w:rPr>
        <w:t> — </w:t>
      </w:r>
      <w:r>
        <w:rPr>
          <w:rFonts w:ascii="Times New Roman" w:hAnsi="Times New Roman"/>
          <w:i/>
          <w:sz w:val="20"/>
        </w:rPr>
        <w:t>Risks Related to Serapha’s Business and Operations</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Serapha has not generated revenue from any sources, including product sales, and does not expect to generate any revenue from the sale of products in the foreseeable future. If Serapha’s development efforts for its product candidates are successful and result in regulatory approval, Serapha may generate revenue in the future from product sales or payments from future collaboration or license agreements that Serapha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with third parties, or any combination thereof. Serapha cannot predict if, when, or to what extent Serapha will generate revenue from the commercialization and sale of its product candidates. Serapha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Serapha’s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an acquired in-process research and development charge related to the consideration paid to YolTech for the license of SERP-01 and the ongoing development of Serapha’s product candidate.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acquired in-process research and development charge related to the cash paid to YolTech of $85.0 million and the fair value of the YolTech Warrant (as defined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clinical development of SERP-01 and discovery-phase and clinical development of any future product candidates Serapha may identify, including under future agreements with third parties, such as consultants and contractors;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120" w:after="0"/>
        <w:jc w:val="left"/>
        <w:rPr>
          <w:rFonts w:ascii="Times New Roman" w:hAnsi="Times New Roman"/>
          <w:sz w:val="20"/>
        </w:rPr>
      </w:pPr>
      <w:r>
        <w:rPr>
          <w:rFonts w:ascii="Times New Roman" w:hAnsi="Times New Roman"/>
          <w:sz w:val="20"/>
        </w:rPr>
        <w:t>Serapha expenses research and development costs as incurred. For the period from April 2, 2026 (inception) to June 30, 2026, Serapha recognized the $85.0 million upfront payment to YolTech for entry into the YolTech License Agreement, together with the $79.4 million fair value of the YolTech Warrant and $0.2 million in costs to complete the YolTech License Agreement, as acquired in-process research and development expense, rather than as research and development expense, in Serapha’s statement of operations. See the sections titled “</w:t>
      </w:r>
      <w:r>
        <w:rPr>
          <w:rFonts w:ascii="Times New Roman" w:hAnsi="Times New Roman"/>
          <w:i/>
          <w:sz w:val="20"/>
        </w:rPr>
        <w:t>Contractual Obligations and Other Commitments</w:t>
      </w:r>
      <w:r>
        <w:rPr>
          <w:rFonts w:ascii="Times New Roman" w:hAnsi="Times New Roman"/>
          <w:sz w:val="20"/>
        </w:rPr>
        <w:t xml:space="preserve">” and “Acquired In-Process Research and Development” below for further details on the YolTech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recruiting costs, and equity-based compensation, as well as expenses, related to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that its general and administrative expenses will increase substantially for the foreseeable future as Serapha increases its headcount and establishes office space to support the expected growth. Serapha also expects to incur increased expenses associated with the Merger, the Serapha Pre-Closing Financing and becoming a public company, including increased costs of accounting, audit, legal, regulatory and tax-related services associated with maintaining compliance with SEC requirements, additional director and officer insurance costs, investor and public relations costs, and legal fees and other costs associated with the defense of the Beam Litigation. Serapha also expects to incur additional intellectual property-related expenses as Serapha files patent applications to protect innovations arising from its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Serapha has recorded a full valuation allowance against its net deferred tax assets at the balance sheet date, as Serapha believes it is more likely than not that the benefit will be realized due to its cumulative losses generated to date and expectation of future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for the Period from April 2, 2026 (Inception) to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statement of operations for the period presented (in thousands): </w:t>
      </w:r>
    </w:p>
    <w:p>
      <w:pPr>
        <w:pStyle w:val="TextBody"/>
        <w:bidi w:val="0"/>
        <w:spacing w:before="0" w:after="0"/>
        <w:jc w:val="left"/>
        <w:rPr/>
      </w:pPr>
      <w:r>
        <w:rPr/>
        <w:t> </w:t>
      </w:r>
    </w:p>
    <w:tbl>
      <w:tblPr>
        <w:tblW w:w="5520" w:type="dxa"/>
        <w:jc w:val="left"/>
        <w:tblInd w:w="0" w:type="dxa"/>
        <w:tblLayout w:type="fixed"/>
        <w:tblCellMar>
          <w:top w:w="0" w:type="dxa"/>
          <w:left w:w="0" w:type="dxa"/>
          <w:bottom w:w="0" w:type="dxa"/>
          <w:right w:w="0" w:type="dxa"/>
        </w:tblCellMar>
      </w:tblPr>
      <w:tblGrid>
        <w:gridCol w:w="3815"/>
        <w:gridCol w:w="120"/>
        <w:gridCol w:w="195"/>
        <w:gridCol w:w="1220"/>
        <w:gridCol w:w="170"/>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April 2, 2026</w:t>
              <w:br/>
              <w:t>(inception)</w:t>
              <w:br/>
              <w:t>through</w:t>
              <w:br/>
              <w:t>June 30, 2026</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267</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164,617</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5,262</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170,146</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(170,146</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research and development expenses incurred for the period presented (in thousands):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4445"/>
        <w:gridCol w:w="120"/>
        <w:gridCol w:w="380"/>
        <w:gridCol w:w="1035"/>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April 2, 2026</w:t>
              <w:br/>
              <w:t>(inception)</w:t>
              <w:br/>
              <w:t>through</w:t>
              <w:br/>
              <w:t>June 30, 2026</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for SERP-01:</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jc w:val="left"/>
              <w:rPr/>
            </w:pPr>
            <w:r>
              <w:rPr/>
              <w:t> </w:t>
            </w:r>
          </w:p>
        </w:tc>
        <w:tc>
          <w:tcPr>
            <w:tcW w:w="1035"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Consultants and other expenses</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267</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103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103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$0.3 million for the period from April 2, 2026 (inception) to June 30, 2026, consisting of research and development expense due to third-party CROs for SERP-01.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$164.6 million of acquired in-process research and development expense was incurred in connection with the upfront payment of $85.0 million to YolTech for entry into the YolTech License Agreement, the fair value of $79.4 million for the YolTech Warrant and $0.2 million in costs to complete the YolTech License Agreement. Such expense was recognized as acquired in-process research and development since further development and regulatory approval of the licensed product candidate are necessary and since there is no alternative future use from which Serapha can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Anticipated SERP-01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Serapha expects its research and development expenses to increase in the second half of 2026 relative to prior periods as it advances the SERP-01 program. Following the FDA’s clearance of the IND for SERP-01 in March 2026, Serapha intends to initiate a Phase 2/3 clinical trial of SERP-01 in patients with PiZZ AATD in the United States in late 2026 or early 2027 and Serapha expects to incur increased clinical, manufacturing, and personnel costs in connection with the conduct of that clinical trial and related development activities through the end of 2026. Serapha currently expects its research and development expenses for the period from April 2, 2026 (inception) to December 31, 2026 to be approximately $6 million to $12 million. </w:t>
      </w:r>
    </w:p>
    <w:p>
      <w:pPr>
        <w:pStyle w:val="TextBody"/>
        <w:bidi w:val="0"/>
        <w:spacing w:before="240" w:after="0"/>
        <w:jc w:val="left"/>
        <w:rPr>
          <w:rFonts w:ascii="Times New Roman" w:hAnsi="Times New Roman"/>
          <w:sz w:val="20"/>
        </w:rPr>
      </w:pPr>
      <w:r>
        <w:rPr>
          <w:rFonts w:ascii="Times New Roman" w:hAnsi="Times New Roman"/>
          <w:sz w:val="20"/>
        </w:rPr>
        <w:t xml:space="preserve">Serapha’s actual research and development expenses for the period from April 2, 2026 (inception) to December 31, 2026 may differ materially from its current expectations depending on, among other factors, the pace of patient enrollment, the timing and scope of manufacturing and technology-transfer activities, the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ongoing and planned clinical and preclinical studies, and other factors, many of which are outside of Serapha’s control. See “</w:t>
      </w:r>
      <w:r>
        <w:rPr>
          <w:rFonts w:ascii="Times New Roman" w:hAnsi="Times New Roman"/>
          <w:i/>
          <w:sz w:val="20"/>
        </w:rPr>
        <w:t>Cautionary Note Regarding Forward-Looking Statements”</w:t>
      </w:r>
      <w:r>
        <w:rPr>
          <w:rFonts w:ascii="Times New Roman" w:hAnsi="Times New Roman"/>
          <w:sz w:val="20"/>
        </w:rPr>
        <w:t xml:space="preserve"> and “</w:t>
      </w:r>
      <w:r>
        <w:rPr>
          <w:rFonts w:ascii="Times New Roman" w:hAnsi="Times New Roman"/>
          <w:i/>
          <w:sz w:val="20"/>
        </w:rPr>
        <w:t xml:space="preserve">Risk Factors Risks Related to Serapha” </w:t>
      </w:r>
      <w:r>
        <w:rPr>
          <w:rFonts w:ascii="Times New Roman" w:hAnsi="Times New Roman"/>
          <w:sz w:val="20"/>
        </w:rPr>
        <w:t xml:space="preserve">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total general and administrative expenses for the period presented (in thousands):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455"/>
        <w:gridCol w:w="120"/>
        <w:gridCol w:w="283"/>
        <w:gridCol w:w="1132"/>
        <w:gridCol w:w="75"/>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April 2, 2026</w:t>
              <w:br/>
              <w:t>(inception)</w:t>
              <w:br/>
              <w:t>through</w:t>
              <w:br/>
              <w:t>June 30, 2026</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4,729</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5,262</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113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$5.3 million for the period from April 2, 2026 (inception) to June 30, 2026 and consisted primarily of stock-based compensation related to stock issuance to an investor and professional and consulting fees associated with accounting and legal services due to an increase in Serapha’s business activity as Serapha began preparing to be a public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Serapha has incurred significant operating losses. Serapha expects to incur significant expenses and operating losses for the foreseeable future as Serapha advances clinical development of SERP-01. Serapha has not yet commercialized any products and Serapha does not expect to generate revenue from sales of products for several years, if at all. To date, Serapha has funded its operations primarily with proceeds from the sale of Serapha Preferred Stock. In June 2026, Serapha received approximately $138.0 million in gross proceeds from the issuance of Serapha Preferred Stock. As of June 30, 2026, Serapha had cash of $138.0 million ($53.0 million after giving effect to the $85.0 million payment to YolTech of the upfront YolTech License Agreement fee). </w:t>
      </w:r>
    </w:p>
    <w:p>
      <w:pPr>
        <w:pStyle w:val="TextBody"/>
        <w:bidi w:val="0"/>
        <w:spacing w:before="240" w:after="0"/>
        <w:jc w:val="left"/>
        <w:rPr>
          <w:rFonts w:ascii="Times New Roman" w:hAnsi="Times New Roman"/>
          <w:sz w:val="20"/>
        </w:rPr>
      </w:pPr>
      <w:r>
        <w:rPr>
          <w:rFonts w:ascii="Times New Roman" w:hAnsi="Times New Roman"/>
          <w:sz w:val="20"/>
        </w:rPr>
        <w:t xml:space="preserve">Serapha’s primary use of cash is to fund the development of SERP-01 and advance its pipeline. This includes both the research and development costs and the general and administrative expenses required to support those operations. Since Serapha is currently a clinical-stage genetic medicines company, Serapha has incurred significant operating losses since its inception and Serapha anticipates such losses to increase as Serapha continues to pursue clinical development of its product candidates, prepares for the potential commercialization of Serapha’s product candidates, and expands Serapha’s pipeline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Serapha had cash of $138.0 million ($53.0 million after the $85.0 million payment to YolTech for the upfront YolTech License Agreement fee), excluding potential proceeds from the Serapha Pre-Closing Financing, which is not sufficient to sustain planned operations through at least twelve months from the date of this proxy statement/prospectus. These conditions raise substantial doubt about Serapha’s ability to continue as a going concern for one year from the issuance of this proxy statement/prospectus. Serapha’s accompanying financial statements as of June 30, 2026 and for the period from April 2, 2026 (inception) to June 30, 2026 have been prepared on a basis which assumes that Serapha will continue as a going concern, which contemplates the realization of assets and the satisfaction of liabilities and commitments in the normal course of business. Serapha’s financial statements for the period from April 2, 2026 (inception) to June 30, 2026 do not include any adjustments related to the recoverability and classification of assets or the amount and classification of liabilities that may result from the outcome of this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has historically financed its operations through the sale of its preferred stock. Serapha intends to obtain additional capital through sales of its equity, including the Serapha Pre-Closing Financing pursuant to which investors have agreed to purchase approximately $92.0 million of Serapha Common Stock and Serapha Pre-Funded Warrants immediately prior to the Merger. However, there can be no assurance that Serapha will be able to obtain additional liquidity through the Serapha Pre-Closing Financing or in the public market or that these funds will be readily available at terms acceptable to Serapha or in an amount sufficient to enable Serapha to satisfy its obligations or sustain operations in the future. If Serapha is unable to raise sufficient additional funds, it will have to develop and implement a plan to further extend payables and indebtedness, reduce overhead, or scale back its current business plan until sufficient additional capital is raised to support further operations or Serapha may be forced to grant rights to develop and commercialize product candidates that it would otherwise prefer to develop and commercialize on its own. There can be no assurance that such a plan will be successful. </w:t>
      </w:r>
    </w:p>
    <w:p>
      <w:pPr>
        <w:pStyle w:val="TextBody"/>
        <w:bidi w:val="0"/>
        <w:spacing w:before="240" w:after="0"/>
        <w:jc w:val="left"/>
        <w:rPr>
          <w:rFonts w:ascii="Times New Roman" w:hAnsi="Times New Roman"/>
          <w:sz w:val="20"/>
        </w:rPr>
      </w:pPr>
      <w:r>
        <w:rPr>
          <w:rFonts w:ascii="Times New Roman" w:hAnsi="Times New Roman"/>
          <w:sz w:val="20"/>
        </w:rPr>
        <w:t xml:space="preserve">Serapha estimates that the net proceeds from the Serapha Pre-Closing Financing, together with its existing cash as of the date of this proxy statement/prospectus will be sufficient to enable Serapha to fund its operating expenses and capital expenditure requirements into     . Serapha will need to secure additional financing in the future to fund additional research and development, and before a commercial drug can be produced, marketed, and sold. If Serapha is unable to obtain additional financing or generate license or product revenue, the lack of liquidity could have a material adverse effect on Serapha.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Serapha’s cash flows for the period presented (in thousands):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3380"/>
        <w:gridCol w:w="120"/>
        <w:gridCol w:w="210"/>
        <w:gridCol w:w="1205"/>
        <w:gridCol w:w="7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April 2, 2026</w:t>
              <w:br/>
              <w:t>(inception)</w:t>
              <w:br/>
              <w:t>through</w:t>
              <w:br/>
              <w:t>June 30, 2026</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138,002</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138,002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April 2, 2026 (inception) to June 30, 2026, there was no net cash used in operating activities, as the net loss of $170.1 million, was fully offset by the acquired in-process research and development of $164.6 million and stock-based compensation of $4.7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April 2, 2026 (inception) to June 30, 2026, net cash provided by financing activities was $138.0 million, consisting of gross proceeds from the issuance of Serapha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Historical Unaudited SERP-01 Program Expenditures by YolTech </w:t>
      </w:r>
    </w:p>
    <w:p>
      <w:pPr>
        <w:pStyle w:val="TextBody"/>
        <w:bidi w:val="0"/>
        <w:spacing w:before="120" w:after="0"/>
        <w:jc w:val="left"/>
        <w:rPr>
          <w:rFonts w:ascii="Times New Roman" w:hAnsi="Times New Roman"/>
          <w:sz w:val="20"/>
        </w:rPr>
      </w:pPr>
      <w:r>
        <w:rPr>
          <w:rFonts w:ascii="Times New Roman" w:hAnsi="Times New Roman"/>
          <w:sz w:val="20"/>
        </w:rPr>
        <w:t xml:space="preserve">Prior to the in-licensing of the SERP-01 program by Serapha in June 2026, all research and development of SERP-01 (also referred to as YOLT-202) was conducted by YolTech. Based on information provided by YolTech, research and development expenses incurred by YolTech in respect of the SERP-01 program from the inception of the program (during 2024) through June 30, 2026 were approximately as follows (in millions, unaudited): </w:t>
      </w:r>
    </w:p>
    <w:p>
      <w:pPr>
        <w:pStyle w:val="TextBody"/>
        <w:bidi w:val="0"/>
        <w:spacing w:before="0" w:after="0"/>
        <w:jc w:val="left"/>
        <w:rPr/>
      </w:pPr>
      <w:r>
        <w:rPr/>
        <w:t> </w:t>
      </w:r>
    </w:p>
    <w:tbl>
      <w:tblPr>
        <w:tblW w:w="6594" w:type="dxa"/>
        <w:jc w:val="left"/>
        <w:tblInd w:w="0" w:type="dxa"/>
        <w:tblLayout w:type="fixed"/>
        <w:tblCellMar>
          <w:top w:w="0" w:type="dxa"/>
          <w:left w:w="0" w:type="dxa"/>
          <w:bottom w:w="0" w:type="dxa"/>
          <w:right w:w="0" w:type="dxa"/>
        </w:tblCellMar>
      </w:tblPr>
      <w:tblGrid>
        <w:gridCol w:w="4835"/>
        <w:gridCol w:w="120"/>
        <w:gridCol w:w="377"/>
        <w:gridCol w:w="1187"/>
        <w:gridCol w:w="75"/>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center"/>
          </w:tcPr>
          <w:p>
            <w:pPr>
              <w:pStyle w:val="TableContents"/>
              <w:bidi w:val="0"/>
              <w:spacing w:before="0" w:after="283"/>
              <w:jc w:val="left"/>
              <w:rPr>
                <w:b/>
              </w:rPr>
            </w:pPr>
            <w:r>
              <w:rPr>
                <w:b/>
              </w:rPr>
              <w:t>Period</w:t>
            </w:r>
          </w:p>
        </w:tc>
        <w:tc>
          <w:tcPr>
            <w:tcW w:w="12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R&amp;D E</w:t>
            </w:r>
            <w:r>
              <w:rPr>
                <w:b/>
                <w:sz w:val="20"/>
                <w:u w:val="single"/>
              </w:rPr>
              <w:t>XPENSE</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Period from program inception through December 31, 2024</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0.6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Year ended December 31, 2025</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10.9</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Six months ended June 30, 2026</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pBdr>
                <w:top w:val="single" w:sz="2" w:space="1" w:color="000000"/>
              </w:pBdr>
              <w:bidi w:val="0"/>
              <w:spacing w:before="0" w:after="0"/>
              <w:jc w:val="left"/>
              <w:rPr/>
            </w:pPr>
            <w:r>
              <w:rPr/>
              <w:t> </w:t>
            </w:r>
          </w:p>
        </w:tc>
        <w:tc>
          <w:tcPr>
            <w:tcW w:w="118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(program inception through June 30, 2026)</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20.9</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pBdr>
                <w:top w:val="double" w:sz="6" w:space="1" w:color="000000"/>
              </w:pBdr>
              <w:bidi w:val="0"/>
              <w:spacing w:before="0" w:after="0"/>
              <w:jc w:val="left"/>
              <w:rPr/>
            </w:pPr>
            <w:r>
              <w:rPr/>
              <w:t> </w:t>
            </w:r>
          </w:p>
        </w:tc>
        <w:tc>
          <w:tcPr>
            <w:tcW w:w="118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entered into the YolTech License Agreement on June 12, 2026; the amounts presented above for the six months ended June 30, 2026 reflect YolTech’s research and development expenditures on the SERP-01 program, including a de minimis period from June 12, 2026 to June 30, 2026 after the effective date of the YolTech License Agreement. The foregoing information is derived from unaudited financial data provided by YolTech. YolTech’s historical books and records relating to the SERP-01 program are maintained under Chinese accounting standards (under which the research and development expenditures of the SERP-01 program were expensed as incurred, consistent with their treatment under U.S. GAAP) and in Renminbi. The amounts above reflect a good-faith conversion to U.S. dollars at the annual average Chinese Yuan Renminbi to U.S. Dollar exchange rate published by the Board of Governors of the Federal Reserve System for each respective period. Under the YolTech License Agreement, YolTech remains responsible for the research, development and regulatory activities for SERP-01 in Greater China at its own cost and continues to conduct the ongoing IIT, and the information above does not reflect any activities of YolTech other than research and development expense in respect of the SERP-01 program. The SERP-01 program had no revenues during the periods presented, and no related assets or liabilities of the program were carried on YolTech’s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Serapha has not generated any revenue from product sales. Serapha does not expect to generate revenue from product sales unless and until Serapha successfully completes preclinical and clinical development of, receives regulatory approval for, and commercializes a product candidate, and Serapha does not know when, or if at all, that will occur. Serapha expects its expenses to increase substantially in connection with its ongoing activities, particularly as Serapha initiates clinical trials and advances future preclinical activities and studies. In addition, if Serapha obtains regulatory approval for any product candidates, Serapha expects to incur significant expenses related to product sales, marketing, and distribution to the extent that such sales, marketing and distribution are not the responsibility of potential collaborators. Further, upon the completion of the Merger, Serapha expects to incur additional costs associated with operating as a public company. The timing and amount of Serapha’s operating expenditures will depend largely on the factors set out above. For more information, see the section titled “</w:t>
      </w:r>
      <w:r>
        <w:rPr>
          <w:rFonts w:ascii="Times New Roman" w:hAnsi="Times New Roman"/>
          <w:i/>
          <w:sz w:val="20"/>
        </w:rPr>
        <w:t>Risk Factors</w:t>
      </w:r>
      <w:r>
        <w:rPr>
          <w:rFonts w:ascii="Times New Roman" w:hAnsi="Times New Roman"/>
          <w:sz w:val="20"/>
        </w:rPr>
        <w:t> — </w:t>
      </w:r>
      <w:r>
        <w:rPr>
          <w:rFonts w:ascii="Times New Roman" w:hAnsi="Times New Roman"/>
          <w:i/>
          <w:sz w:val="20"/>
        </w:rPr>
        <w:t>Risks Related to Serapha</w:t>
      </w:r>
      <w:r>
        <w:rPr>
          <w:rFonts w:ascii="Times New Roman" w:hAnsi="Times New Roman"/>
          <w:sz w:val="20"/>
        </w:rPr>
        <w:t> — </w:t>
      </w:r>
      <w:r>
        <w:rPr>
          <w:rFonts w:ascii="Times New Roman" w:hAnsi="Times New Roman"/>
          <w:i/>
          <w:sz w:val="20"/>
        </w:rPr>
        <w:t>Risks Related to Serapha’s Limited Operating History, Financial Position and Capital Requirements</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Serapha’s funding requirements and timing and amount of its operating expenditures will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of progress in Serapha’s clinical development of SERP-01 and future research and development and discovery-related development of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product candidates and discovery-related activities and preclinical studies for those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ability to successfully file INDs or comparable foreign applications and obtain authorization to commence Serapha’s planned clinical trials or future clinical trials;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enrollment and successful completion of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Serapha’s future clinical trials that support a finding of safety and effectiveness and an acceptable risk-benefit profile in the intended populations;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third parties or Serapha’s own manufacturing facility for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product candidates, for any of Serapha’s product candidates for which Serapha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Serapha’s product candidates for which Serapha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Serapha’s intellectual property rights and protection or regulatory exclusivity for any products Serapha may develop and defending any intellectual property-related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Serapha must make pursuant to Serapha’s existing and potential future collaborations and licensing arrangements with third parties;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Serapha incurs in maintaining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Serapha acquires or invests in businesses, products and technologies, including entering into licensing or collaboration arrangements for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time-consuming, expensive and uncertain process that takes years to complete, and Serapha may never generate the necessary data or results required to obtain marketing approval and achieve product sales. In addition, Serapha’s product candidates, if approved, may not achieve commercial success. Serapha’s commercial revenues, if any, will be derived from sales of products that Serapha does not expect to be commercially available for many years, if ever. Accordingly, Serapha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Serapha on acceptable terms, or at all. Serapha does not currently have any committed external source of funds. To the extent that Serapha raises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Serapha’s ability to take specific actions, such as incurring debt, making capital expenditures or declaring dividends and may require the issuance of warrants, which could potentially dilute your ownership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Serapha raises additional funds through strategic collaborations or licensing arrangements with third parties, Serapha may have to relinquish valuable rights to its technologies, future revenue streams, research programs, or product candidates or grant licenses on terms that may not be favorable to Serapha. If Serapha is unable to raise additional funds through equity or debt financings when needed, Serapha may be required to delay, limit or terminate its product development programs or any future commercialization efforts or grant rights to develop and market product candidates to third parties that Serapha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Serapha’s existing cash balance, excluding the Serapha Pre-Closing Financing, will not be sufficient to sustain planned operations through at least twelve months from the issuance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However, Serapha estimates that the net proceeds from the Serapha Pre-Closing Financing, together with its existing cash as of the date of this proxy statement/prospectus, will be sufficient to enable Serapha to fund its operating expenses and capital expenditure requirements into     . Serapha has based this estimate on assumptions that may prove to be wrong. Serapha’s operating plan may change as a result of many factors currently unknown to Serapha and Serapha could exhaust its available capital resources sooner than Serapha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the YolTech License Agreement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the YolTech Warrant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YolTech is also eligible to receive up to approximately $167.0 million in certain development and regulatory milestone payments and up to approximately $1.88 billion in sales-based milestone payments, as well as tiered royalties ranging from mid-single-digit to low-teens on annual net sales of SERP-01 in the licensed territory. In July 2026, the first development milestone under the YolTech License Agreement was achieved based upon the determination of the safety review committee, entitling YolTech to a milestone payment of $10.0 million, which Serapha expects to record as research and development expense in the third quarter of 2026.The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Serapha may terminate the YolTech License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Serapha’s management’s discussion and analysis of its financial condition and results of operations is based on its financial statements, which have been prepared in accordance with U.S. GAAP. The preparation of these financial statements requires Serapha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Serapha’s estimates are based on its historical experience and on various other factors that Serapha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Serapha’s significant accounting policies are described in more detail in Note 2 to its financial statements for the period from April 2, 2026 (inception) to June 30, 2026 included elsewhere in this proxy statement/prospectus, Serapha believes the following accounting policies used in the preparation of Serapha’s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Serapha records the costs associated with research and development as incurred. These costs are a significant component of Serapha’s research and development expenses, with a substantial portion of Serapha’s ongoing research and development activities conducted by third-party service providers, including CROs and CMOs. </w:t>
      </w:r>
    </w:p>
    <w:p>
      <w:pPr>
        <w:pStyle w:val="TextBody"/>
        <w:bidi w:val="0"/>
        <w:spacing w:before="240" w:after="0"/>
        <w:jc w:val="left"/>
        <w:rPr>
          <w:rFonts w:ascii="Times New Roman" w:hAnsi="Times New Roman"/>
          <w:sz w:val="20"/>
        </w:rPr>
      </w:pPr>
      <w:r>
        <w:rPr>
          <w:rFonts w:ascii="Times New Roman" w:hAnsi="Times New Roman"/>
          <w:sz w:val="20"/>
        </w:rPr>
        <w:t xml:space="preserve">Serapha accrues for expenses resulting from payments due under the YolTech License Agreement and agreements with CROs, CMOs, and other outside service providers for which payment flows do not match the periods over which materials or services are provided to Serapha. Accruals are recorded based on estimates of services received and efforts expended pursuant to agreements established with YolTech,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Serapha makes significant judgments and estimates in determining the accrual balance in each reporting period. In the event advance payments are made to YolTech, a CRO, a CMO, or an outside service provider, the payments will be recorded as a prepaid asset which will be expensed as the contracted services are performed. Changes in these estimates that result in material changes to Serapha’s accruals could materially affect Serapha’s results of operations. For the periods presented, Serapha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In June 2026, in connection with its entry into the YolTech License Agreement, Serapha issued to YolTech a warrant to purchase shares of non-voting Series A-1 preferred stock of Serapha (the “YolTech Warrant”) representing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Ratio, those shares represent 19.53% of the fully-diluted capitalization of the Combined Company. The YolTech Warrant was recorded at its fair value of $79.4 million upon issuance, which was recognized as acquired in-process research and development expense as part of the consideration under the YolTech License Agreement, and is subject to remeasurement at the end of each reporting period, with changes in fair value recognized in Serapha’s statement of operations. Serapha used a scenario-based valuation method with inputs based on certain subjective assumptions, including (a) potential settlement scenarios and their relative probability weightings, (b) expected terms, (c) volatility and (d) the applicable discount rate. Such assumptions involve inherent uncertainties and the application of significant judgment. As a result, if factors or expected outcomes change and Serapha uses significantly different assumptions or estimates, the estimated fair value of the warrant liability could be materially different. Serapha will continue to use judgment in evaluating the assumptions utilized for its warrant liability fair value calculations on a prospective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Serapha measures stock-based awards granted to employees, directors, and non-employees in the form of stock options to purchase shares of Serapha Common Stock, based on their fair value on the date of grant using the Black-Scholes model. Compensation expense for those awards is recognized using the straight-line method over the requisite service period, which is generally the vesting period of the respective award for employees. Compensation expense for awards to non-employees with service-based vesting conditions is recognized in the same manner as if Serapha had paid cash in exchange for the goods or services, which is generally over the vesting period of the award. Serapha accounts for forfeitures as they occur. Serapha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model uses inputs that are determined by the Serapha Board of Directors on the date of grant and assumptions Serapha makes for the volatility of stock-based awards, the expected term of stock-based awards, the risk-free interest rate for a period that approximates the expected term of Serapha’s stock-based awards and its expected dividend yield. Serapha has historically been a private company and lacks company-specific historical and implied volatility information of its stock. Therefore, Serapha estimates its expected stock volatility based on the historical volatility of a representative group of public companies in the biotechnology industry for a term equal to the remaining time of the expected term. The expected term of Serapha’s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Serapha has estimated a 0% dividend yield based on the expected dividend yield and the fact that Serapha has never paid, and does not expect to pay, any cash dividends in the foreseeable future. See Note 2 to Serapha’s financial statements for the period from April 2, 2026 (inception) to June 30, 2026 included elsewhere in this proxy statement/prospectus for information concerning certain of the specific assumptions Serapha used in applying the Black-Scholes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the Serapha Common Stock from April 2, 2026 (inception) to date, the estimated fair value of stock-based awards has been determined by the Serapha Board of Directors as of the date of grant, with input from management, and with consideration of additional objective and subjective factors that Serapha believed were relevant. In addition, the Serapha Board of Directors considered various objective and subjective factors to determine the fair value of Serapha’s share-based awards as of each grant date, including: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valuations of Serapha Common Stock;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Serapha’s research and development programs;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stage of development and business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financial position, including cash on hand, and Serapha’s historical and forecasted performance and operating results;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Serapha Common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Serapha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the estimated fair value for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Serapha had used significantly different assumptions or estimates, the fair value of Serapha’s incentive shares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the Combined Company’s common stock has been established in connection with the completion of the Merger, it will no longer be necessary for the board of directors of the Combined Company to estimate the fair value of Serapha’s stock-based awards in connection with Serapha’s accounting for granted stock-based awards or other such awards Serapha may grant, as the fair value of Serapha Common Stock and share-based awards will be determined based on the quoted market price of the Combined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Serapha’s financial position, results of operations or cash flows is disclosed in Note 2 to Serapha’s financial statements for the period from April 2, 2026 (inception) to June 30, 2026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Serapha did not have, nor does Serapha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Serapha is a smaller reporting company, as defined by Rule 12b-2 under the Exchange Act and in Item 10(f)(1) of Regulation S-K, and is not required to provide the information under this item.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6" w:name="tx108148_30"/>
      <w:bookmarkEnd w:id="66"/>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the business and affairs of the Combined Company will be managed under the direction of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board of directors will initially be fixed at    members, consisting of current Serapha Board of Directors members Kenneth Mills and    .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of the Combined Company will serve at the discretion of the Combined Company board of directors and hold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Boundless Bio’s current directors are expected to resign from their positions as directors of Boundless Bio,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October 1,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2465"/>
        <w:gridCol w:w="120"/>
        <w:gridCol w:w="425"/>
        <w:gridCol w:w="120"/>
        <w:gridCol w:w="3560"/>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24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465" w:type="dxa"/>
            <w:tcBorders/>
            <w:vAlign w:val="center"/>
          </w:tcPr>
          <w:p>
            <w:pPr>
              <w:pStyle w:val="TableContents"/>
              <w:bidi w:val="0"/>
              <w:spacing w:before="0" w:after="283"/>
              <w:jc w:val="left"/>
              <w:rPr>
                <w:b/>
                <w:i/>
              </w:rPr>
            </w:pPr>
            <w:r>
              <w:rPr>
                <w:b/>
                <w:i/>
              </w:rPr>
              <w:t>Executive Officers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t>Kenneth Mills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Executive Officer and Director</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t>Daphne Karydas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53</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i/>
              </w:rPr>
            </w:pPr>
            <w:r>
              <w:rPr>
                <w:b/>
                <w:i/>
              </w:rPr>
              <w:t>Non-Employee Directors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 xml:space="preserve">Kenneth Mills. </w:t>
      </w:r>
      <w:r>
        <w:rPr>
          <w:rFonts w:ascii="Times New Roman" w:hAnsi="Times New Roman"/>
          <w:sz w:val="20"/>
        </w:rPr>
        <w:t xml:space="preserve">Mr. Mills has more than 25 years of experience in the biotechnology and pharmaceutical industries. He has served as Serapha’s Chief Executive Officer and a director since August 2026, and also previously served as President from August 2026 to September 2026. Prior to joining Serapha, Mr. Mills was President, Chief Executive Officer and a director of Tagworks Pharmaceuticals BV, a privately held precision oncology company, from July 2024 to July 2026. From March 2009 until July 2024, Mr. Mills served as President and Chief Executive Officer of REGENXBIO Inc. (Nasdaq: RGNX), a company focused on the development and commercialization of adeno-associated virus gene therapy. He has also served as a director of REGENXBIO since March 2009, including as Chairman since July 2024. During his tenure at REGENXBIO, Mr. Mills led the company through its initial public offering and several financing transactions and oversaw the advancement of multiple clinical-stage programs. He was also involved in the licensing and advising of a number of biotechnology companies, including AveXis (acquired by Novartis) and Audentes (acquired by Astellas), as well as the launch of companies such as Dimension Therapeutics (acquired by Ultragenyx), Prevail Therapeutics (acquired by Eli Lilly), and Corlieve Therapeutics (acquired by uniQure). Mr. Mills was with FOXKISER LLP, including most recently as a Partner, from 2007 to 2015, where he advised and helped launch companies in the biotechnology and pharmaceutical space. Earlier in his career, Mr. Mills served as Chief Financial Officer and Vice President of Business Development at Meso Scale Diagnostics, where he was a member of the original management team, and as Director of Business Development at IGEN International, Inc. through its acquisition by Roche. Mr. Mills received an S.B. in Chemistry from the Massachusetts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Serapha believes Mr. Mills is qualified to serve as a member of the Combined Company board of directors because of his extensive experience as an executive in the gene therapy and biotechnology industries, his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as a senior-level executive in both early stage and mature biotechnology companies and his demonstrated business judgment. </w:t>
      </w:r>
    </w:p>
    <w:p>
      <w:pPr>
        <w:pStyle w:val="TextBody"/>
        <w:bidi w:val="0"/>
        <w:spacing w:before="240" w:after="0"/>
        <w:jc w:val="left"/>
        <w:rPr>
          <w:rFonts w:ascii="Times New Roman" w:hAnsi="Times New Roman"/>
          <w:sz w:val="20"/>
        </w:rPr>
      </w:pPr>
      <w:r>
        <w:rPr>
          <w:rFonts w:ascii="Times New Roman" w:hAnsi="Times New Roman"/>
          <w:b/>
          <w:sz w:val="20"/>
        </w:rPr>
        <w:t>Daphne Karydas</w:t>
      </w:r>
      <w:r>
        <w:rPr>
          <w:rFonts w:ascii="Times New Roman" w:hAnsi="Times New Roman"/>
          <w:sz w:val="20"/>
        </w:rPr>
        <w:t xml:space="preserve">. Ms. Karydas has served as Serapha’s President and Chief Financial Officer since September 2026. From October 2021 to September 2026, she served in various roles at Flare Therapeutics Inc., a biotechnology company, including most recently as President and Chief Financial Officer, where she was responsible for all finance, business operations, business development, and program management activities. Prior to joining Flare Therapeutics, she served as Chief Financial Officer of Syndax Pharmaceuticals, Inc. (Nasdaq: SNDX), a biopharmaceutical company, from July 2020 to October 2021. Ms. Karydas previously served as Senior Vice President of Corporate Strategy and Financial Planning &amp; Analysis at Allergan plc, where she oversaw the company’s long-term financial and business strategy, until its acquisition by AbbVie Inc. in May 2020. She joined Allergan in April 2017 as Senior Vice President of Global Investor Relations and Strategy, leading engagement with the investment community and corporate strategy development. Prior to joining Allergan, she served as Executive Director and Senior Healthcare Analyst at J.P. Morgan Asset Management from January 2015 to April 2017. Previously, she was a Portfolio Manager and Senior Healthcare Analyst at The Boston Company Asset Management, a BNY Mellon company. Earlier in her career, Ms. Karydas was a Vice President at Goldman Sachs Asset Management focused on healthcare, as well as a member of Goldman Sachs’ healthcare investment banking team. Before joining Goldman Sachs, she was a Project Chemical Engineer at Merck &amp; Co., Inc., where she focused on process development for novel vaccines. Ms. Karydas has served as a member of the board of directors and Chair of the audit committee of Mineralys Therapeutics, Inc. (Nasdaq: MLYS) since September 2023 and Compass Pathways plc (Nasdaq: CMPS) since September 2023. She also serves as a member of the board of directors and Chair of the audit committee of Epikast. She previously served on the boards of directors of LogicBio Therapeutics, Inc. (formerly, Nasdaq: LOGC) and Eucrates Biomedical Acquisition Corp. (formerly, Nasdaq: EUCR). Ms. Karydas received a B.S. and M.S. in Chemical Engineering from the Massachusetts Institute of Technology and an M.B.A. from Harvard Business School.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is currently divided into three staggered classes, with one class to be elected at each annual meeting to serve for a three-year term. The staggered structure of the Boundless Bio Board of Directors will remain in place for the Combined Company following the completion of the Merger, with Class III directors holding terms expiring at the 2027 annual meeting of stockholders, Class I directors holding terms expiring at the 2028 annual meeting of stockholders and Class II directors holding terms expiring at the 2029 annual meeting of stockholders. It is anticipated that the incoming directors will be appointed to classes of the Combined Company board of directors following the completion of the Merger as follows:    are expected to be Class I directors;    are expected to be Class II directors; and    are expected to be Class III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proposed director concerning his or her background, employment and affiliations, Boundless Bio and Serapha expect that the Combined Company board of directors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determine that     qualify as “independent directors” as defined under Nasdaq listing rules. Mr. Mills, Serapha’s current President and Chief Executive Officer, is not expected to qualify as an independent director of the Combined Company. In making these determinations, the Combined Company board of directors will consider the current and prior relationships that each director has with Boundless Bio and Serapha and all other facts and circumstances that the Combined Company board of directors deems relevant in determining the independence of each proposed director, including the interests of each Combined Company director in the Merger, any relevant related party transactions and the beneficial ownership of securities of Boundless Bio, Serapha or the Combined Company by each Combined Company director. See also the sections titled “</w:t>
      </w:r>
      <w:r>
        <w:rPr>
          <w:rFonts w:ascii="Times New Roman" w:hAnsi="Times New Roman"/>
          <w:i/>
          <w:sz w:val="20"/>
        </w:rPr>
        <w:t>Interests of Serapha Directors and Executive Officers in the Merger</w:t>
      </w:r>
      <w:r>
        <w:rPr>
          <w:rFonts w:ascii="Times New Roman" w:hAnsi="Times New Roman"/>
          <w:sz w:val="20"/>
        </w:rPr>
        <w:t>,” “</w:t>
      </w:r>
      <w:r>
        <w:rPr>
          <w:rFonts w:ascii="Times New Roman" w:hAnsi="Times New Roman"/>
          <w:i/>
          <w:sz w:val="20"/>
        </w:rPr>
        <w:t>Certain Relationships and Related Party Transactions of the Combined Company — Serapha Transactions</w:t>
      </w:r>
      <w:r>
        <w:rPr>
          <w:rFonts w:ascii="Times New Roman" w:hAnsi="Times New Roman"/>
          <w:sz w:val="20"/>
        </w:rPr>
        <w:t>” and “</w:t>
      </w:r>
      <w:r>
        <w:rPr>
          <w:rFonts w:ascii="Times New Roman" w:hAnsi="Times New Roman"/>
          <w:i/>
          <w:sz w:val="20"/>
        </w:rPr>
        <w:t>Principal Stockholders of Serapha</w:t>
      </w:r>
      <w:r>
        <w:rPr>
          <w:rFonts w:ascii="Times New Roman" w:hAnsi="Times New Roman"/>
          <w:sz w:val="20"/>
        </w:rPr>
        <w:t xml:space="preserve">” beginning on pages 179, 350 and 386, respectively,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Merger,    is expected to serve as Chair of the Combined Company board of directors. Although the Combined Company’s governance documents will not require that the Combined Company separate the Chief Executive Officer and Chair positions, Serapha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Serapha Board of Directors recognizes that, depending on future circumstances, other leadership models, such as combining the roles of Chief Executive Officer and Chair, might be appropriate. Accordingly, the Combined Company’s board may periodically review its leadership structure. At any time when a non-independent director is serving as Chair, Serapha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Boundless Bio and Serapha anticipate that the Combined Company board of directors will establish an audit committee, a compensation committee and a nominating and governance committee (“governance committee”), each of which will operate pursuant to a charter adopted by the Combined Company board of directors. Boundless Bio and Serapha believe that following the completion of the Merger, the functioning and composition of these committees of the Combined Company will comply with the requirements of Nasdaq listing rules and SEC rules and regulations. The Combined Company board of directors may also establish other committees from time to time to assist the Combined Company and its board of directors. Each of the audit committee, compensation committee and the governance committee is expected to have the responsibilities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committee.    is expected to chair the audit committee. In addition, the Combined Company board of directors is expected to determine that    is an “audit committee financial expert” as defined under the rules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compensation committee are expected to be    , each of whom is expected to qualify as an independent director for compensation committee purposes as defined under the rules of the SEC and the applicable Nasdaq listing rules.    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and objectives and setting the officers’ compensation. The compensation committee will also administer and make recommendations to the Combined Company board of directors regarding equity incentive plans that are subject to the board of directors’ approval and approve the grant of equity awards under the plans to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governance committee are expected to be    , each of whom is expected to qualify as an independent director under applicable Nasdaq listing rules.    is expected to chair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governance committee will be responsible for engaging in succession planning for the Combined Company board of directors, developing and recommending to the Combined Company board of directors criteria for identifying and evaluating qualified director candidates and making recommendations to the Combined Company board of directors regarding candidates for election or reelection to the Combined Company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 board of directors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employees. The full text of the Combined Company’s Code of Conduct and Ethics will be posted on the Combined Company’s website at </w:t>
      </w:r>
      <w:r>
        <w:rPr>
          <w:rFonts w:ascii="Times New Roman" w:hAnsi="Times New Roman"/>
          <w:i/>
          <w:sz w:val="20"/>
        </w:rPr>
        <w:t>www.seraphabio.com</w:t>
      </w:r>
      <w:r>
        <w:rPr>
          <w:rFonts w:ascii="Times New Roman" w:hAnsi="Times New Roman"/>
          <w:sz w:val="20"/>
        </w:rPr>
        <w:t xml:space="preserve">.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7" w:name="tx108148_31"/>
      <w:bookmarkEnd w:id="67"/>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Boundless Bio’s and Serapha’s directors and executive officers, including those discussed in the sections titled “</w:t>
      </w:r>
      <w:r>
        <w:rPr>
          <w:rFonts w:ascii="Times New Roman" w:hAnsi="Times New Roman"/>
          <w:i/>
          <w:sz w:val="20"/>
        </w:rPr>
        <w:t>Boundless Bio Executive Compensation</w:t>
      </w:r>
      <w:r>
        <w:rPr>
          <w:rFonts w:ascii="Times New Roman" w:hAnsi="Times New Roman"/>
          <w:sz w:val="20"/>
        </w:rPr>
        <w:t>,”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Serapha Executive Compensation</w:t>
      </w:r>
      <w:r>
        <w:rPr>
          <w:rFonts w:ascii="Times New Roman" w:hAnsi="Times New Roman"/>
          <w:sz w:val="20"/>
        </w:rPr>
        <w:t xml:space="preserve">” beginning on pages 216, 344 and 227, respectively, of this proxy statement/prospectus, the following is a description of each transaction involving Boundless Bio since January 1, 2024, each transaction involving Serapha since April 2, 2026 (inception) and each currently proposed transaction in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Serapha’s or Boundless Bio’s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Serapha’s or Boundless Bio’s directors, executive officers or holders of more than 5% of Serapha’s or Boundless Bio’s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Boundless Bio’s 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has adopted a written policy setting forth the policies and procedures for the review and approval or ratification of transactions required to be reported under Item 404(a) of Regulation S-K under the Securities Act. This policy covers, with certain exceptions set forth in Item 404 of Regulation S-K under the Securities Act, any transaction, arrangement, or relationship, or any series of similar transactions, arrangements, or relationships, in which Boundless Bio was or is to be a participant, where the amount involved exceeds the lesser of $120,000 or one percent of the average of its total assets at year-end for the last two completed fiscal years, and in which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Boundless Bio of a related person. This policy provides that the Boundless Bio audit committee shall either approve or disapprove any such transaction after reviewing all relevant known facts and circumstances related to such transaction. Such review shall include whether the transaction is on terms comparable to those that could be obtained in an arm’s length transaction with an unrelated party and the extent of the related person’s interest in the transaction and shall take into account any conflicts of interest and/or corporate opportunity provisions of Boundless Bio’s corporate governance documents. No director may participate in the approval of a related person transaction for which he or she is a related person. </w:t>
      </w:r>
    </w:p>
    <w:p>
      <w:pPr>
        <w:pStyle w:val="TextBody"/>
        <w:bidi w:val="0"/>
        <w:spacing w:before="360" w:after="0"/>
        <w:jc w:val="left"/>
        <w:rPr>
          <w:rFonts w:ascii="Times New Roman" w:hAnsi="Times New Roman"/>
          <w:b/>
          <w:sz w:val="20"/>
        </w:rPr>
      </w:pPr>
      <w:r>
        <w:rPr>
          <w:rFonts w:ascii="Times New Roman" w:hAnsi="Times New Roman"/>
          <w:b/>
          <w:sz w:val="20"/>
        </w:rPr>
        <w:t xml:space="preserve">Boundless Bio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transactions during Boundless Bio’s last two fiscal years to which Boundless Bio has been a party, in which the amount involved exceeds $120,000, and in which any of Boundless Bio’s directors, executive officers or beneficial owners of more than 5% of Boundless Bio’s capital stock, or an affiliate or immediate family member thereof,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and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Please see “</w:t>
      </w:r>
      <w:r>
        <w:rPr>
          <w:rFonts w:ascii="Times New Roman" w:hAnsi="Times New Roman"/>
          <w:i/>
          <w:sz w:val="20"/>
        </w:rPr>
        <w:t>Boundless Bio Non-Employee Director Compensation</w:t>
      </w:r>
      <w:r>
        <w:rPr>
          <w:rFonts w:ascii="Times New Roman" w:hAnsi="Times New Roman"/>
          <w:sz w:val="20"/>
        </w:rPr>
        <w:t>” and “</w:t>
      </w:r>
      <w:r>
        <w:rPr>
          <w:rFonts w:ascii="Times New Roman" w:hAnsi="Times New Roman"/>
          <w:i/>
          <w:sz w:val="20"/>
        </w:rPr>
        <w:t>Boundless Bio Executive Compensation</w:t>
      </w:r>
      <w:r>
        <w:rPr>
          <w:rFonts w:ascii="Times New Roman" w:hAnsi="Times New Roman"/>
          <w:sz w:val="20"/>
        </w:rPr>
        <w:t xml:space="preserve">” for information regarding the compensation of Boundless Bio’s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and Directors’ and Officers’ Liability Insurance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entered into indemnification agreements with each of its directors and executive officers. These agreements, among other things, require Boundless Bio or will require Boundless Bio to indemnify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Boundless Bio, arising out of the person’s services as a director or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 Boundless Bio Charter and Boundless Bio Bylaws provide that it will indemnify each of its directors and officers to the fullest extent permitted by the DGCL. Further, Boundless Bio has purchased a policy of directors’ and officers’ liability insurance that insures its directors and officers against the cost of defense, settlement, or payment of a judgment under certain circumstances. </w:t>
      </w:r>
    </w:p>
    <w:p>
      <w:pPr>
        <w:pStyle w:val="TextBody"/>
        <w:bidi w:val="0"/>
        <w:spacing w:before="360" w:after="0"/>
        <w:jc w:val="left"/>
        <w:rPr>
          <w:rFonts w:ascii="Times New Roman" w:hAnsi="Times New Roman"/>
          <w:b/>
          <w:sz w:val="20"/>
        </w:rPr>
      </w:pPr>
      <w:bookmarkStart w:id="68" w:name="tx108148_711"/>
      <w:bookmarkEnd w:id="68"/>
      <w:r>
        <w:rPr>
          <w:rFonts w:ascii="Times New Roman" w:hAnsi="Times New Roman"/>
          <w:b/>
          <w:sz w:val="20"/>
        </w:rPr>
        <w:t xml:space="preserve">Serapha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each transaction or series of similar transactions since April 2, 2026 (inception) or any currently proposed transaction, to which Serapha was or is a party in which: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Serapha’s total assets;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Serapha’s directors or executive officers, any holder of more than 5% of any class of Serapha’s voting securities or any member of his or her immediate family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Private Placements of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Initial Financing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completed a financing of Serapha Common Stock and issued and sold an aggregate of 6,100,000 shares of Serapha Common Stock, including 4,100,000 shares of Serapha Common Stock to RTW Holdings X, LLC and 1,862,334 shares of Serapha Common Stock to RA Capital Management, at a purchase price of $0.001 per share. </w:t>
      </w:r>
    </w:p>
    <w:p>
      <w:pPr>
        <w:pStyle w:val="TextBody"/>
        <w:bidi w:val="0"/>
        <w:spacing w:before="240" w:after="0"/>
        <w:jc w:val="left"/>
        <w:rPr>
          <w:rFonts w:ascii="Times New Roman" w:hAnsi="Times New Roman"/>
          <w:sz w:val="20"/>
        </w:rPr>
      </w:pPr>
      <w:r>
        <w:rPr>
          <w:rFonts w:ascii="Times New Roman" w:hAnsi="Times New Roman"/>
          <w:sz w:val="20"/>
        </w:rPr>
        <w:t xml:space="preserve">RTW Holdings X, LLC and RA Capital Management each beneficially own more than 5% of a class of Serapha’s voting securities through their holdings of Serapha Common Stock and Serapha Series A Preferred Stock. RTW Holdings X, LLC and RA Capital Management each have two seats on the Serapha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certain institutional and accredited investors and Serapha entered into the Series A Financing Agreement, pursuant to which such persons invested in and purchased an aggregate of 30,668,708 shares of Serapha Series A Preferred Stock at a purchase price of $4.4997 per share for aggregate gross proceeds to Serapha of approximately $138.0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purchases of Serapha Series A Preferred Stock by related persons: </w:t>
      </w:r>
    </w:p>
    <w:p>
      <w:pPr>
        <w:pStyle w:val="TextBody"/>
        <w:bidi w:val="0"/>
        <w:spacing w:before="0" w:after="0"/>
        <w:jc w:val="left"/>
        <w:rPr/>
      </w:pPr>
      <w:r>
        <w:rPr/>
        <w:t> </w:t>
      </w:r>
    </w:p>
    <w:tbl>
      <w:tblPr>
        <w:tblW w:w="7724" w:type="dxa"/>
        <w:jc w:val="left"/>
        <w:tblInd w:w="0" w:type="dxa"/>
        <w:tblLayout w:type="fixed"/>
        <w:tblCellMar>
          <w:top w:w="0" w:type="dxa"/>
          <w:left w:w="0" w:type="dxa"/>
          <w:bottom w:w="0" w:type="dxa"/>
          <w:right w:w="0" w:type="dxa"/>
        </w:tblCellMar>
      </w:tblPr>
      <w:tblGrid>
        <w:gridCol w:w="3920"/>
        <w:gridCol w:w="120"/>
        <w:gridCol w:w="107"/>
        <w:gridCol w:w="1758"/>
        <w:gridCol w:w="60"/>
        <w:gridCol w:w="120"/>
        <w:gridCol w:w="142"/>
        <w:gridCol w:w="1422"/>
        <w:gridCol w:w="75"/>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Shares of Series A</w:t>
            </w:r>
            <w:r>
              <w:rPr/>
              <w:br/>
            </w:r>
            <w:r>
              <w:rPr>
                <w:b/>
              </w:rPr>
              <w:t>Preferred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Purchase</w:t>
              <w:br/>
              <w:t>Price</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8" w:type="dxa"/>
            <w:tcBorders/>
            <w:shd w:fill="CCEEFF" w:val="clear"/>
            <w:vAlign w:val="center"/>
          </w:tcPr>
          <w:p>
            <w:pPr>
              <w:pStyle w:val="TableContents"/>
              <w:bidi w:val="0"/>
              <w:spacing w:before="0" w:after="283"/>
              <w:jc w:val="right"/>
              <w:rPr/>
            </w:pPr>
            <w:r>
              <w:rPr/>
              <w:t>8,000,533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35,999,998.35</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RTW Holdings X, LLC</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758" w:type="dxa"/>
            <w:tcBorders/>
            <w:vAlign w:val="center"/>
          </w:tcPr>
          <w:p>
            <w:pPr>
              <w:pStyle w:val="TableContents"/>
              <w:bidi w:val="0"/>
              <w:spacing w:before="0" w:after="283"/>
              <w:jc w:val="right"/>
              <w:rPr/>
            </w:pPr>
            <w:r>
              <w:rPr/>
              <w:t>6,667,111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422" w:type="dxa"/>
            <w:tcBorders/>
            <w:vAlign w:val="center"/>
          </w:tcPr>
          <w:p>
            <w:pPr>
              <w:pStyle w:val="TableContents"/>
              <w:bidi w:val="0"/>
              <w:spacing w:before="0" w:after="283"/>
              <w:jc w:val="right"/>
              <w:rPr/>
            </w:pPr>
            <w:r>
              <w:rPr/>
              <w:t>29,999,999.37</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8" w:type="dxa"/>
            <w:tcBorders/>
            <w:shd w:fill="CCEEFF" w:val="clear"/>
            <w:vAlign w:val="center"/>
          </w:tcPr>
          <w:p>
            <w:pPr>
              <w:pStyle w:val="TableContents"/>
              <w:bidi w:val="0"/>
              <w:spacing w:before="0" w:after="283"/>
              <w:jc w:val="right"/>
              <w:rPr/>
            </w:pPr>
            <w:r>
              <w:rPr/>
              <w:t>3,333,555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14,999,997.45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Serapha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in connection with the execution of the Merger Agreement, Serapha entered into the Securities Purchase Agreement with certain investors to consummate the Serapha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Pursuant to the Securities Purchase Agreement, the investors agreed to purchase an estimated aggregate of 10,008,136 shares of Serapha Common Stock and 10,390,369 Serapha Pre-Funded Warrants, at an estimated price of $4.4997 per share of Serapha Common Stock and $4.49969 per Serapha Pre-Funded Warrant, for an aggregate purchase price of approximately $92.0 million.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212 of this proxy statement/prospectus. The closing of the Serapha Pre-Closing Financing is conditioned upon the satisfaction or waiver of the conditions to the Merger as well as certain other conditions. The investors in the Serapha Pre-Closing Financing or their affiliates are, or are expected to be as of immediately following the Serapha Pre-Closing Financing, beneficial holders of more than 5% of Serapha Capital Stock, and the table below sets forth the number of shares of Serapha Common Stock and Serapha Pre-Funded Warrants expected to be purchased by such holders at the closing of the Serapha Pre-Closing Financing (based on the purchase price per share or pre-funded warrant, as applicable). The share and dollar amounts in this section do not give effect to the Nasdaq Reverse Split or the Merger.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4745"/>
        <w:gridCol w:w="120"/>
        <w:gridCol w:w="60"/>
        <w:gridCol w:w="980"/>
        <w:gridCol w:w="60"/>
        <w:gridCol w:w="120"/>
        <w:gridCol w:w="79"/>
        <w:gridCol w:w="1291"/>
        <w:gridCol w:w="60"/>
        <w:gridCol w:w="120"/>
        <w:gridCol w:w="140"/>
        <w:gridCol w:w="1100"/>
        <w:gridCol w:w="75"/>
      </w:tblGrid>
      <w:tr>
        <w:trPr/>
        <w:tc>
          <w:tcPr>
            <w:tcW w:w="4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Serapha</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Serapha Pre-</w:t>
            </w:r>
            <w:r>
              <w:rPr/>
              <w:br/>
            </w:r>
            <w:r>
              <w:rPr>
                <w:b/>
              </w:rPr>
              <w:t>Funded</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1,016,974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4,316,714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24,000,000</w:t>
            </w:r>
          </w:p>
        </w:tc>
        <w:tc>
          <w:tcPr>
            <w:tcW w:w="7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RTW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846,626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3,598,114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20,000,000</w:t>
            </w:r>
          </w:p>
        </w:tc>
        <w:tc>
          <w:tcPr>
            <w:tcW w:w="7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 US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1,739,096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927,748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12,000,000</w:t>
            </w:r>
          </w:p>
        </w:tc>
        <w:tc>
          <w:tcPr>
            <w:tcW w:w="7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1,159,010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1,063,360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10,000,000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Serapha entered into the YolTech License Agreement, under which Serapha obtained worldwide rights, excluding Greater China, to develop, manufacture and commercialize SERP-01 and other SERPINA1-directed product candidates. The license covers YolTech’s patents and know-how that are necessary or reasonably useful for these activities. YolTech retains the rights in Greater China and continues to conduct the ongoing IIT being conducted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warrant to purchase shares of non-voting Serapha Series A-1 Preferred Stock representing a minority 19.9% of Serapha’s fully-diluted capitalization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YolTech is also eligible to receive up to approximately $167.0 million in certain development and regulatory milestone payments and up to approximately $1.88 billion in sales-based milestone payments, as well as tiered royalties of a percentage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developing competing SERPINA1-directed gene therapies, subject to customary acquisition-related exceptions. Serapha may terminate the agreement for convenience on prior notice, and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YolTech License Agreement does not purport to be complete and is qualified in its entirety by the full text of the YolTech License Agreement, a copy of which is filed as Exhibit 10.5 to the registration statement of which this proxy statement/prospectus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Serapha has entered into an indemnification agreement with each of its directors and officers and will purchase directors’ and officers’ liability insurance. The indemnification agreements require Serapha to indemnify its directors and officers to the fullest extent permitted under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Services </w:t>
      </w:r>
    </w:p>
    <w:p>
      <w:pPr>
        <w:pStyle w:val="TextBody"/>
        <w:bidi w:val="0"/>
        <w:spacing w:before="120" w:after="0"/>
        <w:jc w:val="left"/>
        <w:rPr>
          <w:rFonts w:ascii="Times New Roman" w:hAnsi="Times New Roman"/>
          <w:sz w:val="20"/>
        </w:rPr>
      </w:pPr>
      <w:r>
        <w:rPr>
          <w:rFonts w:ascii="Times New Roman" w:hAnsi="Times New Roman"/>
          <w:sz w:val="20"/>
        </w:rPr>
        <w:t xml:space="preserve">On June 15, 2026, Serapha engaged Danforth Advisors, an accounting and finance advisory company. Christina Allgeier, Serapha’s Interim Chief Financial Officer, serves as a Financial Services Consultant for Danforth Advisors. Through June 30, 2026, Serapha has paid approximately $7 thousand to Danforth Advisors in exchange for professional services related to accounting, finance and other administrative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Carnot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2, 2026, Serapha entered into a three-year Services Agreement with Carnot Pharma, LLC (“Carnot”), an entity controlled by RA Capital Management, L.P. Pursuant to the agreement, Carnot provides certain research and development and other services to Serapha in connection with its clinical trials. Serapha pays Carnot for services performed and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Through June 30, 2026, Serapha has paid $0.1 million to Carnot under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Serapha does not have a formal policy regarding approval of transactions with related parties. To date, all disclosable transactions with related parties have been approved by the directors not interested in such transactions pursuant to Section 144(a)(1) of the DGCL. Following the completion of the Merger, Serapha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9" w:name="tx108148_32"/>
      <w:bookmarkEnd w:id="69"/>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shall have the same meaning as terms defined and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Serapha entered into the Merger Agreement, as amended by Amendment No. 1 to the Merger Agreement on August 28, 2026, with Boundless Bio and Merger Sub pursuant to which, and subject to the satisfaction or waiver of the conditions set forth in the Merger Agreement, Merger Sub will merge with and into Serapha, with Serapha surviving as a wholly owned subsidiary of Boundless Bio and the surviving corporation of the Merger. The Merger is expected to close in the fourth quarter of 2026 following the effectiveness of this registration statement and receipt of approval by the stockholders of each of Serapha and Boundless Bio, in the latter case pursuant to the Boundless Bio Special Meeting. In connection with the Merger, Boundless Bio will change its name to “Serapha Bio, Inc.” Boundless Bio following the Merger is referred to herein as the “Combined Company.” The Combined Company will be led by Serapha’s management team and will focus on advancing SERP-01.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 each then-outstanding share of Serapha Capital Stock (including any shares of Serapha Common Stock issued in the Serapha Pre-Closing Financing), excluding any shares of Serapha Capital Stock held as treasury stock immediately prior to the Effective Time,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(ii)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then-outstanding Serapha RSU will be converted into and become a restricted stock unit award covering shares of Boundless Bio Common Stock on the existing terms and conditions (including with respect to vesting and accelerated vesting), subject to adjustment as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(iv) each then-outstanding Serapha Warrant, including each then-outstanding Serapha Pre-Funded Warrant, will be converted into an Assumed Warrant,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If any shares of Serapha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The Exchange Ratio is currently estimated to be approximately 8.6737 shares of Boundless Bio Common Stock for each share of Serapha Capital Stock on the Closing Date. This estimated Exchange Ratio does not give effect to the Nasdaq Reverse Split and is subject to adjustment based on the Boundless Bio Net Cash at the Closing as described in more detail in the section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xml:space="preserve">” beginning on page 192 of this proxy statement/prospectus. Under the Exchange Ratio formula, the former Serapha stockholders immediately before the Effective Time, including those purchasing shares of Serapha Common Stock and Serapha Pre-Funded Warrants in the Serapha Pre-Closing Financing, are estimated to own approximately 96.2% of the shares of capital stock of the Combined Company on a fully-diluted basis, and the stockholders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immediately before the Effective Time are estimated to own approximately 3.8% of the shares of capital stock of the Combined Company on a fully-diluted basis, which give effect to (a) the Boundless Bio Net Cash as of the Closing being approximately $0, after giving effect to the Boundless Bio Pre-Closing Dividend, (b) the completion of the Serapha Pre-Closing Financing for an aggregate purchase price of approximately $92.0 million, (c) a valuation for Boundless Bio equal to the Boundless Bio Net Cash as of the business day immediately prior to the Closing Date, plus $12.5 million, and (d) a valuation for Serapha equal to $211.7 million plus $92.0 million of assumed proceeds in the Serapha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together with the Serapha Pre-Closing Financing, is expected to be accounted for as a reverse recapitalization under U.S. GAAP. For further details related to the accounting for the Merger, please see Notes 1 and 3 below. All share amounts have been adjusted to reflect the estimated Exchange Ratio of 8.6737 shares of Boundless Bio Common Stock for each share of Serapha Capital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Boundless Bio and Serapha as of June 30, 2026 and depicts the accounting of the transactions prepared pursuant to Article 11 of Regulation S-X (the “pro forma balance sheet transaction accounting adjustments”). The unaudited pro forma condensed combined statements of operations for the six months ended June 30, 2026 for Boundless Bio and the period from April 2, 2026 (inception) to June 30, 2026 for Serapha and the unaudited pro forma condensed combined statements of operations for the year ended December 31, 2025 for Boundless Bio combine the historical results of Boundless Bio and Serapha for those periods and depict the pro forma transaction accounting adjustments assuming that those adjustments were made as of January 1, 2025 (the “pro forma statements of operations transaction accounting adjustments”).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This unaudited pro forma condensed combined financial information and the related notes have been derived from and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Serapha as of June 30, 2026 and for the period from April 2, 2026 (inception) to June 30, 2026,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financial statements of Boundless Bio as of June 30, 2026 and for the six months ended June 30, 2026,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Boundless Bio for the year ended December 31, 2025, and the related notes included elsewhere in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sections titled “</w:t>
            </w:r>
            <w:r>
              <w:rPr>
                <w:rFonts w:ascii="Times New Roman" w:hAnsi="Times New Roman"/>
                <w:i/>
                <w:sz w:val="20"/>
              </w:rPr>
              <w:t>Boundless Bio Management’s Discussion and Analysis of Financial Condition and Results of Operations</w:t>
            </w:r>
            <w:r>
              <w:rPr>
                <w:rFonts w:ascii="Times New Roman" w:hAnsi="Times New Roman"/>
                <w:sz w:val="20"/>
              </w:rPr>
              <w:t>,” “</w:t>
            </w:r>
            <w:r>
              <w:rPr>
                <w:rFonts w:ascii="Times New Roman" w:hAnsi="Times New Roman"/>
                <w:i/>
                <w:sz w:val="20"/>
              </w:rPr>
              <w:t>Serapha Management’s Discussion and Analysis of Financial Condition and Results of Operations</w:t>
            </w:r>
            <w:r>
              <w:rPr>
                <w:rFonts w:ascii="Times New Roman" w:hAnsi="Times New Roman"/>
                <w:sz w:val="20"/>
              </w:rPr>
              <w:t xml:space="preserve">,” and other financial information relating to Boundless Bio and Serapha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the Nasdaq Reverse Split. Adjustments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Boundless Bio and Serapha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Boundless Bio has discontinued its clinical program for BBI-940 and had previously discontinued development of its other clinical programs, BBI-355 and BBI-825, the future results will be different than historical results. Additionally, since Serapha obtained the SERP-01 license in mid-June 2026, future results will be materially different than the 2026 historical results as Serapha expects to initiate a U.S. Phase 2/3 clinical trial of SERP-01 in late 2026 or early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8"/>
        <w:gridCol w:w="120"/>
        <w:gridCol w:w="140"/>
        <w:gridCol w:w="875"/>
        <w:gridCol w:w="155"/>
        <w:gridCol w:w="60"/>
        <w:gridCol w:w="168"/>
        <w:gridCol w:w="1052"/>
        <w:gridCol w:w="155"/>
        <w:gridCol w:w="60"/>
        <w:gridCol w:w="166"/>
        <w:gridCol w:w="1039"/>
        <w:gridCol w:w="155"/>
        <w:gridCol w:w="60"/>
        <w:gridCol w:w="172"/>
        <w:gridCol w:w="403"/>
        <w:gridCol w:w="296"/>
        <w:gridCol w:w="60"/>
        <w:gridCol w:w="140"/>
        <w:gridCol w:w="879"/>
        <w:gridCol w:w="172"/>
      </w:tblGrid>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gridSpan w:val="6"/>
            <w:tcBorders/>
            <w:vAlign w:val="center"/>
          </w:tcPr>
          <w:p>
            <w:pPr>
              <w:pStyle w:val="TableContents"/>
              <w:bidi w:val="0"/>
              <w:spacing w:before="0" w:after="283"/>
              <w:jc w:val="center"/>
              <w:rPr/>
            </w:pPr>
            <w:r>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5(A)</w:t>
            </w:r>
          </w:p>
          <w:p>
            <w:pPr>
              <w:pStyle w:val="TableContents"/>
              <w:bidi w:val="0"/>
              <w:spacing w:before="0" w:after="20"/>
              <w:jc w:val="center"/>
              <w:rPr>
                <w:rFonts w:ascii="Times New Roman" w:hAnsi="Times New Roman"/>
                <w:sz w:val="16"/>
              </w:rPr>
            </w:pPr>
            <w:r>
              <w:rPr>
                <w:rFonts w:ascii="Times New Roman" w:hAnsi="Times New Roman"/>
                <w:sz w:val="16"/>
              </w:rPr>
              <w:t>Boundless</w:t>
              <w:br/>
              <w:t>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5(B)</w:t>
            </w:r>
          </w:p>
          <w:p>
            <w:pPr>
              <w:pStyle w:val="TableContents"/>
              <w:bidi w:val="0"/>
              <w:spacing w:before="0" w:after="20"/>
              <w:jc w:val="center"/>
              <w:rPr>
                <w:rFonts w:ascii="Times New Roman" w:hAnsi="Times New Roman"/>
                <w:sz w:val="16"/>
              </w:rPr>
            </w:pPr>
            <w:r>
              <w:rPr>
                <w:rFonts w:ascii="Times New Roman" w:hAnsi="Times New Roman"/>
                <w:sz w:val="16"/>
              </w:rPr>
              <w:t>Serapha 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Notes</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center"/>
              <w:rPr/>
            </w:pPr>
            <w:r>
              <w:rPr/>
              <w:t>Pro Forma</w:t>
              <w:br/>
              <w:t>Combined</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138,002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91,999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238,795</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(4,175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52,774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(i)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(46,000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Investment in marketable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(h)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4</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(h)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73,647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138,006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27,146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238,799</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Non-current prepaids and 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316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73,744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138,322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26,733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9" w:type="dxa"/>
            <w:tcBorders/>
            <w:vAlign w:val="center"/>
          </w:tcPr>
          <w:p>
            <w:pPr>
              <w:pStyle w:val="TableContents"/>
              <w:bidi w:val="0"/>
              <w:spacing w:before="0" w:after="283"/>
              <w:jc w:val="right"/>
              <w:rPr/>
            </w:pPr>
            <w:r>
              <w:rPr/>
              <w:t>238,799</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double" w:sz="6" w:space="1" w:color="000000"/>
              </w:pBdr>
              <w:bidi w:val="0"/>
              <w:spacing w:before="0" w:after="0"/>
              <w:jc w:val="left"/>
              <w:rPr/>
            </w:pPr>
            <w:r>
              <w:rPr/>
              <w:t> </w:t>
            </w:r>
          </w:p>
        </w:tc>
        <w:tc>
          <w:tcPr>
            <w:tcW w:w="105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03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9"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4,496</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(1,955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Accrued in-process 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85,000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85,000</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15</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86,772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(5,029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89,511</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Warrant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79,365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(79,365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166,137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(84,394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89,511</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Series A convertible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137,589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(137,589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Boundless Bio common stock, $0.0001 par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(k)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Serapha common stock, $0.00001 par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362,923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4,741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137,588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319,431</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91,998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79,365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(46,000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(307,009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(k)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(296,917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(170,146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(170,146</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(4,713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5</w:t>
            </w:r>
          </w:p>
        </w:tc>
        <w:tc>
          <w:tcPr>
            <w:tcW w:w="296"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306,979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5</w:t>
            </w:r>
          </w:p>
        </w:tc>
        <w:tc>
          <w:tcPr>
            <w:tcW w:w="296" w:type="dxa"/>
            <w:tcBorders/>
            <w:vAlign w:val="center"/>
          </w:tcPr>
          <w:p>
            <w:pPr>
              <w:pStyle w:val="TableContents"/>
              <w:bidi w:val="0"/>
              <w:spacing w:before="0" w:after="283"/>
              <w:jc w:val="left"/>
              <w:rPr/>
            </w:pPr>
            <w:r>
              <w:rPr/>
              <w:t>(k)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(165,404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248,716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149,288</w:t>
            </w:r>
          </w:p>
        </w:tc>
        <w:tc>
          <w:tcPr>
            <w:tcW w:w="172" w:type="dxa"/>
            <w:tcBorders/>
            <w:shd w:fill="CCEEFF" w:val="clear"/>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single" w:sz="2" w:space="1" w:color="000000"/>
              </w:pBdr>
              <w:bidi w:val="0"/>
              <w:spacing w:before="0" w:after="0"/>
              <w:jc w:val="left"/>
              <w:rPr/>
            </w:pPr>
            <w:r>
              <w:rPr/>
              <w:t> </w:t>
            </w:r>
          </w:p>
        </w:tc>
        <w:tc>
          <w:tcPr>
            <w:tcW w:w="10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9"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73,744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138,322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26,733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9" w:type="dxa"/>
            <w:tcBorders/>
            <w:vAlign w:val="center"/>
          </w:tcPr>
          <w:p>
            <w:pPr>
              <w:pStyle w:val="TableContents"/>
              <w:bidi w:val="0"/>
              <w:spacing w:before="0" w:after="283"/>
              <w:jc w:val="right"/>
              <w:rPr/>
            </w:pPr>
            <w:r>
              <w:rPr/>
              <w:t>238,799</w:t>
            </w:r>
          </w:p>
        </w:tc>
        <w:tc>
          <w:tcPr>
            <w:tcW w:w="172"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pBdr>
                <w:top w:val="double" w:sz="6" w:space="1" w:color="000000"/>
              </w:pBdr>
              <w:bidi w:val="0"/>
              <w:spacing w:before="0" w:after="0"/>
              <w:jc w:val="left"/>
              <w:rPr/>
            </w:pPr>
            <w:r>
              <w:rPr/>
              <w:t> </w:t>
            </w:r>
          </w:p>
        </w:tc>
        <w:tc>
          <w:tcPr>
            <w:tcW w:w="105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03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9"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7"/>
        <w:gridCol w:w="120"/>
        <w:gridCol w:w="140"/>
        <w:gridCol w:w="1100"/>
        <w:gridCol w:w="155"/>
        <w:gridCol w:w="60"/>
        <w:gridCol w:w="140"/>
        <w:gridCol w:w="875"/>
        <w:gridCol w:w="155"/>
        <w:gridCol w:w="60"/>
        <w:gridCol w:w="225"/>
        <w:gridCol w:w="980"/>
        <w:gridCol w:w="60"/>
        <w:gridCol w:w="120"/>
        <w:gridCol w:w="172"/>
        <w:gridCol w:w="403"/>
        <w:gridCol w:w="282"/>
        <w:gridCol w:w="60"/>
        <w:gridCol w:w="140"/>
        <w:gridCol w:w="1220"/>
        <w:gridCol w:w="171"/>
      </w:tblGrid>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5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0" w:type="dxa"/>
            <w:gridSpan w:val="6"/>
            <w:tcBorders/>
            <w:vAlign w:val="center"/>
          </w:tcPr>
          <w:p>
            <w:pPr>
              <w:pStyle w:val="TableContents"/>
              <w:bidi w:val="0"/>
              <w:spacing w:before="0" w:after="283"/>
              <w:jc w:val="center"/>
              <w:rPr/>
            </w:pPr>
            <w:r>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6(A)</w:t>
            </w:r>
          </w:p>
          <w:p>
            <w:pPr>
              <w:pStyle w:val="TableContents"/>
              <w:bidi w:val="0"/>
              <w:spacing w:before="0" w:after="20"/>
              <w:jc w:val="center"/>
              <w:rPr>
                <w:rFonts w:ascii="Times New Roman" w:hAnsi="Times New Roman"/>
                <w:sz w:val="16"/>
              </w:rPr>
            </w:pPr>
            <w:r>
              <w:rPr>
                <w:rFonts w:ascii="Times New Roman" w:hAnsi="Times New Roman"/>
                <w:sz w:val="16"/>
              </w:rPr>
              <w:t>Boundless Bio,</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6(B)</w:t>
            </w:r>
          </w:p>
          <w:p>
            <w:pPr>
              <w:pStyle w:val="TableContents"/>
              <w:bidi w:val="0"/>
              <w:spacing w:before="0" w:after="20"/>
              <w:jc w:val="center"/>
              <w:rPr>
                <w:rFonts w:ascii="Times New Roman" w:hAnsi="Times New Roman"/>
                <w:sz w:val="16"/>
              </w:rPr>
            </w:pPr>
            <w:r>
              <w:rPr>
                <w:rFonts w:ascii="Times New Roman" w:hAnsi="Times New Roman"/>
                <w:sz w:val="16"/>
              </w:rPr>
              <w:t>Serapha</w:t>
              <w:br/>
              <w:t>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Transaction</w:t>
              <w:br/>
              <w:t>Accounting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Notes</w:t>
            </w:r>
          </w:p>
        </w:tc>
        <w:tc>
          <w:tcPr>
            <w:tcW w:w="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Pro Forma</w:t>
              <w:br/>
              <w:t>Combined</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23,974</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164,617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164,617</w:t>
            </w:r>
          </w:p>
        </w:tc>
        <w:tc>
          <w:tcPr>
            <w:tcW w:w="171" w:type="dxa"/>
            <w:tcBorders/>
            <w:shd w:fill="CCEEFF" w:val="clear"/>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20,414</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170,146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209,005</w:t>
            </w:r>
          </w:p>
        </w:tc>
        <w:tc>
          <w:tcPr>
            <w:tcW w:w="171" w:type="dxa"/>
            <w:tcBorders/>
            <w:shd w:fill="CCEEFF" w:val="clear"/>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(170,146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(209,005</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1,611</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1,611</w:t>
            </w:r>
          </w:p>
        </w:tc>
        <w:tc>
          <w:tcPr>
            <w:tcW w:w="171" w:type="dxa"/>
            <w:tcBorders/>
            <w:shd w:fill="CCEEFF" w:val="clear"/>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(170,146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(207,394</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22,428,501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6</w:t>
            </w:r>
          </w:p>
        </w:tc>
        <w:tc>
          <w:tcPr>
            <w:tcW w:w="282"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666,430,932</w:t>
            </w:r>
          </w:p>
        </w:tc>
        <w:tc>
          <w:tcPr>
            <w:tcW w:w="171" w:type="dxa"/>
            <w:tcBorders/>
            <w:shd w:fill="CCEEFF" w:val="clear"/>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(0.31</w:t>
            </w:r>
          </w:p>
        </w:tc>
        <w:tc>
          <w:tcPr>
            <w:tcW w:w="171" w:type="dxa"/>
            <w:tcBorders/>
            <w:vAlign w:val="center"/>
          </w:tcPr>
          <w:p>
            <w:pPr>
              <w:pStyle w:val="TableContents"/>
              <w:bidi w:val="0"/>
              <w:spacing w:before="0" w:after="283"/>
              <w:jc w:val="left"/>
              <w:rPr/>
            </w:pPr>
            <w:r>
              <w:rPr/>
              <w:t>) </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0"/>
        <w:gridCol w:w="120"/>
        <w:gridCol w:w="140"/>
        <w:gridCol w:w="1100"/>
        <w:gridCol w:w="155"/>
        <w:gridCol w:w="60"/>
        <w:gridCol w:w="584"/>
        <w:gridCol w:w="1086"/>
        <w:gridCol w:w="60"/>
        <w:gridCol w:w="120"/>
        <w:gridCol w:w="217"/>
        <w:gridCol w:w="988"/>
        <w:gridCol w:w="155"/>
        <w:gridCol w:w="60"/>
        <w:gridCol w:w="172"/>
        <w:gridCol w:w="403"/>
        <w:gridCol w:w="264"/>
        <w:gridCol w:w="60"/>
        <w:gridCol w:w="140"/>
        <w:gridCol w:w="1220"/>
        <w:gridCol w:w="171"/>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gridSpan w:val="6"/>
            <w:tcBorders/>
            <w:vAlign w:val="center"/>
          </w:tcPr>
          <w:p>
            <w:pPr>
              <w:pStyle w:val="TableContents"/>
              <w:bidi w:val="0"/>
              <w:spacing w:before="0" w:after="283"/>
              <w:jc w:val="center"/>
              <w:rPr/>
            </w:pPr>
            <w:r>
              <w:rPr/>
              <w:t>Historical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6(C)</w:t>
            </w:r>
          </w:p>
          <w:p>
            <w:pPr>
              <w:pStyle w:val="TableContents"/>
              <w:bidi w:val="0"/>
              <w:spacing w:before="0" w:after="20"/>
              <w:jc w:val="center"/>
              <w:rPr>
                <w:rFonts w:ascii="Times New Roman" w:hAnsi="Times New Roman"/>
                <w:sz w:val="16"/>
              </w:rPr>
            </w:pPr>
            <w:r>
              <w:rPr>
                <w:rFonts w:ascii="Times New Roman" w:hAnsi="Times New Roman"/>
                <w:sz w:val="16"/>
              </w:rPr>
              <w:t>Boundless Bio,</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pPr>
            <w:r>
              <w:rPr/>
              <w:t>Serapha Bio, Inc.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Notes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Pro Forma</w:t>
              <w:br/>
              <w:t>Combined</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44,845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1,198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6</w:t>
            </w:r>
          </w:p>
        </w:tc>
        <w:tc>
          <w:tcPr>
            <w:tcW w:w="264"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46,058</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6</w:t>
            </w:r>
          </w:p>
        </w:tc>
        <w:tc>
          <w:tcPr>
            <w:tcW w:w="264"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6</w:t>
            </w:r>
          </w:p>
        </w:tc>
        <w:tc>
          <w:tcPr>
            <w:tcW w:w="264"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23,720</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742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6</w:t>
            </w:r>
          </w:p>
        </w:tc>
        <w:tc>
          <w:tcPr>
            <w:tcW w:w="264"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756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6</w:t>
            </w:r>
          </w:p>
        </w:tc>
        <w:tc>
          <w:tcPr>
            <w:tcW w:w="264"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pBdr>
                <w:top w:val="single" w:sz="2" w:space="1" w:color="000000"/>
              </w:pBdr>
              <w:bidi w:val="0"/>
              <w:spacing w:before="0" w:after="0"/>
              <w:jc w:val="left"/>
              <w:rPr/>
            </w:pPr>
            <w:r>
              <w:rPr/>
              <w:t> </w:t>
            </w:r>
          </w:p>
        </w:tc>
        <w:tc>
          <w:tcPr>
            <w:tcW w:w="10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6,226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69,778</w:t>
            </w:r>
          </w:p>
        </w:tc>
        <w:tc>
          <w:tcPr>
            <w:tcW w:w="171"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pBdr>
                <w:top w:val="single" w:sz="2" w:space="1" w:color="000000"/>
              </w:pBdr>
              <w:bidi w:val="0"/>
              <w:spacing w:before="0" w:after="0"/>
              <w:jc w:val="left"/>
              <w:rPr/>
            </w:pPr>
            <w:r>
              <w:rPr/>
              <w:t> </w:t>
            </w:r>
          </w:p>
        </w:tc>
        <w:tc>
          <w:tcPr>
            <w:tcW w:w="10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(6,226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(69,778</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5,355</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pBdr>
                <w:top w:val="single" w:sz="2" w:space="1" w:color="000000"/>
              </w:pBdr>
              <w:bidi w:val="0"/>
              <w:spacing w:before="0" w:after="0"/>
              <w:jc w:val="left"/>
              <w:rPr/>
            </w:pPr>
            <w:r>
              <w:rPr/>
              <w:t> </w:t>
            </w:r>
          </w:p>
        </w:tc>
        <w:tc>
          <w:tcPr>
            <w:tcW w:w="10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5,355</w:t>
            </w:r>
          </w:p>
        </w:tc>
        <w:tc>
          <w:tcPr>
            <w:tcW w:w="171"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pBdr>
                <w:top w:val="single" w:sz="2" w:space="1" w:color="000000"/>
              </w:pBdr>
              <w:bidi w:val="0"/>
              <w:spacing w:before="0" w:after="0"/>
              <w:jc w:val="left"/>
              <w:rPr/>
            </w:pPr>
            <w:r>
              <w:rPr/>
              <w:t> </w:t>
            </w:r>
          </w:p>
        </w:tc>
        <w:tc>
          <w:tcPr>
            <w:tcW w:w="10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(6,226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(64,423</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pBdr>
                <w:top w:val="double" w:sz="6" w:space="1" w:color="000000"/>
              </w:pBdr>
              <w:bidi w:val="0"/>
              <w:spacing w:before="0" w:after="0"/>
              <w:jc w:val="left"/>
              <w:rPr/>
            </w:pPr>
            <w:r>
              <w:rPr/>
              <w:t> </w:t>
            </w:r>
          </w:p>
        </w:tc>
        <w:tc>
          <w:tcPr>
            <w:tcW w:w="108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22,360,371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6</w:t>
            </w:r>
          </w:p>
        </w:tc>
        <w:tc>
          <w:tcPr>
            <w:tcW w:w="264"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666,362,802</w:t>
            </w:r>
          </w:p>
        </w:tc>
        <w:tc>
          <w:tcPr>
            <w:tcW w:w="171"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(0.10</w:t>
            </w:r>
          </w:p>
        </w:tc>
        <w:tc>
          <w:tcPr>
            <w:tcW w:w="171"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to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0" w:name="tx108148_33"/>
      <w:bookmarkEnd w:id="70"/>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Serapha entered into the Merger Agreement with Boundless Bio and Merger Sub pursuant to which, and subject to the satisfaction or waiver of the conditions set forth in the Merger Agreement, Merger Sub will merge with and into Serapha, with Serapha surviving as a wholly owned subsidiary of Boundless Bio and the surviving corporation of the Merger. In connection with the Merger, Boundless Bio will change its name to “Serapha Bio, Inc.” Subject to the terms and conditions of the Merger Agreement, at the closing of the Merger (the “Closing”): </w:t>
      </w:r>
    </w:p>
    <w:p>
      <w:pPr>
        <w:pStyle w:val="TextBody"/>
        <w:bidi w:val="0"/>
        <w:spacing w:before="240" w:after="0"/>
        <w:jc w:val="left"/>
        <w:rPr>
          <w:rFonts w:ascii="Times New Roman" w:hAnsi="Times New Roman"/>
          <w:sz w:val="20"/>
        </w:rPr>
      </w:pPr>
      <w:r>
        <w:rPr>
          <w:rFonts w:ascii="Times New Roman" w:hAnsi="Times New Roman"/>
          <w:sz w:val="20"/>
        </w:rPr>
        <w:t xml:space="preserve">a) Each then-outstanding share of Serapha Common Stock (including any shares of Serapha Common Stock issued in the Serapha Pre-Closing Financing)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Each then-outstanding share of Serapha Preferred Stock will be converted into the right to receive a number of shares of Boundless Bio Common Stock equal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c) Each then-outstanding Serapha Option will be converted into and become an option to purchase shares of Boundless Bio Common Stock on the existing terms and conditions (including with respect to vesting and accelerated vesting),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then-outstanding Serapha RSU will be converted into and become an Assumed RSU on the existing terms and conditions (including with respect to vesting and accelerated vesting), subject to adjustment as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e) Each then-outstanding Serapha Warrant (including each then-outstanding Serapha Pre-Funded Warrant) will be converted into an Assumed Warrant,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If the aggregate number of shares of Boundless Bio Common Stock that would otherwise be issued to a holder of Serapha Capital Stock at the Effective Time would exceed such holder’s Beneficial Ownership Limitation, Boundless Bio will issue to such holder shares of Boundless Bio 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the Nasdaq Reverse Split, will be unaffected by the Merger. Concurrently with the signing of the Merger Agreement, all Boundless Bio options became fully vested and exercisable. Each Boundless Bio Option outstanding immediately prior to the Effective Time with an exercise price per share greater than $8.00 will be canceled for no consideration. Each other Boundless Bio Option will remain outstanding and exercisable in accordance with its terms (taking into account any equitable adjustment made to reflect the Boundless Bio Pre-Closing Dividend).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Boundless Bio securityholders as of immediately prior to the Merger are expected to own approximately 3.8% of the outstanding capital stock of the Combined Company on a fully-diluted basis and former Serapha securityholders, including those purchasing shares of Serapha Common Stock and Serapha Pre-Funded Warrants in the Serapha Pre-Closing Financing, are estimated to own approximately 96.2% of the outstanding shares of capital stock of the Combined Company on a fully-diluted basis. Serapha securityholders are expected to receive approximately 713,416,650 shares on a fully diluted basis. This estimate is subject to certain inputs, which include, but are not limited to, (a) the Boundless Bio Net Cash as of the Closing being approximately $0, after giving effect to the Boundless Bio Pre-Closing Dividend, (b)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completion of the Serapha Pre-Closing Financing for an aggregate purchase price of approximately $92.0 million, (c) a valuation for Boundless Bio equal to the Boundless Bio Net Cash as of the business day immediately prior to the Closing Date, plus $12.5 million, and (d) a valuation for Serapha equal to $211.7 million plus $92.0 million of assumed proceeds in the Serapha Pre-Closing Financing, in each case as further described in the Merger Agreement. The following table summarizes the fully diluted pro forma number of shares of common stock of the Combined Company outstanding following the consummation of the transactions: </w:t>
      </w:r>
    </w:p>
    <w:p>
      <w:pPr>
        <w:pStyle w:val="TextBody"/>
        <w:bidi w:val="0"/>
        <w:spacing w:before="0" w:after="0"/>
        <w:jc w:val="left"/>
        <w:rPr/>
      </w:pPr>
      <w:r>
        <w:rPr/>
        <w:t> </w:t>
      </w:r>
    </w:p>
    <w:tbl>
      <w:tblPr>
        <w:tblW w:w="9064" w:type="dxa"/>
        <w:jc w:val="left"/>
        <w:tblInd w:w="0" w:type="dxa"/>
        <w:tblLayout w:type="fixed"/>
        <w:tblCellMar>
          <w:top w:w="0" w:type="dxa"/>
          <w:left w:w="0" w:type="dxa"/>
          <w:bottom w:w="0" w:type="dxa"/>
          <w:right w:w="0" w:type="dxa"/>
        </w:tblCellMar>
      </w:tblPr>
      <w:tblGrid>
        <w:gridCol w:w="5990"/>
        <w:gridCol w:w="120"/>
        <w:gridCol w:w="66"/>
        <w:gridCol w:w="1348"/>
        <w:gridCol w:w="60"/>
        <w:gridCol w:w="120"/>
        <w:gridCol w:w="103"/>
        <w:gridCol w:w="967"/>
        <w:gridCol w:w="290"/>
      </w:tblGrid>
      <w:tr>
        <w:trPr/>
        <w:tc>
          <w:tcPr>
            <w:tcW w:w="5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Equity Capitalization Summary Upon Consummation of the Merger</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w:t>
              <w:br/>
              <w:t>Ownership</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Serapha securityholders, including the Serapha Pre-Closing Financing (1)</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713,416,650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96.2</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Boundless Bio securityholders</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28,244,321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3.8</w:t>
            </w:r>
          </w:p>
        </w:tc>
        <w:tc>
          <w:tcPr>
            <w:tcW w:w="29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single" w:sz="2" w:space="1" w:color="000000"/>
              </w:pBdr>
              <w:bidi w:val="0"/>
              <w:spacing w:before="0" w:after="0"/>
              <w:jc w:val="left"/>
              <w:rPr/>
            </w:pPr>
            <w:r>
              <w:rPr/>
              <w:t> </w:t>
            </w:r>
          </w:p>
        </w:tc>
        <w:tc>
          <w:tcPr>
            <w:tcW w:w="134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pBdr>
                <w:top w:val="single" w:sz="2" w:space="1" w:color="000000"/>
              </w:pBdr>
              <w:bidi w:val="0"/>
              <w:spacing w:before="0" w:after="0"/>
              <w:jc w:val="left"/>
              <w:rPr/>
            </w:pPr>
            <w:r>
              <w:rPr/>
              <w:t> </w:t>
            </w:r>
          </w:p>
        </w:tc>
        <w:tc>
          <w:tcPr>
            <w:tcW w:w="967"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 stock of the Combined Company</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741,660,971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double" w:sz="6" w:space="1" w:color="000000"/>
              </w:pBdr>
              <w:bidi w:val="0"/>
              <w:spacing w:before="0" w:after="0"/>
              <w:jc w:val="left"/>
              <w:rPr/>
            </w:pPr>
            <w:r>
              <w:rPr/>
              <w:t> </w:t>
            </w:r>
          </w:p>
        </w:tc>
        <w:tc>
          <w:tcPr>
            <w:tcW w:w="134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pBdr>
                <w:top w:val="double" w:sz="6" w:space="1" w:color="000000"/>
              </w:pBdr>
              <w:bidi w:val="0"/>
              <w:spacing w:before="0" w:after="0"/>
              <w:jc w:val="left"/>
              <w:rPr/>
            </w:pPr>
            <w:r>
              <w:rPr/>
              <w:t> </w:t>
            </w:r>
          </w:p>
        </w:tc>
        <w:tc>
          <w:tcPr>
            <w:tcW w:w="967"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266,444,856 Assumed Warrants expected to be issued in exchange for shares of Serapha Common Stock, shares of Serapha Preferred Stock and Serapha Pre-Funded Warrants, including those issued in the Serapha Pre-Closing Financing, 148,934,995 Assumed Warrants, 68,220,147 restricted stock units and options and 1,194,073 shares of restricted common stock after reflecting the estimated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Boundless Bio stockholders of the issuance of Boundless Bio Common Stock, including shares of Boundless Bio Common Stock issuable upon exercise of Assumed Warrants, (2) approval by the requisite Serapha stockholders of the adoption and approval of the Merger Agreement and the transaction contemplated thereby, (3) Nasdaq’s approval of the listing of the shares of Boundless Bio Common Stock to be issued in connection with the Merger and (4) the effectiveness of a registration statement of which this proxy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for Boundless Bio executives include entitlement to bonus, severance and change in control payments, and in addition to any retention payments, will be treated as pre-Merger compensation expense of Boundless Bio and will be reflected as a decrease in cash of Boundless Bio. During 2026, Boundless Bio’s office lease was terminated and a short-term lease was put into place. As of the Closing, Boundless Bio also expects to have substantially concluded its research and development activities. Boundless Bio has terminated its clinical trial activity and is in the process of concluding its research and development programs and any such in-process research and development assets are expected to be de minimis at the closing of the Merger. Additionally, Boundless Bio’s current Directors &amp; Officers (“D&amp;O”) policy will be fully utilized at the Closing. </w:t>
      </w:r>
    </w:p>
    <w:p>
      <w:pPr>
        <w:pStyle w:val="TextBody"/>
        <w:bidi w:val="0"/>
        <w:spacing w:before="360" w:after="0"/>
        <w:jc w:val="left"/>
        <w:rPr>
          <w:rFonts w:ascii="Times New Roman" w:hAnsi="Times New Roman"/>
          <w:i/>
          <w:sz w:val="20"/>
        </w:rPr>
      </w:pPr>
      <w:r>
        <w:rPr>
          <w:rFonts w:ascii="Times New Roman" w:hAnsi="Times New Roman"/>
          <w:i/>
          <w:sz w:val="20"/>
        </w:rPr>
        <w:t xml:space="preserve">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Serapha investors entered into the Securities Purchase Agreement with Serapha to purchase, prior to the consummation of the Merger, approximately 10,086,651 shares of Serapha Common Stock and 10,359,153 Serapha Pre-Funded Warrants before giving effect to the Exchange Ratio, at an estimated purchase price of $4.4997 per share and $4.49969 per pre-funded warrant, for an aggregate purchase price of approximately $92.0 million. Shares of Serapha Common Stock and Serapha Pre-Funded Warrants issued pursuant to the Securities Purchase Agreement will be converted into shares of Boundless Bio Common Stock and Assumed Warrants at Closing in accordance with the Exchange Ratio and per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SEC Regulation S-X, as amended. The adjustments presented in the unaudited pro forma condensed combined financial information have been identified and presented to provide relevant information necessary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understanding of the Combined Company upon consummation of the Merger. The unaudited pro forma condensed combined statement of operations data for the six months ended June 30, 2026 and the unaudited pro forma condensed combined statement of operations data for the year ended December 31, 2025 give effect to the Merger as if it had been consummated on January 1, 2025. The unaudited pro forma condensed combined balance sheet as of June 30, 2026 gives effect to the Merger and combines the historical balance sheets of Boundless Bio and Serapha as if the Merger had been consummated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the Boundless Bio Net Cash to be assumed at the Closing Date, and (iii) other changes in Boundless Bio’s assets and liabilities, which are expected to be completed after the Closing,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future periods or the result that actually would have been realized had Boundless Bio and Serapha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Boundless Bio has discontinued its clinical program for BBI-940 and had previously discontinued development of its other clinical programs, BBI-355 and BBI-825, the future results will be different than historical results. Additionally, since Serapha obtained the SERP-01 license in mid-June 2026, future results will be materially different than the 2026 historical results as Serapha expects to initiate a U.S. Phase 2/3 clinical trial of SERP-01 in late 2026 or early 2027.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will be accounted for under U.S. GAAP as an in-substance reverse recapitalization of Boundless Bio by Serapha, as the transaction is, in essence, the issuance of equity for Boundless Bio’s net assets, which will primarily consist of prepaids and other current assets. Under this method of accounting, Serapha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is not a variable interest entity as it has sufficient equity at risk in order to fund its next development milestones;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stockholders will own a substantial majority of the voting rights in the Combined Company;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Serapha’s largest stockholder will retain the largest interest in the Combined Company;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Serapha will designate the initial members of the board of directors of the Combined Company;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members of Serapha’s executive management team will become the management of the Combined Company; and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“Serapha Bio,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Boundless Bio has terminated its clinical trial activity and is in the process of concluding its research and development programs. As such, Boundless Bio concluded that any in-process research and development assets at the closing of the Merger would be de minimis. Accordingly, upon the closing of the Merger, Boundless Bio is expected to have no or nominal operations for accounting purposes and the Merger is expected to be treated as the equivalent of Serapha issuing stock to acquire the net assets of Boundless Bio. As a result of Serapha being the accounting acquirer, Serapha’s assets and liabilities will be recorded at their pre-combination carrying amounts. Boundless Bio’s assets and liabilities will be measured and recognized at their fair values as of the Effective Time, which are expected to approximate the carrying value of the acquired prepaid and other current assets, with no goodwill or other intangible assets recorded. Any difference between the consideration and the fair value of the net assets of Boundless Bio acquired will be reflected as an adjustment to additional paid-in capital. For periods prior to Closing, the historical financial statements of Serapha shall become the historical financial statements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Boundless Bio Common Stock and Warrants Issued to Serapha Stockholders upon the Closing.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all outstanding shares of Serapha Common Stock, on a fully-diluted basis, will be exchanged for shares of Boundless Bio Common Stock, Boundless Bio Pre-Funded Warrants and/or Assumed Warrants, as applicable, based on the preliminary estimated Exchange Ratio of 8.6737, determined in accordance with the terms of the Merger Agreement,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outstanding as of June 30, 2026(1)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issuable upon conversion of Serapha Series A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30,668,708</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issuable upon exercise of Serapha Warrants(2)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17,170,872</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Serapha Common Stock issuable upon exercise of Serapha restricted stock units and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7,865,172</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Serapha Common Stock to be issued in connection with the Serapha Pre-Closing Financing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10,086,651</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Serapha Common Stock to be issued upon exercise of Serapha Pre-Funded Warrants to be issued in connection with the Serapha Pre-Closing Financing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10,359,153</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Serapha fully-diluted shares prior to the Closing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82,250,556</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8.6737</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fully-diluted shares issued to Serapha securityholders and investors participating in the Serapha Pre-Closing Financing (3)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713,416,650</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Includes 137,666 shares of unvested restricted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(2) Represents the outstanding YolTech Warrant, including warrants issued for the anti-dilution provision at the time of the Serapha Pre-Closing Financing, to acquire Serapha Series A-1 Preferred Stock. Such Serapha Warrants will become exercisable for shares of Boundless Bio Common Stock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(3) Represents the total estimated fully diluted shares to be issued to Serapha securityholders at the Closing based on the preliminary estimated Exchange Ratio of 8.6737. </w:t>
      </w:r>
    </w:p>
    <w:p>
      <w:pPr>
        <w:pStyle w:val="TextBody"/>
        <w:bidi w:val="0"/>
        <w:spacing w:before="360" w:after="0"/>
        <w:jc w:val="left"/>
        <w:rPr>
          <w:rFonts w:ascii="Times New Roman" w:hAnsi="Times New Roman"/>
          <w:b/>
          <w:sz w:val="20"/>
        </w:rPr>
      </w:pPr>
      <w:r>
        <w:rPr>
          <w:rFonts w:ascii="Times New Roman" w:hAnsi="Times New Roman"/>
          <w:b/>
          <w:sz w:val="20"/>
        </w:rPr>
        <w:t xml:space="preserve">5. Adjustments to Unaudited Pro Forma Condensed Combined Balance Sheet as of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Boundless Bio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audited balance sheet of Serapha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the exchange of all outstanding shares of Serapha Series A Preferred Stock, with a carrying amount of $137.6 million, into 30,668,708 shares of Serapha Common Stock, prior to giving effect to the Exchange Ratio. The conversion and adjustment to the additional paid-in capital upon close of the Merger are determined as follows (in thousands): </w:t>
      </w:r>
    </w:p>
    <w:p>
      <w:pPr>
        <w:pStyle w:val="TextBody"/>
        <w:bidi w:val="0"/>
        <w:spacing w:before="0" w:after="0"/>
        <w:jc w:val="left"/>
        <w:rPr/>
      </w:pPr>
      <w:r>
        <w:rPr/>
        <w:t> </w:t>
      </w:r>
    </w:p>
    <w:tbl>
      <w:tblPr>
        <w:tblW w:w="8790" w:type="dxa"/>
        <w:jc w:val="left"/>
        <w:tblInd w:w="0" w:type="dxa"/>
        <w:tblLayout w:type="fixed"/>
        <w:tblCellMar>
          <w:top w:w="0" w:type="dxa"/>
          <w:left w:w="0" w:type="dxa"/>
          <w:bottom w:w="0" w:type="dxa"/>
          <w:right w:w="0" w:type="dxa"/>
        </w:tblCellMar>
      </w:tblPr>
      <w:tblGrid>
        <w:gridCol w:w="7655"/>
        <w:gridCol w:w="120"/>
        <w:gridCol w:w="140"/>
        <w:gridCol w:w="800"/>
        <w:gridCol w:w="75"/>
      </w:tblGrid>
      <w:tr>
        <w:trPr/>
        <w:tc>
          <w:tcPr>
            <w:tcW w:w="7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Carrying value of the Serapha Series A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137,589</w:t>
            </w:r>
          </w:p>
        </w:tc>
        <w:tc>
          <w:tcPr>
            <w:tcW w:w="75" w:type="dxa"/>
            <w:tcBorders/>
            <w:shd w:fill="CCEEFF" w:val="clear"/>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Serapha Common Stock at par value upon the Closing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 related to the issuance of Serapha Common Stock upon the Closing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137,588</w:t>
            </w:r>
          </w:p>
        </w:tc>
        <w:tc>
          <w:tcPr>
            <w:tcW w:w="75" w:type="dxa"/>
            <w:tcBorders/>
            <w:shd w:fill="CCEEFF" w:val="clear"/>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5(b) To reflect the issuance of 10,086,651 shares of Serapha Common Stock and 10,359,153 Serapha Pre-Funded Warrants, prior to giving effect to the Exchange Ratio, pursuant to the Serapha Pre-Closing Financing entered into concurrently with the execution of the Merger Agreement, for an aggregate purchase price of $92.0 million. The net cash proceeds received prior to direct transaction costs from the Serapha Pre-Closing Financing and corresponding adjustment to the additional paid-in capital upon close of the Merger are determined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90"/>
        <w:gridCol w:w="120"/>
        <w:gridCol w:w="140"/>
        <w:gridCol w:w="680"/>
        <w:gridCol w:w="75"/>
      </w:tblGrid>
      <w:tr>
        <w:trPr/>
        <w:tc>
          <w:tcPr>
            <w:tcW w:w="9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received prior to direct and incremental transaction costs from the Serapha Pre-Closing Financing upon the Closing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91,999</w:t>
            </w:r>
          </w:p>
        </w:tc>
        <w:tc>
          <w:tcPr>
            <w:tcW w:w="75" w:type="dxa"/>
            <w:tcBorders/>
            <w:shd w:fill="CCEEFF" w:val="clear"/>
            <w:vAlign w:val="center"/>
          </w:tcPr>
          <w:p>
            <w:pPr>
              <w:pStyle w:val="TableContents"/>
              <w:bidi w:val="0"/>
              <w:spacing w:before="0" w:after="283"/>
              <w:jc w:val="left"/>
              <w:rPr/>
            </w:pPr>
            <w:r>
              <w:rPr/>
              <w:t> </w:t>
            </w:r>
          </w:p>
        </w:tc>
      </w:tr>
      <w:tr>
        <w:trPr/>
        <w:tc>
          <w:tcPr>
            <w:tcW w:w="9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Serapha Common Stock and Serapha Pre-Funded Warrants at par value upon the Closing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9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 related to the issuance of Serapha Common Stock and Serapha Pre-Funded Warrants upon the Closing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91,998</w:t>
            </w:r>
          </w:p>
        </w:tc>
        <w:tc>
          <w:tcPr>
            <w:tcW w:w="75" w:type="dxa"/>
            <w:tcBorders/>
            <w:shd w:fill="CCEEFF" w:val="clear"/>
            <w:vAlign w:val="center"/>
          </w:tcPr>
          <w:p>
            <w:pPr>
              <w:pStyle w:val="TableContents"/>
              <w:bidi w:val="0"/>
              <w:spacing w:before="0" w:after="283"/>
              <w:jc w:val="left"/>
              <w:rPr/>
            </w:pPr>
            <w:r>
              <w:rPr/>
              <w:t> </w:t>
            </w:r>
          </w:p>
        </w:tc>
      </w:tr>
      <w:tr>
        <w:trPr/>
        <w:tc>
          <w:tcPr>
            <w:tcW w:w="9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5(c) To reflect preliminary estimated transaction costs of $3.8 million, not yet reflected in the historical financial statements, that are expected to be incurred by Serapha in connection with the Merger, and $0.3 million reflected in the historical financial statements as deferred transaction costs, such as advisory, legal and auditor fees, as a reduction in cash, a reduction in other assets and a reduction in accounts payable in the unaudited pro forma condensed combined balance sheet. As the Merger will be accounted for as a reverse recapitalization equivalent to the issuance of equity for the net assets, primarily prepaid assets, of Boundless Bio,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the mark to market of Serapha’s warrant liability of $79.4 million and reclass to additional paid-in capital as of the Merger since the warrants will be exercisable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5(e) To reflect preliminary estimated transaction costs of $5.8 million, of which $3.8 million is not yet reflected in the historical financial statements, which are expected to be incurred by Boundless Bio in connection with the Merger, such as advisory, legal and auditor fees and including the estimated $0.9 million D&amp;O tail policy, as a reduction in cash of $5.8 million, a reduction of accrued expenses of $2.0 million and an increase in accumulated deficit of $3.8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reflect preliminary estimated incremental compensation expenses of $4.7 million related to severance and other separation benefits in connection with the termination of substantially all of Boundless Bio’s workforce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members of its executive management. The pro forma adjustment is reflected as a decrease in cash of $7.5 million, a reduction of accrued compensation of $2.8 million and an increase in accumulated deficit of $4.7 million.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$0.7 million of Boundless Bio’s prepaid expenses, including non-current prepaid expenses, consisting of prepaid insurance primarily related to the current D&amp;O policy of Boundless Bio that will be fully utilized at the Closing and $0.1 million of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5(h) To reflect the liquidation of Boundless Bio’s short-term investments of $52.8 million, including interest receivable of $0.4 million into cash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one-time lease termination expense of $0.8 million for the Boundless Bio facility lease prior to the Closing, comprising base rent of $0.5 million and estimated common area maintenance charges of $0.3 million, net of the security deposit. </w:t>
      </w:r>
    </w:p>
    <w:p>
      <w:pPr>
        <w:pStyle w:val="TextBody"/>
        <w:bidi w:val="0"/>
        <w:spacing w:before="240" w:after="0"/>
        <w:jc w:val="left"/>
        <w:rPr>
          <w:rFonts w:ascii="Times New Roman" w:hAnsi="Times New Roman"/>
          <w:sz w:val="20"/>
        </w:rPr>
      </w:pPr>
      <w:r>
        <w:rPr>
          <w:rFonts w:ascii="Times New Roman" w:hAnsi="Times New Roman"/>
          <w:sz w:val="20"/>
        </w:rPr>
        <w:t xml:space="preserve">5(j) To reflect an estimate of the one-time Boundless Bio Pre-Closing Dividend of $46.0 million expected to be declared and paid to the holders of record of shares of Boundless Bio Common Stock outstanding prior to the Effective Time, which assumes a midpoint of the estimated range of $44.0 million to $48.0 million. The Boundless Bio Pre-Closing Dividend will be treated as a decrease in additional paid-in capital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5(k) To reflect the recapitalization of Serapha and the derecognition of other comprehensive loss and the accumulated deficit of Boundless Bio,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Boundless Bio of $307.0 million is determined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70"/>
        <w:gridCol w:w="120"/>
        <w:gridCol w:w="140"/>
        <w:gridCol w:w="800"/>
        <w:gridCol w:w="75"/>
      </w:tblGrid>
      <w:tr>
        <w:trPr/>
        <w:tc>
          <w:tcPr>
            <w:tcW w:w="9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 of Boundless Bio as of June 30,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296,917</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Boundless Bio, see Note 5(e)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3,836</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Boundless Bio severance, retention bonuses and change in control payments, see Note 5(f)</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4,713</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Derecognition of Boundless Bio prepaid insurance and property and equipment, see Note 5(g)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757</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Pre-Merger lease termination expense for Boundless Bio, see Note 5(i)</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756</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Boundless Bio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306,979</w:t>
            </w:r>
          </w:p>
        </w:tc>
        <w:tc>
          <w:tcPr>
            <w:tcW w:w="75" w:type="dxa"/>
            <w:tcBorders/>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Adjustments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statement of operations and comprehensive loss of Boundless Bio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audited statement of operations of Serapha for the period from April 2, 2026 (inception)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statement of operations and comprehensive loss of Boundless Bio for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preliminary estimated incremental compensation expense related to severance, retention and change in control payments recorded in general and administrative expenses of $3.5 million and research and development of $1.2 million, assuming that the adjustment described in Note 5(f)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Boundless Bio’s prepaid expenses of $0.7 million related to prepaid insurance primarily related to the current Boundless Bio D&amp;O policy that will be fully utilized at the Closing and write off of $0.1 million of property and equipment, assuming the adjustment made in Note 5(g)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6(c) To reflect the lease termination of Boundless Bio’s property lease of $0.8 million, assuming the adjustment made in Note 5(i)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In addition, the number of shares used in calculating the pro forma combined basic and diluted net loss per share has been adjusted to reflect the estimated total number of shares of common stock of the Combined Company. Pro forma weighted average shares outstanding include the pre-funded warrants as the exercise price is negligible and they are fully vested and exercisable. For the six months ended June 30, 2026 and for the year ended December 31, 2025, the pro forma weighted average shares have been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7"/>
        <w:gridCol w:w="120"/>
        <w:gridCol w:w="61"/>
        <w:gridCol w:w="1253"/>
        <w:gridCol w:w="60"/>
        <w:gridCol w:w="120"/>
        <w:gridCol w:w="65"/>
        <w:gridCol w:w="1351"/>
        <w:gridCol w:w="78"/>
      </w:tblGrid>
      <w:tr>
        <w:trPr/>
        <w:tc>
          <w:tcPr>
            <w:tcW w:w="7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709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br/>
              <w:t>Basic and</w:t>
              <w:br/>
              <w:t>Diluted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2025 Basic and</w:t>
              <w:br/>
              <w:t>Diluted</w:t>
            </w:r>
          </w:p>
        </w:tc>
        <w:tc>
          <w:tcPr>
            <w:tcW w:w="78" w:type="dxa"/>
            <w:tcBorders/>
            <w:vAlign w:val="center"/>
          </w:tcPr>
          <w:p>
            <w:pPr>
              <w:pStyle w:val="TableContents"/>
              <w:bidi w:val="0"/>
              <w:spacing w:before="0" w:after="283"/>
              <w:jc w:val="left"/>
              <w:rPr/>
            </w:pPr>
            <w:r>
              <w:rPr/>
              <w:t> </w:t>
            </w:r>
          </w:p>
        </w:tc>
      </w:tr>
      <w:tr>
        <w:trPr/>
        <w:tc>
          <w:tcPr>
            <w:tcW w:w="709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shares of Boundless Bio Common Stock outstanding</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22,428,501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22,360,371</w:t>
            </w:r>
          </w:p>
        </w:tc>
        <w:tc>
          <w:tcPr>
            <w:tcW w:w="78" w:type="dxa"/>
            <w:tcBorders/>
            <w:shd w:fill="CCEEFF" w:val="clear"/>
            <w:vAlign w:val="center"/>
          </w:tcPr>
          <w:p>
            <w:pPr>
              <w:pStyle w:val="TableContents"/>
              <w:bidi w:val="0"/>
              <w:spacing w:before="0" w:after="283"/>
              <w:jc w:val="left"/>
              <w:rPr/>
            </w:pPr>
            <w:r>
              <w:rPr/>
              <w:t> </w:t>
            </w:r>
          </w:p>
        </w:tc>
      </w:tr>
      <w:tr>
        <w:trPr/>
        <w:tc>
          <w:tcPr>
            <w:tcW w:w="70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Boundless Bio Common Stock issued to Serapha securityholders upon the Closing, assuming consummation of the Merger as of January 1, 2025, see Note 4 (1)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644,002,431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644,002,431</w:t>
            </w:r>
          </w:p>
        </w:tc>
        <w:tc>
          <w:tcPr>
            <w:tcW w:w="78" w:type="dxa"/>
            <w:tcBorders/>
            <w:vAlign w:val="center"/>
          </w:tcPr>
          <w:p>
            <w:pPr>
              <w:pStyle w:val="TableContents"/>
              <w:bidi w:val="0"/>
              <w:spacing w:before="0" w:after="283"/>
              <w:jc w:val="left"/>
              <w:rPr/>
            </w:pPr>
            <w:r>
              <w:rPr/>
              <w:t> </w:t>
            </w:r>
          </w:p>
        </w:tc>
      </w:tr>
      <w:tr>
        <w:trPr/>
        <w:tc>
          <w:tcPr>
            <w:tcW w:w="7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single" w:sz="2" w:space="1" w:color="000000"/>
              </w:pBdr>
              <w:bidi w:val="0"/>
              <w:spacing w:before="0" w:after="0"/>
              <w:jc w:val="left"/>
              <w:rPr/>
            </w:pPr>
            <w:r>
              <w:rPr/>
              <w:t> </w:t>
            </w:r>
          </w:p>
        </w:tc>
        <w:tc>
          <w:tcPr>
            <w:tcW w:w="125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single" w:sz="2" w:space="1" w:color="000000"/>
              </w:pBdr>
              <w:bidi w:val="0"/>
              <w:spacing w:before="0" w:after="0"/>
              <w:jc w:val="left"/>
              <w:rPr/>
            </w:pPr>
            <w:r>
              <w:rPr/>
              <w:t> </w:t>
            </w:r>
          </w:p>
        </w:tc>
        <w:tc>
          <w:tcPr>
            <w:tcW w:w="1351"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r>
        <w:trPr/>
        <w:tc>
          <w:tcPr>
            <w:tcW w:w="709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Boundless Bio Common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666,430,932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666,362,802</w:t>
            </w:r>
          </w:p>
        </w:tc>
        <w:tc>
          <w:tcPr>
            <w:tcW w:w="78" w:type="dxa"/>
            <w:tcBorders/>
            <w:shd w:fill="CCEEFF" w:val="clear"/>
            <w:vAlign w:val="center"/>
          </w:tcPr>
          <w:p>
            <w:pPr>
              <w:pStyle w:val="TableContents"/>
              <w:bidi w:val="0"/>
              <w:spacing w:before="0" w:after="283"/>
              <w:jc w:val="left"/>
              <w:rPr/>
            </w:pPr>
            <w:r>
              <w:rPr/>
              <w:t> </w:t>
            </w:r>
          </w:p>
        </w:tc>
      </w:tr>
      <w:tr>
        <w:trPr/>
        <w:tc>
          <w:tcPr>
            <w:tcW w:w="7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double" w:sz="6" w:space="1" w:color="000000"/>
              </w:pBdr>
              <w:bidi w:val="0"/>
              <w:spacing w:before="0" w:after="0"/>
              <w:jc w:val="left"/>
              <w:rPr/>
            </w:pPr>
            <w:r>
              <w:rPr/>
              <w:t> </w:t>
            </w:r>
          </w:p>
        </w:tc>
        <w:tc>
          <w:tcPr>
            <w:tcW w:w="125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double" w:sz="6" w:space="1" w:color="000000"/>
              </w:pBdr>
              <w:bidi w:val="0"/>
              <w:spacing w:before="0" w:after="0"/>
              <w:jc w:val="left"/>
              <w:rPr/>
            </w:pPr>
            <w:r>
              <w:rPr/>
              <w:t> </w:t>
            </w:r>
          </w:p>
        </w:tc>
        <w:tc>
          <w:tcPr>
            <w:tcW w:w="1351"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Represents the estimated shares of Boundless Bio Common Stock expected to be issued to Serapha securityholders at Closing, excluding the outstanding and unvested Serapha restricted common stock at the Closing and unvested Serapha restricted stock units and options that will be converted to 1,194,073 and 68,220,147 shares of Boundless Bio Common Stock, respectively, after reflecting the estimated Exchange Ratio. The restricted common stock, restricted stock units and options are subject to the same vesting conditions (see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x108148_34"/>
      <w:bookmarkEnd w:id="71"/>
      <w:r>
        <w:rPr>
          <w:rFonts w:ascii="Times New Roman" w:hAnsi="Times New Roman"/>
          <w:b/>
          <w:sz w:val="20"/>
        </w:rPr>
        <w:t xml:space="preserve">DESCRIPTION OF BOUNDLESS BIO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one class of securities registered under Section 12 of the Exchange Act: its common stock, $0.0001 par value per share. The general terms and provisions of the Boundless Bio Common Stock are summarized below. This summary does not purport to be complete and is qualified by reference to the Boundless Bio Charter and the Boundless Bio Bylaws, each of which has been filed as an exhibit to the registration statement of which this proxy statement/prospectus forms a part. The Boundless Bio Common Stock is listed on Nasdaq under the symbol “BOLD.”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Boundless Bio’s authorized capital stock consists of 700,000,000 shares of common stock, and 70,000,000 shares of preferred stock, $0.0001 par value per share. No shares of preferred stock are designated or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Boundless Bio Common Stock are entitled to one vote for each share held on all matters submitted to a vote of stockholders, including the election of directors, and do not have cumulative voting rights. The Boundless Bio Charter established a classified board of directors that is divided into three classes with staggered three-year terms. Only the directors in one class are subject to election at each annual meeting of Boundless Bio stockholders. In addition, the Boundless Bio Charter provides that Boundless Bio’s directors may be removed from office only for cause and only by the affirmative vote of the holders of at least two-thirds of the voting power of all the then outstanding shares of Boundless Bio’s voting stock entitled to vote at an election of directors, subject to any special rights of the holders of any then outstanding series of Boundless Bio Preferred Stock. At all duly called or convened meetings of stockholders at which a quorum is present, for the election of directors, a plurality of the votes cast is sufficient to elect a director. Except as otherwise provided by applicable law or regulation or requirement of any securities exchange applicable to Boundless Bio, and subject to the supermajority votes required for some matters, other matters will be decided by the affirmative vote of Boundless Bio’s stockholders having a majority in voting power of the votes cast by the stockholders present or represented and voting on such matter (excluding abstentions and broker non-votes). </w:t>
      </w:r>
    </w:p>
    <w:p>
      <w:pPr>
        <w:pStyle w:val="TextBody"/>
        <w:bidi w:val="0"/>
        <w:spacing w:before="240" w:after="0"/>
        <w:jc w:val="left"/>
        <w:rPr>
          <w:rFonts w:ascii="Times New Roman" w:hAnsi="Times New Roman"/>
          <w:sz w:val="20"/>
        </w:rPr>
      </w:pPr>
      <w:r>
        <w:rPr>
          <w:rFonts w:ascii="Times New Roman" w:hAnsi="Times New Roman"/>
          <w:sz w:val="20"/>
        </w:rPr>
        <w:t>The affirmative vote of the holders of at least two-thirds of the total voting power of all the then outstanding shares of Boundless Bio Capital Stock entitled to vote thereon, voting together as a single class, is required to amend, alter, repeal, or rescind, in whole or in part, or to adopt any provision inconsistent with, several of the provisions of the Boundless Bio Charter, including provisions granting Boundless Bio the power to provide indemnification and advancement of expenses to its directors and officers, provisions limiting the personal liability of Boundless Bio’s directors and officers to it and its stockholders, and provisions relating to classification of the Boundless Bio Board of Directors, limitations on removal of directors from office, and other provisions that could have the effect of delaying, deferring, or preventing a change in control of Boundless Bio as discussed below under the subsection titled “</w:t>
      </w:r>
      <w:r>
        <w:rPr>
          <w:rFonts w:ascii="Times New Roman" w:hAnsi="Times New Roman"/>
          <w:i/>
          <w:sz w:val="20"/>
        </w:rPr>
        <w:t>Anti-Takeover Effects of Provisions of Delaware Law and Boundless Bio’s Certificate of Incorporation and Bylaws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Boundless Bio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Boundless Bio’s liquidation, dissolution or winding up, whether voluntary or involuntary, the holders of the then outstanding shares of Boundless Bio Common Stock will be entitled to share ratably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Bio’s assets legally available for distribution to stockholders after the payment of or provision for all of Boundless Bio’s debts and other liabilities and the satisfaction of any liquidation preference granted to the holders of any then outstanding shares of Boundless Bio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Boundless Bio Common Stock have no preemptive, conversion, subscription, or other similar rights, and there are no redemption or sinking funds provisions applicable to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of Preferred Stock May be Senior to Rights and Preferences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has the authority, without further action by its stockholders, to issue up to 70,000,000 shares of Boundless Bio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 The rights, preferences and privileges of one or more series of preferred stock could include dividend rights, conversion rights, voting rights, terms of redemption, and liquidation preferences, any or all of which may be greater than the rights of the holders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The issued and outstanding shares of Boundless Bio Common Stock as of June 30, 2026 were duly authorized, validly issued,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Boundless Bio Common Stock is Computershare Trust Company, N.A.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Common Stock is listed and traded on the Nasdaq Global Select Market under the symbol “BOLD.”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Boundless Bio’s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DGCL, the Boundless Bio Charter, and the Boundless Bio Bylaws could make the following transactions more difficult: an acquisition of Boundless Bio by means of a tender offer; an acquisition of Boundless Bio by means of a proxy contest or otherwise; or the removal of Boundless Bio’s incumbent officers and directors. It is possible that these provisions, which are summarized below, could make it more difficult to accomplish or could deter transactions that stockholders may otherwise consider to be in their best interest or in Boundless Bio’s best interest, including transactions that provide for payment of a premium over the market price for shares of Boundless Bio Common Stock. These provisions are intended to discourage coercive takeover practices and inadequate takeover bids. These provisions are also designed to encourage persons seeking to acquire control of Boundless Bio to first negotiate with the Boundless Bio Board of Directors. Boundless Bio believes that the benefits of the increased protection of its potential ability to negotiate with the proponent of an unfriendly or unsolicited proposal to acquire or restructure it outweigh the disadvantages of discouraging these proposals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Authorized 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Boundless Bio Board of Directors, without action by the stockholders, to issue up to 70,000,000 shares of Boundless Bio Preferred Stock with voting or other rights or preferences as designated by the Boundless Bio Board of Directors could impede the success of any attempt to change control of Boundless Bio. For example, if in the due exercise of its fiduciary obligations, the Boundless Bio Board of Directors were to determine that a takeover proposal is not in the best interests of its stockholders, the Boundless Bio Board of Directors could cause shares of Boundless Bio Preferred Stock to be issued that might dilute the voting or other rights of the proposed hostile acquirer. The issuance of Boundless Bio Preferred Stock, while providing flexibility in connection with possible acquisitions and other corporate purposes, could, among other things, have the effect of delaying, deterring, or preventing a change in Boundless Bio’s management or a change in control of it and may adversely affect the market price of Boundless Bio Common Stock and the voting and other rights or preferences of the holders of Boundless Bio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any action required or permitted to be taken by the Boundless Bio stockholders must be effected at an annual or special meeting of the stockholders and specifically eliminates the ability of stockholders to act by written consent in lieu of a meeting, subject to any special rights of the holders of any series of preferred stock to act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a special meeting of stockholders may be called only by or at the direction of the Boundless Bio Board of Directors, the chairperson of the Boundless Bio Board of Directors, the chief executive officer, or the president. The Boundless Bio Charter specifically denies power to any other person to call a special meeting of stockholders. The Boundless Bio Bylaws provide that no business may be transacted at any special meeting of stockholders other than the business specified in the notice of the special meeting. Accordingly, stockholders may not bring business before a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Notification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Bylaws establish advance notice procedures with respect to stockholder proposals relating to business to be brought before an annual meeting of stockholders and the nomination of candidates for election as directors. Noncompliance with these requirements would preclude a stockholder from bringing matters before an annual meeting of stockholders and making any nomination of a person for election to the Boundless Bio Board of Directors at any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for the division of the Boundless Bio Board of Directors into three classes serving staggered three-year terms, with one class being elected each year by its stockholders. This system of electing directors may tend to discourage a third party from attempting to obtain control of Boundless Bio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does not permit stockholders to cumulate their votes in the election of directors, which limits the ability of minority stockholders to elect director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total number of directors on the Boundless Bio Board of Directors is established by the Boundless Bio Board of Directors, which may delay the ability of stockholders to change the composition of a majority of the Boundless Bio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Filling of Vacancies </w:t>
      </w:r>
    </w:p>
    <w:p>
      <w:pPr>
        <w:pStyle w:val="TextBody"/>
        <w:bidi w:val="0"/>
        <w:spacing w:before="120" w:after="0"/>
        <w:jc w:val="left"/>
        <w:rPr>
          <w:rFonts w:ascii="Times New Roman" w:hAnsi="Times New Roman"/>
          <w:sz w:val="20"/>
        </w:rPr>
      </w:pPr>
      <w:r>
        <w:rPr>
          <w:rFonts w:ascii="Times New Roman" w:hAnsi="Times New Roman"/>
          <w:sz w:val="20"/>
        </w:rPr>
        <w:t xml:space="preserve">Any vacancies on the Boundless Bio Board of Directors, however occurring, including a vacancy resulting from an increase in the size of its board, may be filled only by the affirmative vote of a majority of its directors then in office, even if less than a quorum, or by a sole remaining director, and may not be filled by the stockholders, subject to any special rights of the holders of any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no member of the Boundless Bio Board of Directors may be removed from office except for cause and only upon the approval of the holders of at least two-thirds of the voting power of all of the then outstanding shares of Boundless Bio’s voting stock entitled to vote at an election of directors, subject to any special rights of the holders of any then outstanding series of Boundless Bio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Boundless Bio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Boundless Bio stockholders have appraisal rights in connection with a merger or consolidation of Boundless Bio. Under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provides that, unless Boundless Bio consents in writing to the selection of an alternative forum,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suit or proceeding (“proceeding”) brought on Boundless Bio’s behalf; (ii) any proceeding asserting a claim of breach of a fiduciary duty owed by any of its directors, officers, or stockholders to Boundless Bio or its stockholders; (iii) any proceeding arising pursuant to any provision of the DGCL, Boundless Bio Charter, or Boundless Bio Bylaws; or (iv) any proceeding asserting a claim against Boundless Bio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the Boundless Bio Charter also provides that, unless it consents in writing to the selection of an alternative forum, the federal district courts of the United States shall be the exclusive forum for the resolution of any complaint asserting a cause of action arising under the Securities Act of 1933, as amended, including all causes of action asserted against any defendant to such complaint. For the avoidance of doubt, this provision is intended to benefit and may be enforced by Boundless Bio, its officers and directors, the underwriters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giving rise to such proceeding, and any other professional or entity whose profession gives authority to a statement made by that person or entity and who has prepared or certified any part of the documents underlying the offering. In any case, stockholders will not be deemed to have waived Boundless Bio’s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The Boundless Bio Charter also provides that any person or entity purchasing or otherwise acquiring any interest in any of its securities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or repeal of any of the above-described provisions of the Boundless Bio Charter by stockholders would require approval by the holders of at least two-thirds of the total voting power of all of the then outstanding shares of Boundless Bio capital stock entitled to vote thereon. The amendment or repeal of any of the above-described provisions of the Boundless Bio Bylaws, or adoption of new bylaws, by stockholders would require approval by the holders of at least two-thirds of the voting power of all of the then outstanding shares of Boundless Bio voting stock entitled to vote generally in an election of directors. The Boundless Bio Board of Directors may amend or repeal any of the above-described provisions of its bylaws, or adopt new bylaws, by majority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108148_35"/>
      <w:bookmarkEnd w:id="72"/>
      <w:r>
        <w:rPr>
          <w:rFonts w:ascii="Times New Roman" w:hAnsi="Times New Roman"/>
          <w:b/>
          <w:sz w:val="20"/>
        </w:rPr>
        <w:t xml:space="preserve">COMPARISON OF RIGHTS OF HOLDERS OF BOUNDLESS BIO CAPITAL STOCK AND SERAPHA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Serapha stockholders will receive shares of Boundless Bio Common Stock, pursuant to the terms of the Merger Agreement. Prior to or upon the closing of the Merger, assuming that Proposal Nos. 2 and 3 are approved by Boundless Bio’s stockholders, the Boundless Bio Charter will be amended to increase the number of shares of Boundless Bio Common Stock that Boundless Bio is authorized to issue from 700,000,000 to    , and to effect the proposed Nasdaq Reverse Split, as set forth in the forms of certificates of amendment attached as </w:t>
      </w:r>
      <w:r>
        <w:rPr>
          <w:rFonts w:ascii="Times New Roman" w:hAnsi="Times New Roman"/>
          <w:i/>
          <w:sz w:val="20"/>
        </w:rPr>
        <w:t>Annex B</w:t>
      </w:r>
      <w:r>
        <w:rPr>
          <w:rFonts w:ascii="Times New Roman" w:hAnsi="Times New Roman"/>
          <w:sz w:val="20"/>
        </w:rPr>
        <w:t xml:space="preserve"> and </w:t>
      </w:r>
      <w:r>
        <w:rPr>
          <w:rFonts w:ascii="Times New Roman" w:hAnsi="Times New Roman"/>
          <w:i/>
          <w:sz w:val="20"/>
        </w:rPr>
        <w:t>Annex C</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and Serapha are both incorporated under the laws of the State of Delaware, and the rights of their respective stockholders are generally governed by the DGCL, as well as their respective certificates of incorporation and bylaws. Upon completion of the Merger, Serapha stockholders will become stockholders of Boundless Bio, and their rights thereafter will be governed by the DGCL, the Boundless Bio Bylaws, and the Boundless Bio Charter, each as may be amended in connection with the Merger, including as contemplated by Proposal Nos. 2 and 3.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Serapha stockholders under the Serapha Charter, the Serapha Bylaws and the Investors’ Rights Agreement, dated June 22, 2026, by and among Serapha and the Investors and Key Holders party thereto (the “Serapha IRA”), and their rights as Boundless Bio stockholders after the Merger, under the Boundless Bio Charter and Boundless Bio Bylaws, both as will be in effect immediately following the completion of the Merger and assuming that Proposal Nos. 2 and 3 are approved by Boundless Bio’s stockholders,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Boundless Bio or Serapha before the Merger and being a stockholder of the Combined Company following the completion of the Merger. For more information on how to obtain these documents, see the section titled “</w:t>
      </w:r>
      <w:r>
        <w:rPr>
          <w:rFonts w:ascii="Times New Roman" w:hAnsi="Times New Roman"/>
          <w:i/>
          <w:sz w:val="20"/>
        </w:rPr>
        <w:t>Where You Can Find More Information</w:t>
      </w:r>
      <w:r>
        <w:rPr>
          <w:rFonts w:ascii="Times New Roman" w:hAnsi="Times New Roman"/>
          <w:sz w:val="20"/>
        </w:rPr>
        <w:t xml:space="preserve">” beginning on page 392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99"/>
        <w:gridCol w:w="120"/>
        <w:gridCol w:w="4586"/>
      </w:tblGrid>
      <w:tr>
        <w:trPr/>
        <w:tc>
          <w:tcPr>
            <w:tcW w:w="54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6" w:type="dxa"/>
            <w:tcBorders/>
            <w:vAlign w:val="center"/>
          </w:tcPr>
          <w:p>
            <w:pPr>
              <w:pStyle w:val="TableContents"/>
              <w:bidi w:val="0"/>
              <w:spacing w:before="0" w:after="283"/>
              <w:jc w:val="left"/>
              <w:rPr>
                <w:sz w:val="4"/>
                <w:szCs w:val="4"/>
              </w:rPr>
            </w:pPr>
            <w:r>
              <w:rPr>
                <w:sz w:val="4"/>
                <w:szCs w:val="4"/>
              </w:rPr>
            </w:r>
          </w:p>
        </w:tc>
      </w:tr>
      <w:tr>
        <w:trPr/>
        <w:tc>
          <w:tcPr>
            <w:tcW w:w="54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458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5499" w:type="dxa"/>
            <w:tcBorders/>
            <w:vAlign w:val="center"/>
          </w:tcPr>
          <w:p>
            <w:pPr>
              <w:pStyle w:val="TableContents"/>
              <w:bidi w:val="0"/>
              <w:spacing w:before="0" w:after="283"/>
              <w:jc w:val="left"/>
              <w:rPr>
                <w:sz w:val="4"/>
                <w:szCs w:val="4"/>
              </w:rPr>
            </w:pPr>
            <w:r>
              <w:rPr>
                <w:sz w:val="4"/>
                <w:szCs w:val="4"/>
              </w:rPr>
            </w:r>
          </w:p>
        </w:tc>
        <w:tc>
          <w:tcPr>
            <w:tcW w:w="4706" w:type="dxa"/>
            <w:gridSpan w:val="2"/>
            <w:tcBorders/>
            <w:vAlign w:val="center"/>
          </w:tcPr>
          <w:p>
            <w:pPr>
              <w:pStyle w:val="TableContents"/>
              <w:bidi w:val="0"/>
              <w:spacing w:before="0" w:after="283"/>
              <w:jc w:val="left"/>
              <w:rPr>
                <w:sz w:val="4"/>
                <w:szCs w:val="4"/>
              </w:rPr>
            </w:pPr>
            <w:r>
              <w:rPr>
                <w:sz w:val="4"/>
                <w:szCs w:val="4"/>
              </w:rPr>
            </w:r>
          </w:p>
        </w:tc>
      </w:tr>
      <w:tr>
        <w:trPr/>
        <w:tc>
          <w:tcPr>
            <w:tcW w:w="5499" w:type="dxa"/>
            <w:tcBorders/>
            <w:vAlign w:val="center"/>
          </w:tcPr>
          <w:p>
            <w:pPr>
              <w:pStyle w:val="TableContents"/>
              <w:bidi w:val="0"/>
              <w:spacing w:before="0" w:after="283"/>
              <w:jc w:val="left"/>
              <w:rPr/>
            </w:pPr>
            <w:r>
              <w:rPr/>
              <w:t>The rights of Boundless Bio stockholders are governed by the Boundless Bio Charter, the Boundless Bio Bylaws and the DGCL.</w:t>
            </w:r>
          </w:p>
        </w:tc>
        <w:tc>
          <w:tcPr>
            <w:tcW w:w="120" w:type="dxa"/>
            <w:tcBorders/>
            <w:vAlign w:val="center"/>
          </w:tcPr>
          <w:p>
            <w:pPr>
              <w:pStyle w:val="TableContents"/>
              <w:bidi w:val="0"/>
              <w:spacing w:before="0" w:after="283"/>
              <w:jc w:val="left"/>
              <w:rPr/>
            </w:pPr>
            <w:r>
              <w:rPr/>
              <w:t>  </w:t>
            </w:r>
          </w:p>
        </w:tc>
        <w:tc>
          <w:tcPr>
            <w:tcW w:w="4586" w:type="dxa"/>
            <w:tcBorders/>
            <w:vAlign w:val="center"/>
          </w:tcPr>
          <w:p>
            <w:pPr>
              <w:pStyle w:val="TableContents"/>
              <w:bidi w:val="0"/>
              <w:spacing w:before="0" w:after="283"/>
              <w:jc w:val="left"/>
              <w:rPr/>
            </w:pPr>
            <w:r>
              <w:rPr/>
              <w:t>The rights of Serapha stockholders are governed by the Serapha Charter, the Serapha Bylaws and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5499" w:type="dxa"/>
            <w:tcBorders/>
            <w:vAlign w:val="center"/>
          </w:tcPr>
          <w:p>
            <w:pPr>
              <w:pStyle w:val="TableContents"/>
              <w:bidi w:val="0"/>
              <w:spacing w:before="0" w:after="283"/>
              <w:jc w:val="left"/>
              <w:rPr>
                <w:sz w:val="4"/>
                <w:szCs w:val="4"/>
              </w:rPr>
            </w:pPr>
            <w:r>
              <w:rPr>
                <w:sz w:val="4"/>
                <w:szCs w:val="4"/>
              </w:rPr>
            </w:r>
          </w:p>
        </w:tc>
        <w:tc>
          <w:tcPr>
            <w:tcW w:w="4706" w:type="dxa"/>
            <w:gridSpan w:val="2"/>
            <w:tcBorders/>
            <w:vAlign w:val="center"/>
          </w:tcPr>
          <w:p>
            <w:pPr>
              <w:pStyle w:val="TableContents"/>
              <w:bidi w:val="0"/>
              <w:spacing w:before="0" w:after="283"/>
              <w:jc w:val="left"/>
              <w:rPr>
                <w:sz w:val="4"/>
                <w:szCs w:val="4"/>
              </w:rPr>
            </w:pPr>
            <w:r>
              <w:rPr>
                <w:sz w:val="4"/>
                <w:szCs w:val="4"/>
              </w:rPr>
            </w:r>
          </w:p>
        </w:tc>
      </w:tr>
      <w:tr>
        <w:trPr/>
        <w:tc>
          <w:tcPr>
            <w:tcW w:w="5499" w:type="dxa"/>
            <w:tcBorders/>
            <w:vAlign w:val="center"/>
          </w:tcPr>
          <w:p>
            <w:pPr>
              <w:pStyle w:val="TableContents"/>
              <w:bidi w:val="0"/>
              <w:spacing w:before="0" w:after="283"/>
              <w:jc w:val="left"/>
              <w:rPr/>
            </w:pPr>
            <w:r>
              <w:rPr/>
              <w:t>Boundless Bio is authorized to issue two classes of capital stock which are designated, respectively, “Boundless Bio Common Stock” and “Boundless Bio Preferred Stock.” The total number of shares that Boundless Bio is authorized to issue is 770,000,000, of which 700,000,000 shares are common stock and 70,000,000 shares are preferred stock, each with a par value of $0.0001 per share. Subject to the rights of the holders of any outstanding series of Boundless Bio Preferred Stock, the number of authorized shares of Boundless Bio Common Stock or Boundless Bio Preferred Stock may be increased or decreased (but not below the number of shares thereof then outstanding) by the affirmative vote of the holders of</w:t>
            </w:r>
          </w:p>
        </w:tc>
        <w:tc>
          <w:tcPr>
            <w:tcW w:w="120" w:type="dxa"/>
            <w:tcBorders/>
            <w:vAlign w:val="center"/>
          </w:tcPr>
          <w:p>
            <w:pPr>
              <w:pStyle w:val="TableContents"/>
              <w:bidi w:val="0"/>
              <w:spacing w:before="0" w:after="283"/>
              <w:jc w:val="left"/>
              <w:rPr/>
            </w:pPr>
            <w:r>
              <w:rPr/>
              <w:t>  </w:t>
            </w:r>
          </w:p>
        </w:tc>
        <w:tc>
          <w:tcPr>
            <w:tcW w:w="4586" w:type="dxa"/>
            <w:tcBorders/>
            <w:vAlign w:val="center"/>
          </w:tcPr>
          <w:p>
            <w:pPr>
              <w:pStyle w:val="TableContents"/>
              <w:bidi w:val="0"/>
              <w:spacing w:before="0" w:after="283"/>
              <w:jc w:val="left"/>
              <w:rPr/>
            </w:pPr>
            <w:r>
              <w:rPr/>
              <w:t>The total number of shares of all classes of stock which Serapha has the authority to issue is 160,000,000. Serapha has two classes of stock, referred to as “Serapha Common Stock” and “Serapha Preferred Stock,” respectively. There are 100,000,000 shares of authorized Serapha Common Stock, $0.00001 par value per share, and 60,000,000 shares of authorized Serapha Preferred Stock, $0.00001 par value per share, 35,000,000 of which are designated “Series A Preferred Stock” and 25,000,000 of which are designated “Series A-1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630"/>
        <w:gridCol w:w="120"/>
        <w:gridCol w:w="4455"/>
      </w:tblGrid>
      <w:tr>
        <w:trPr/>
        <w:tc>
          <w:tcPr>
            <w:tcW w:w="5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55" w:type="dxa"/>
            <w:tcBorders/>
            <w:vAlign w:val="center"/>
          </w:tcPr>
          <w:p>
            <w:pPr>
              <w:pStyle w:val="TableContents"/>
              <w:bidi w:val="0"/>
              <w:spacing w:before="0" w:after="283"/>
              <w:jc w:val="left"/>
              <w:rPr>
                <w:sz w:val="4"/>
                <w:szCs w:val="4"/>
              </w:rPr>
            </w:pPr>
            <w:r>
              <w:rPr>
                <w:sz w:val="4"/>
                <w:szCs w:val="4"/>
              </w:rPr>
            </w:r>
          </w:p>
        </w:tc>
      </w:tr>
      <w:tr>
        <w:trPr/>
        <w:tc>
          <w:tcPr>
            <w:tcW w:w="5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4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630" w:type="dxa"/>
            <w:tcBorders/>
            <w:vAlign w:val="center"/>
          </w:tcPr>
          <w:p>
            <w:pPr>
              <w:pStyle w:val="TableContents"/>
              <w:bidi w:val="0"/>
              <w:spacing w:before="0" w:after="283"/>
              <w:jc w:val="left"/>
              <w:rPr/>
            </w:pPr>
            <w:r>
              <w:rPr/>
              <w:t>a majority of the stock of Boundless Bio entitled to vote, irrespective of the provisions of Section 242(b)(2) of the DGCL.</w:t>
            </w:r>
          </w:p>
        </w:tc>
        <w:tc>
          <w:tcPr>
            <w:tcW w:w="120" w:type="dxa"/>
            <w:tcBorders/>
            <w:vAlign w:val="center"/>
          </w:tcPr>
          <w:p>
            <w:pPr>
              <w:pStyle w:val="TableContents"/>
              <w:bidi w:val="0"/>
              <w:spacing w:before="0" w:after="283"/>
              <w:jc w:val="left"/>
              <w:rPr/>
            </w:pPr>
            <w:r>
              <w:rPr/>
              <w:t>  </w:t>
            </w:r>
          </w:p>
        </w:tc>
        <w:tc>
          <w:tcPr>
            <w:tcW w:w="4455" w:type="dxa"/>
            <w:tcBorders/>
            <w:vAlign w:val="center"/>
          </w:tcPr>
          <w:p>
            <w:pPr>
              <w:pStyle w:val="TableContents"/>
              <w:bidi w:val="0"/>
              <w:spacing w:before="0" w:after="283"/>
              <w:jc w:val="left"/>
              <w:rPr/>
            </w:pPr>
            <w:r>
              <w:rPr/>
              <w:t>The number of authorized shares of Serapha Common Stock may be increased or decreased (but not below the number of shares thereof then outstanding) by (in addition to any vote of the holders of one or more series of Serapha Preferred Stock that may be required by the terms of the Serapha Charter) the affirmative vote of the holders of shares of capital stock of Serapha representing a majority of the votes represented by all outstanding shares of capital stock of Serapha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5630" w:type="dxa"/>
            <w:tcBorders/>
            <w:vAlign w:val="center"/>
          </w:tcPr>
          <w:p>
            <w:pPr>
              <w:pStyle w:val="TableContents"/>
              <w:bidi w:val="0"/>
              <w:spacing w:before="0" w:after="283"/>
              <w:jc w:val="left"/>
              <w:rPr>
                <w:sz w:val="4"/>
                <w:szCs w:val="4"/>
              </w:rPr>
            </w:pPr>
            <w:r>
              <w:rPr>
                <w:sz w:val="4"/>
                <w:szCs w:val="4"/>
              </w:rPr>
            </w:r>
          </w:p>
        </w:tc>
        <w:tc>
          <w:tcPr>
            <w:tcW w:w="4575" w:type="dxa"/>
            <w:gridSpan w:val="2"/>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authorized Boundless Bio Common Stock consists of 700,000,000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may be otherwise provided in the Boundless Bio Charter or Boundless Bio Bylaws, the holders of the Boundless Bio Common Stock are each entitled to one vote, including the election of directors, and do not have cumulative voting rights.</w:t>
            </w:r>
          </w:p>
        </w:tc>
        <w:tc>
          <w:tcPr>
            <w:tcW w:w="120" w:type="dxa"/>
            <w:tcBorders/>
            <w:vAlign w:val="center"/>
          </w:tcPr>
          <w:p>
            <w:pPr>
              <w:pStyle w:val="TableContents"/>
              <w:bidi w:val="0"/>
              <w:spacing w:before="0" w:after="283"/>
              <w:jc w:val="left"/>
              <w:rPr/>
            </w:pPr>
            <w:r>
              <w:rPr/>
              <w:t>  </w:t>
            </w:r>
          </w:p>
        </w:tc>
        <w:tc>
          <w:tcPr>
            <w:tcW w:w="4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 are 100,000,000 shares of authorized Serapha Common Stock, $0.00001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holders of the Serapha Common Stock are entitled to one vote for each share of Serapha Common Stock held;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Serapha Common Stock, as such, will not be entitled to vote on any amendment to the Serapha Charter that relates solely to the terms of one or more outstanding series of Serapha Preferred Stock if the holders of such affected series are entitled, either separately or together with the holders of one or more other such series, to vote thereon pursuant to the Serapha Charter or pursuant to the DGCL. There will be no cumulative voting.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5630" w:type="dxa"/>
            <w:tcBorders/>
            <w:vAlign w:val="center"/>
          </w:tcPr>
          <w:p>
            <w:pPr>
              <w:pStyle w:val="TableContents"/>
              <w:bidi w:val="0"/>
              <w:spacing w:before="0" w:after="283"/>
              <w:jc w:val="left"/>
              <w:rPr>
                <w:sz w:val="4"/>
                <w:szCs w:val="4"/>
              </w:rPr>
            </w:pPr>
            <w:r>
              <w:rPr>
                <w:sz w:val="4"/>
                <w:szCs w:val="4"/>
              </w:rPr>
            </w:r>
          </w:p>
        </w:tc>
        <w:tc>
          <w:tcPr>
            <w:tcW w:w="4575" w:type="dxa"/>
            <w:gridSpan w:val="2"/>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The authorized Boundless Bio Preferred Stock consists of 70,000,000 shares of preferred stock, par value $0.0001 per share. Shares of Boundless Bio Preferred Stock may be issued from time to time in one or more series. The Boundless Bio Board of Directors is authorized to provide from time to time by resolution or resolutions for the creation and issuance, out of the authorized and unissued shares of Boundless Bio Preferred Stock, of one or more series of Boundless Bio Preferred Stock by filing a certificate of designation (a “Certificate of Designation”) pursuant to the DGCL, setting forth such resolution and, with respect to each such series, establishing the designation of such series and the number of shares to be included in such series and fixing the voting powers (full or limited, or no voting power), preferences and relative, participating, optional or other special rights, and the qualifications, limitations and restrictions thereof, of the shares of each such series.</w:t>
            </w:r>
          </w:p>
        </w:tc>
        <w:tc>
          <w:tcPr>
            <w:tcW w:w="120" w:type="dxa"/>
            <w:tcBorders/>
            <w:vAlign w:val="center"/>
          </w:tcPr>
          <w:p>
            <w:pPr>
              <w:pStyle w:val="TableContents"/>
              <w:bidi w:val="0"/>
              <w:spacing w:before="0" w:after="283"/>
              <w:jc w:val="left"/>
              <w:rPr/>
            </w:pPr>
            <w:r>
              <w:rPr/>
              <w:t>  </w:t>
            </w:r>
          </w:p>
        </w:tc>
        <w:tc>
          <w:tcPr>
            <w:tcW w:w="4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 are 60,000,000 shares of authorized Serapha Preferred Stock, $0.00001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any matter presented to the stockholders of Serapha, each holder of outstanding shares of Serapha Series A Preferred Stock will be entitled to cast the number of votes equal to the number of whole shares of Serapha Common Stock into which the shares of Serapha Series A Preferred Stock held by such holder are convertible as of the record date for determining stockholders entitled to vote on such matter. Except as provided by law or by the other provisions of the Serapha Charter, holders of Serapha Series A Preferred Stock will vote together with the holders of Serapha Common Stock as a single class and on an as-converted to Serapha Common Stock basis. Except as required by the DGCL, holders of Serapha Series A-1 Preferred Stock shall have no voting rights and shall not be entitled to vote on any matter presented to the stockholders of Serapha.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976"/>
        <w:gridCol w:w="120"/>
        <w:gridCol w:w="5109"/>
      </w:tblGrid>
      <w:tr>
        <w:trPr/>
        <w:tc>
          <w:tcPr>
            <w:tcW w:w="49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r>
      <w:tr>
        <w:trPr/>
        <w:tc>
          <w:tcPr>
            <w:tcW w:w="497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510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4976" w:type="dxa"/>
            <w:tcBorders/>
            <w:vAlign w:val="center"/>
          </w:tcPr>
          <w:p>
            <w:pPr>
              <w:pStyle w:val="TableContents"/>
              <w:bidi w:val="0"/>
              <w:spacing w:before="0" w:after="283"/>
              <w:jc w:val="left"/>
              <w:rPr>
                <w:sz w:val="4"/>
                <w:szCs w:val="4"/>
              </w:rPr>
            </w:pPr>
            <w:r>
              <w:rPr>
                <w:sz w:val="4"/>
                <w:szCs w:val="4"/>
              </w:rPr>
            </w:r>
          </w:p>
        </w:tc>
        <w:tc>
          <w:tcPr>
            <w:tcW w:w="5229" w:type="dxa"/>
            <w:gridSpan w:val="2"/>
            <w:tcBorders/>
            <w:vAlign w:val="center"/>
          </w:tcPr>
          <w:p>
            <w:pPr>
              <w:pStyle w:val="TableContents"/>
              <w:bidi w:val="0"/>
              <w:spacing w:before="0" w:after="283"/>
              <w:jc w:val="left"/>
              <w:rPr>
                <w:sz w:val="4"/>
                <w:szCs w:val="4"/>
              </w:rPr>
            </w:pPr>
            <w:r>
              <w:rPr>
                <w:sz w:val="4"/>
                <w:szCs w:val="4"/>
              </w:rPr>
            </w:r>
          </w:p>
        </w:tc>
      </w:tr>
      <w:tr>
        <w:trPr/>
        <w:tc>
          <w:tcPr>
            <w:tcW w:w="4976" w:type="dxa"/>
            <w:tcBorders/>
            <w:vAlign w:val="center"/>
          </w:tcPr>
          <w:p>
            <w:pPr>
              <w:pStyle w:val="TableContents"/>
              <w:bidi w:val="0"/>
              <w:spacing w:before="0" w:after="283"/>
              <w:jc w:val="left"/>
              <w:rPr/>
            </w:pPr>
            <w:r>
              <w:rPr/>
              <w:t>The number of directors which shall constitute the whole Boundless Bio Board of Directors shall be fixed exclusively by one or more resolutions adopted from time to time by the Boundless Bio Board of Directors. No reduction of the authorized number of directors will have the effect of removing any director before that director’s term of office expires.</w:t>
            </w:r>
          </w:p>
        </w:tc>
        <w:tc>
          <w:tcPr>
            <w:tcW w:w="120" w:type="dxa"/>
            <w:tcBorders/>
            <w:vAlign w:val="center"/>
          </w:tcPr>
          <w:p>
            <w:pPr>
              <w:pStyle w:val="TableContents"/>
              <w:bidi w:val="0"/>
              <w:spacing w:before="0" w:after="283"/>
              <w:jc w:val="left"/>
              <w:rPr/>
            </w:pPr>
            <w:r>
              <w:rPr/>
              <w:t>  </w:t>
            </w:r>
          </w:p>
        </w:tc>
        <w:tc>
          <w:tcPr>
            <w:tcW w:w="5109" w:type="dxa"/>
            <w:tcBorders/>
            <w:vAlign w:val="center"/>
          </w:tcPr>
          <w:p>
            <w:pPr>
              <w:pStyle w:val="TableContents"/>
              <w:bidi w:val="0"/>
              <w:spacing w:before="0" w:after="283"/>
              <w:jc w:val="left"/>
              <w:rPr/>
            </w:pPr>
            <w:r>
              <w:rPr/>
              <w:t>The number of directors constituting the entire Serapha Board of Directors is one or more directors. This number may be changed by a resolution of the Serapha Board of Directors or of the stockholders. No reduction of the authorized number of directors will have the effect of removing any director before such director’s term of office expires.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4976" w:type="dxa"/>
            <w:tcBorders/>
            <w:vAlign w:val="center"/>
          </w:tcPr>
          <w:p>
            <w:pPr>
              <w:pStyle w:val="TableContents"/>
              <w:bidi w:val="0"/>
              <w:spacing w:before="0" w:after="283"/>
              <w:jc w:val="left"/>
              <w:rPr>
                <w:sz w:val="4"/>
                <w:szCs w:val="4"/>
              </w:rPr>
            </w:pPr>
            <w:r>
              <w:rPr>
                <w:sz w:val="4"/>
                <w:szCs w:val="4"/>
              </w:rPr>
            </w:r>
          </w:p>
        </w:tc>
        <w:tc>
          <w:tcPr>
            <w:tcW w:w="5229" w:type="dxa"/>
            <w:gridSpan w:val="2"/>
            <w:tcBorders/>
            <w:vAlign w:val="center"/>
          </w:tcPr>
          <w:p>
            <w:pPr>
              <w:pStyle w:val="TableContents"/>
              <w:bidi w:val="0"/>
              <w:spacing w:before="0" w:after="283"/>
              <w:jc w:val="left"/>
              <w:rPr>
                <w:sz w:val="4"/>
                <w:szCs w:val="4"/>
              </w:rPr>
            </w:pPr>
            <w:r>
              <w:rPr>
                <w:sz w:val="4"/>
                <w:szCs w:val="4"/>
              </w:rPr>
            </w:r>
          </w:p>
        </w:tc>
      </w:tr>
      <w:tr>
        <w:trPr/>
        <w:tc>
          <w:tcPr>
            <w:tcW w:w="4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special rights of the holders of one or more outstanding series of Boundless Bio Preferred Stock to elect directors, the directors of Boundless Bio shall be classified with respect to the time for which they severally hold office into three classes, designated as Class I, Class II and Class III.</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 each annual meeting of the stockholders of Boundless Bio beginning with the first annual meeting of the stockholders following the date of the Boundless Bio Charter,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director shall hold office until his or her successor is duly elected and qualified or until his or her earlier death, resignation, disqualification or removal. No decrease in the number of directors shall shorten the term of any incumbent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Directors are elected by a plurality of the votes cast by stockholders.</w:t>
            </w:r>
          </w:p>
        </w:tc>
        <w:tc>
          <w:tcPr>
            <w:tcW w:w="120" w:type="dxa"/>
            <w:tcBorders/>
            <w:vAlign w:val="center"/>
          </w:tcPr>
          <w:p>
            <w:pPr>
              <w:pStyle w:val="TableContents"/>
              <w:bidi w:val="0"/>
              <w:spacing w:before="0" w:after="283"/>
              <w:jc w:val="left"/>
              <w:rPr/>
            </w:pPr>
            <w:r>
              <w:rPr/>
              <w:t>  </w:t>
            </w:r>
          </w:p>
        </w:tc>
        <w:tc>
          <w:tcPr>
            <w:tcW w:w="51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Directors are elected at each annual meeting of stockholders to hold office until the next annual meeting. Each director, including a director elected to fill a vacancy, shall hold office until his or her successor is elected and qualified or until his or her earlier resignation or removal. Elections of directors need not be by written ballot.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elections are determined by a plurality of the votes cast by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 all times when at least 15,334,197 shares of Serapha Series A Preferred Stock remain outstanding (subject to appropriate adjustment in the event of any stock dividend, stock split, combination or other similar recapitalization with respect to the Serapha Series A Preferred Stock), the holders of record of the shares of Serapha Series A Preferred Stock, exclusively and voting together as a separate class on an as-converted to Serapha Common Stock basis, are entitled to elect five directors of Serapha.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holders of Serapha Common Stock and Serapha Series A Preferred Stock, voting together as a single class on an as-converted basis, shall be entitled to elect one director, who shall be the Chief Executive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holders of Serapha Common Stock and Serapha Series A Preferred Stock, voting together as a single class on an as-converted basis, shall be entitled to elect one director who is not an employee or Affiliate (as defined in the Serapha Charter) of Serapha or any holder of Serapha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record of the shares of Serapha Common Stock and of any other class or series of voting stock (including the Serapha Series A Preferred Stock), exclusively and voting together as a single class on an as-converted to Serapha Common Stock basis, shall be entitled to elect the balance of the total number of directors of Serapha.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527"/>
        <w:gridCol w:w="120"/>
        <w:gridCol w:w="4558"/>
      </w:tblGrid>
      <w:tr>
        <w:trPr/>
        <w:tc>
          <w:tcPr>
            <w:tcW w:w="55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8" w:type="dxa"/>
            <w:tcBorders/>
            <w:vAlign w:val="center"/>
          </w:tcPr>
          <w:p>
            <w:pPr>
              <w:pStyle w:val="TableContents"/>
              <w:bidi w:val="0"/>
              <w:spacing w:before="0" w:after="283"/>
              <w:jc w:val="left"/>
              <w:rPr>
                <w:sz w:val="4"/>
                <w:szCs w:val="4"/>
              </w:rPr>
            </w:pPr>
            <w:r>
              <w:rPr>
                <w:sz w:val="4"/>
                <w:szCs w:val="4"/>
              </w:rPr>
            </w:r>
          </w:p>
        </w:tc>
      </w:tr>
      <w:tr>
        <w:trPr/>
        <w:tc>
          <w:tcPr>
            <w:tcW w:w="55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45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5527" w:type="dxa"/>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5527" w:type="dxa"/>
            <w:tcBorders/>
            <w:vAlign w:val="center"/>
          </w:tcPr>
          <w:p>
            <w:pPr>
              <w:pStyle w:val="TableContents"/>
              <w:bidi w:val="0"/>
              <w:spacing w:before="0" w:after="283"/>
              <w:jc w:val="left"/>
              <w:rPr/>
            </w:pPr>
            <w:r>
              <w:rPr/>
              <w:t>Subject to the special rights of the holders of one or more outstanding series of Boundless Bio Preferred Stock to elect directors, the Boundless Bio Board of Directors or any individual director may be removed from office at any time, but only for cause and only by the affirmative vote of the holders of at least two-thirds (66 and 2/3%) of the voting power of all of the then outstanding shares of voting stock of Boundless Bio entitled to vote at an election of directors.</w:t>
            </w:r>
          </w:p>
        </w:tc>
        <w:tc>
          <w:tcPr>
            <w:tcW w:w="120" w:type="dxa"/>
            <w:tcBorders/>
            <w:vAlign w:val="center"/>
          </w:tcPr>
          <w:p>
            <w:pPr>
              <w:pStyle w:val="TableContents"/>
              <w:bidi w:val="0"/>
              <w:spacing w:before="0" w:after="283"/>
              <w:jc w:val="left"/>
              <w:rPr/>
            </w:pPr>
            <w:r>
              <w:rPr/>
              <w:t>  </w:t>
            </w:r>
          </w:p>
        </w:tc>
        <w:tc>
          <w:tcPr>
            <w:tcW w:w="4558" w:type="dxa"/>
            <w:tcBorders/>
            <w:vAlign w:val="center"/>
          </w:tcPr>
          <w:p>
            <w:pPr>
              <w:pStyle w:val="TableContents"/>
              <w:bidi w:val="0"/>
              <w:spacing w:before="0" w:after="283"/>
              <w:jc w:val="left"/>
              <w:rPr/>
            </w:pPr>
            <w:r>
              <w:rPr/>
              <w:t>Any director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5527" w:type="dxa"/>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5527" w:type="dxa"/>
            <w:tcBorders/>
            <w:vAlign w:val="center"/>
          </w:tcPr>
          <w:p>
            <w:pPr>
              <w:pStyle w:val="TableContents"/>
              <w:bidi w:val="0"/>
              <w:spacing w:before="0" w:after="283"/>
              <w:jc w:val="left"/>
              <w:rPr/>
            </w:pPr>
            <w:r>
              <w:rPr/>
              <w:t>Subject to the special rights of the holders of one or more outstanding series of Boundless Bio Preferred Stock to elect directors, except as otherwise provided by law, any vacancies on the Boundless Bio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tc>
        <w:tc>
          <w:tcPr>
            <w:tcW w:w="120" w:type="dxa"/>
            <w:tcBorders/>
            <w:vAlign w:val="center"/>
          </w:tcPr>
          <w:p>
            <w:pPr>
              <w:pStyle w:val="TableContents"/>
              <w:bidi w:val="0"/>
              <w:spacing w:before="0" w:after="283"/>
              <w:jc w:val="left"/>
              <w:rPr/>
            </w:pPr>
            <w:r>
              <w:rPr/>
              <w:t>  </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director may resign at any time upon written notice to the attention of the secretary of Serapha. When one or more directors so resigns and the resignation is effective at a future date, a majority of the directors then in office, including those who have so resigned, will have power to fill such vacancy or vacancies, the vote thereon to take effect when such resignation or resignations shall become effective, and each director so chosen shall hold office as provided in the Serapha Bylaws in the filling of other vacancies.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Serapha Series A Preferred Stock or Serapha Common Stock, as the case may be, fail to elect a sufficient number of directors to fill all directorships for which they are entitled to elect directors (and to the extent any of such directorships is not otherwise filled by a director appointed in accordance with the Serapha Charter), then any directorship not so filled shall remain vacant until such time as the holders of the Serapha Series A Preferred Stock or Serapha Common Stock, as the case may be, fill such directorship in accordance with the Serapha Charter. A vacancy in the seat of the director who is the Chief Executive Officer or the director who is not an employee or Affiliate of Serapha or any holder of Serapha Preferred Stock can be filled by either (A) the stockholders entitled to elect such director, or (B) a majority of the remaining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19"/>
        <w:gridCol w:w="120"/>
        <w:gridCol w:w="3866"/>
      </w:tblGrid>
      <w:tr>
        <w:trPr/>
        <w:tc>
          <w:tcPr>
            <w:tcW w:w="62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38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Action by Written Consent</w:t>
            </w:r>
          </w:p>
        </w:tc>
      </w:tr>
      <w:tr>
        <w:trPr/>
        <w:tc>
          <w:tcPr>
            <w:tcW w:w="6219"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283"/>
              <w:jc w:val="left"/>
              <w:rPr/>
            </w:pPr>
            <w:r>
              <w:rPr/>
              <w:t>Any action required or permitted to be taken by the stockholders of Boundless Bio must be effected at an annual or special meeting of the stockholders of Boundless Bio,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tc>
        <w:tc>
          <w:tcPr>
            <w:tcW w:w="120" w:type="dxa"/>
            <w:tcBorders/>
            <w:vAlign w:val="center"/>
          </w:tcPr>
          <w:p>
            <w:pPr>
              <w:pStyle w:val="TableContents"/>
              <w:bidi w:val="0"/>
              <w:spacing w:before="0" w:after="283"/>
              <w:jc w:val="left"/>
              <w:rPr/>
            </w:pPr>
            <w:r>
              <w:rPr/>
              <w:t>  </w:t>
            </w:r>
          </w:p>
        </w:tc>
        <w:tc>
          <w:tcPr>
            <w:tcW w:w="3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action required to be taken at any annual or special meeting of stockholders of Serapha, or any action that may be taken at any annual or special meeting of such stockholders, may be taken 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shares entitled to vote thereon were present and voted, and (b) delivered to Serapha in accordance with Section 228(a) of the DGCL.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Every written consent shall bear the date of signature of each stockholder who signs the consent and no written consent shall be effective to take the corporate action referred to therein unless, within sixty (60) days of the date the earliest dated consent is delivered to Serapha, a written consent or consents signed by a sufficient number of holders to take action are delivered to Serapha.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6219"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283"/>
              <w:jc w:val="left"/>
              <w:rPr/>
            </w:pPr>
            <w:r>
              <w:rPr/>
              <w:t>The holders of a majority in voting power of the stock issued and outstanding and entitled to vote,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the Boundless Bio Bylaws until a quorum is present or represented. At any recessed or adjourned meeting at which a quorum is present or represented, any business may be transacted that might have been transacted at the meeting as originally noticed.</w:t>
            </w:r>
          </w:p>
        </w:tc>
        <w:tc>
          <w:tcPr>
            <w:tcW w:w="120" w:type="dxa"/>
            <w:tcBorders/>
            <w:vAlign w:val="center"/>
          </w:tcPr>
          <w:p>
            <w:pPr>
              <w:pStyle w:val="TableContents"/>
              <w:bidi w:val="0"/>
              <w:spacing w:before="0" w:after="283"/>
              <w:jc w:val="left"/>
              <w:rPr/>
            </w:pPr>
            <w:r>
              <w:rPr/>
              <w:t>  </w:t>
            </w:r>
          </w:p>
        </w:tc>
        <w:tc>
          <w:tcPr>
            <w:tcW w:w="3866" w:type="dxa"/>
            <w:tcBorders/>
            <w:vAlign w:val="center"/>
          </w:tcPr>
          <w:p>
            <w:pPr>
              <w:pStyle w:val="TableContents"/>
              <w:bidi w:val="0"/>
              <w:spacing w:before="0" w:after="283"/>
              <w:jc w:val="left"/>
              <w:rPr/>
            </w:pPr>
            <w:r>
              <w:rPr/>
              <w:t>The holders of a majority of the shares of stock issued and outstanding and entitled to vote thereat, present in person or represented by proxy, shall constitute a quorum at all meetings of the stockholders for the transaction of business. If, however, such quorum is not present or represented at any meeting of the stockholders, then either (a) the chair of the meeting or (b) holders of a majority of the shares of stock entitled to vote who are present, in person or by proxy, may adjourn the meeting to another place (if any), date or time.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Special Meetings of Stockholders</w:t>
            </w:r>
          </w:p>
        </w:tc>
      </w:tr>
      <w:tr>
        <w:trPr/>
        <w:tc>
          <w:tcPr>
            <w:tcW w:w="6219"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283"/>
              <w:jc w:val="left"/>
              <w:rPr/>
            </w:pPr>
            <w:r>
              <w:rPr/>
              <w:t>Subject to the special rights of the holders of one or more series of Boundless Bio Preferred Stock, special meetings of the stockholders of Boundless Bio may be called, for any purpose or purposes, at any time only by or at the direction of the Boundless Bio Board of Directors, the Chairperson of the Boundless Bio Board</w:t>
            </w:r>
          </w:p>
        </w:tc>
        <w:tc>
          <w:tcPr>
            <w:tcW w:w="120" w:type="dxa"/>
            <w:tcBorders/>
            <w:vAlign w:val="center"/>
          </w:tcPr>
          <w:p>
            <w:pPr>
              <w:pStyle w:val="TableContents"/>
              <w:bidi w:val="0"/>
              <w:spacing w:before="0" w:after="283"/>
              <w:jc w:val="left"/>
              <w:rPr/>
            </w:pPr>
            <w:r>
              <w:rPr/>
              <w:t>  </w:t>
            </w:r>
          </w:p>
        </w:tc>
        <w:tc>
          <w:tcPr>
            <w:tcW w:w="3866" w:type="dxa"/>
            <w:tcBorders/>
            <w:vAlign w:val="center"/>
          </w:tcPr>
          <w:p>
            <w:pPr>
              <w:pStyle w:val="TableContents"/>
              <w:bidi w:val="0"/>
              <w:spacing w:before="0" w:after="283"/>
              <w:jc w:val="left"/>
              <w:rPr/>
            </w:pPr>
            <w:r>
              <w:rPr/>
              <w:t>A special meeting of the stockholders may be called at any time by the Serapha Board of Directors, the chair of the Serapha board of directors, the president or by one or more stockholders holding shares in the aggregate entitled to cast not less than 10% of the votes at that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311"/>
        <w:gridCol w:w="120"/>
        <w:gridCol w:w="3774"/>
      </w:tblGrid>
      <w:tr>
        <w:trPr/>
        <w:tc>
          <w:tcPr>
            <w:tcW w:w="63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63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377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6311" w:type="dxa"/>
            <w:tcBorders/>
            <w:vAlign w:val="center"/>
          </w:tcPr>
          <w:p>
            <w:pPr>
              <w:pStyle w:val="TableContents"/>
              <w:bidi w:val="0"/>
              <w:spacing w:before="0" w:after="283"/>
              <w:jc w:val="left"/>
              <w:rPr/>
            </w:pPr>
            <w:r>
              <w:rPr/>
              <w:t>of Directors, the Chief Executive Officer or the President, and shall not be called by any other person or persons. No business may be transacted at any special meeting of stockholders other than the business specified in the notice of such meeting.</w:t>
            </w:r>
          </w:p>
        </w:tc>
        <w:tc>
          <w:tcPr>
            <w:tcW w:w="120" w:type="dxa"/>
            <w:tcBorders/>
            <w:vAlign w:val="center"/>
          </w:tcPr>
          <w:p>
            <w:pPr>
              <w:pStyle w:val="TableContents"/>
              <w:bidi w:val="0"/>
              <w:spacing w:before="0" w:after="283"/>
              <w:jc w:val="left"/>
              <w:rPr/>
            </w:pPr>
            <w:r>
              <w:rPr/>
              <w:t>  </w:t>
            </w:r>
          </w:p>
        </w:tc>
        <w:tc>
          <w:tcPr>
            <w:tcW w:w="377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special meeting is called by any person or persons other than the Serapha Board of Directors, the president or the chair of the Serapha Board of Directors, the request shall be in writing, specifying the time of such meeting and the general nature of the business proposed to be transacted, and shall be delivered personally or sent by registered mail or by electronic or other facsimile transmission to the chair of the Serapha Board of Directors, the president, any vice president, or the secretary of Serapha. No business may be transacted at such special meeting other than specified in such notice.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pPr>
            <w:r>
              <w:rPr>
                <w:i/>
              </w:rPr>
              <w:t xml:space="preserve">Notice of Stockholder </w:t>
            </w:r>
            <w:r>
              <w:rPr/>
              <w:t>Meetings</w:t>
            </w:r>
          </w:p>
        </w:tc>
      </w:tr>
      <w:tr>
        <w:trPr/>
        <w:tc>
          <w:tcPr>
            <w:tcW w:w="6311" w:type="dxa"/>
            <w:tcBorders/>
            <w:vAlign w:val="center"/>
          </w:tcPr>
          <w:p>
            <w:pPr>
              <w:pStyle w:val="TableContents"/>
              <w:bidi w:val="0"/>
              <w:spacing w:before="0" w:after="283"/>
              <w:jc w:val="left"/>
              <w:rPr>
                <w:sz w:val="4"/>
                <w:szCs w:val="4"/>
              </w:rPr>
            </w:pPr>
            <w:r>
              <w:rPr>
                <w:sz w:val="4"/>
                <w:szCs w:val="4"/>
              </w:rPr>
            </w:r>
          </w:p>
        </w:tc>
        <w:tc>
          <w:tcPr>
            <w:tcW w:w="3894" w:type="dxa"/>
            <w:gridSpan w:val="2"/>
            <w:tcBorders/>
            <w:vAlign w:val="center"/>
          </w:tcPr>
          <w:p>
            <w:pPr>
              <w:pStyle w:val="TableContents"/>
              <w:bidi w:val="0"/>
              <w:spacing w:before="0" w:after="283"/>
              <w:jc w:val="left"/>
              <w:rPr>
                <w:sz w:val="4"/>
                <w:szCs w:val="4"/>
              </w:rPr>
            </w:pPr>
            <w:r>
              <w:rPr>
                <w:sz w:val="4"/>
                <w:szCs w:val="4"/>
              </w:rPr>
            </w:r>
          </w:p>
        </w:tc>
      </w:tr>
      <w:tr>
        <w:trPr/>
        <w:tc>
          <w:tcPr>
            <w:tcW w:w="6311" w:type="dxa"/>
            <w:tcBorders/>
            <w:vAlign w:val="center"/>
          </w:tcPr>
          <w:p>
            <w:pPr>
              <w:pStyle w:val="TableContents"/>
              <w:bidi w:val="0"/>
              <w:spacing w:before="0" w:after="283"/>
              <w:jc w:val="left"/>
              <w:rPr/>
            </w:pPr>
            <w:r>
              <w:rPr/>
              <w:t>The notice of any meeting of stockholders shall be sent or otherwise given in accordance with the Boundless Bio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tc>
        <w:tc>
          <w:tcPr>
            <w:tcW w:w="120" w:type="dxa"/>
            <w:tcBorders/>
            <w:vAlign w:val="center"/>
          </w:tcPr>
          <w:p>
            <w:pPr>
              <w:pStyle w:val="TableContents"/>
              <w:bidi w:val="0"/>
              <w:spacing w:before="0" w:after="283"/>
              <w:jc w:val="left"/>
              <w:rPr/>
            </w:pPr>
            <w:r>
              <w:rPr/>
              <w:t>  </w:t>
            </w:r>
          </w:p>
        </w:tc>
        <w:tc>
          <w:tcPr>
            <w:tcW w:w="3774" w:type="dxa"/>
            <w:tcBorders/>
            <w:vAlign w:val="center"/>
          </w:tcPr>
          <w:p>
            <w:pPr>
              <w:pStyle w:val="TableContents"/>
              <w:bidi w:val="0"/>
              <w:spacing w:before="0" w:after="283"/>
              <w:jc w:val="left"/>
              <w:rPr/>
            </w:pPr>
            <w:r>
              <w:rPr/>
              <w:t>All notices of meetings with stockholders shall be in writing and shall be sent or otherwise given in accordance with the Serapha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Stockholder Proposals</w:t>
            </w:r>
          </w:p>
        </w:tc>
      </w:tr>
      <w:tr>
        <w:trPr/>
        <w:tc>
          <w:tcPr>
            <w:tcW w:w="6311" w:type="dxa"/>
            <w:tcBorders/>
            <w:vAlign w:val="center"/>
          </w:tcPr>
          <w:p>
            <w:pPr>
              <w:pStyle w:val="TableContents"/>
              <w:bidi w:val="0"/>
              <w:spacing w:before="0" w:after="283"/>
              <w:jc w:val="left"/>
              <w:rPr>
                <w:sz w:val="4"/>
                <w:szCs w:val="4"/>
              </w:rPr>
            </w:pPr>
            <w:r>
              <w:rPr>
                <w:sz w:val="4"/>
                <w:szCs w:val="4"/>
              </w:rPr>
            </w:r>
          </w:p>
        </w:tc>
        <w:tc>
          <w:tcPr>
            <w:tcW w:w="3894" w:type="dxa"/>
            <w:gridSpan w:val="2"/>
            <w:tcBorders/>
            <w:vAlign w:val="center"/>
          </w:tcPr>
          <w:p>
            <w:pPr>
              <w:pStyle w:val="TableContents"/>
              <w:bidi w:val="0"/>
              <w:spacing w:before="0" w:after="283"/>
              <w:jc w:val="left"/>
              <w:rPr>
                <w:sz w:val="4"/>
                <w:szCs w:val="4"/>
              </w:rPr>
            </w:pPr>
            <w:r>
              <w:rPr>
                <w:sz w:val="4"/>
                <w:szCs w:val="4"/>
              </w:rPr>
            </w:r>
          </w:p>
        </w:tc>
      </w:tr>
      <w:tr>
        <w:trPr/>
        <w:tc>
          <w:tcPr>
            <w:tcW w:w="6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Boundless Bio Board of Directors, (ii) if not specified in a notice of meeting, otherwise brought before the meeting by the Boundless Bio Board of Directors or the Chairperson of the Boundless Bio Board of Directors or (iii) otherwise properly brought before the meeting by a stockholder present in person who (A)(1) was a record owner of shares of Boundless Bio both at the time of giving the notice provided for in the Boundless Bio Bylaws and at the time of the meeting, (2) is entitled to vote at the meeting, and (3) has complied with the Boundless Bio Bylaws in all applicable respects or (B) properly made such proposal in accordance with Rule 14a-8 under the Securities Exchange Act of 1934, as amended, and the rules and regulations thereunder (as so amended and inclusive of such rules and regulations,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business to be properly brought before an annual meeting by a stockholder, the stockholder must (i) provide Timely Notice (as defined below) thereof in</w:t>
            </w:r>
          </w:p>
        </w:tc>
        <w:tc>
          <w:tcPr>
            <w:tcW w:w="120" w:type="dxa"/>
            <w:tcBorders/>
            <w:vAlign w:val="center"/>
          </w:tcPr>
          <w:p>
            <w:pPr>
              <w:pStyle w:val="TableContents"/>
              <w:bidi w:val="0"/>
              <w:spacing w:before="0" w:after="283"/>
              <w:jc w:val="left"/>
              <w:rPr/>
            </w:pPr>
            <w:r>
              <w:rPr/>
              <w:t>  </w:t>
            </w:r>
          </w:p>
        </w:tc>
        <w:tc>
          <w:tcPr>
            <w:tcW w:w="3774" w:type="dxa"/>
            <w:tcBorders/>
            <w:vAlign w:val="center"/>
          </w:tcPr>
          <w:p>
            <w:pPr>
              <w:pStyle w:val="TableContents"/>
              <w:bidi w:val="0"/>
              <w:spacing w:before="0" w:after="283"/>
              <w:jc w:val="left"/>
              <w:rPr/>
            </w:pPr>
            <w:r>
              <w:rPr/>
              <w:t>Neither the Serapha Charter nor the Serapha Bylaws contain advance notice requirements for stockholder proposals.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443"/>
        <w:gridCol w:w="120"/>
        <w:gridCol w:w="4642"/>
      </w:tblGrid>
      <w:tr>
        <w:trPr/>
        <w:tc>
          <w:tcPr>
            <w:tcW w:w="54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42" w:type="dxa"/>
            <w:tcBorders/>
            <w:vAlign w:val="center"/>
          </w:tcPr>
          <w:p>
            <w:pPr>
              <w:pStyle w:val="TableContents"/>
              <w:bidi w:val="0"/>
              <w:spacing w:before="0" w:after="283"/>
              <w:jc w:val="left"/>
              <w:rPr>
                <w:sz w:val="4"/>
                <w:szCs w:val="4"/>
              </w:rPr>
            </w:pPr>
            <w:r>
              <w:rPr>
                <w:sz w:val="4"/>
                <w:szCs w:val="4"/>
              </w:rPr>
            </w:r>
          </w:p>
        </w:tc>
      </w:tr>
      <w:tr>
        <w:trPr/>
        <w:tc>
          <w:tcPr>
            <w:tcW w:w="544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46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443" w:type="dxa"/>
            <w:tcBorders/>
            <w:vAlign w:val="center"/>
          </w:tcPr>
          <w:p>
            <w:pPr>
              <w:pStyle w:val="TableContents"/>
              <w:bidi w:val="0"/>
              <w:spacing w:before="0" w:after="283"/>
              <w:jc w:val="left"/>
              <w:rPr/>
            </w:pPr>
            <w:r>
              <w:rPr/>
              <w:t>writing and in proper form to the Secretary of Boundless Bio and (ii) provide any updates or supplements to such notice at the times and in the forms required by the Boundless Bio Bylaws. To be timely, a stockholder’s notice must be delivered to, or mailed and received at, the principal executive offices of Boundless Bio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more than the 120th day prior to such annual meeting and not later than (i) the 90th day prior to such annual meeting or, (ii) if later, the 10th day following the day on which public disclosure of the date of such annual meeting was first made by Boundless Bio (such notice within such time periods, “Timely Notice”).</w:t>
            </w:r>
          </w:p>
        </w:tc>
        <w:tc>
          <w:tcPr>
            <w:tcW w:w="120"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Certificate of Incorporation</w:t>
            </w:r>
          </w:p>
        </w:tc>
      </w:tr>
      <w:tr>
        <w:trPr/>
        <w:tc>
          <w:tcPr>
            <w:tcW w:w="5443" w:type="dxa"/>
            <w:tcBorders/>
            <w:vAlign w:val="center"/>
          </w:tcPr>
          <w:p>
            <w:pPr>
              <w:pStyle w:val="TableContents"/>
              <w:bidi w:val="0"/>
              <w:spacing w:before="0" w:after="283"/>
              <w:jc w:val="left"/>
              <w:rPr>
                <w:sz w:val="4"/>
                <w:szCs w:val="4"/>
              </w:rPr>
            </w:pPr>
            <w:r>
              <w:rPr>
                <w:sz w:val="4"/>
                <w:szCs w:val="4"/>
              </w:rPr>
            </w:r>
          </w:p>
        </w:tc>
        <w:tc>
          <w:tcPr>
            <w:tcW w:w="4762" w:type="dxa"/>
            <w:gridSpan w:val="2"/>
            <w:tcBorders/>
            <w:vAlign w:val="center"/>
          </w:tcPr>
          <w:p>
            <w:pPr>
              <w:pStyle w:val="TableContents"/>
              <w:bidi w:val="0"/>
              <w:spacing w:before="0" w:after="283"/>
              <w:jc w:val="left"/>
              <w:rPr>
                <w:sz w:val="4"/>
                <w:szCs w:val="4"/>
              </w:rPr>
            </w:pPr>
            <w:r>
              <w:rPr>
                <w:sz w:val="4"/>
                <w:szCs w:val="4"/>
              </w:rPr>
            </w:r>
          </w:p>
        </w:tc>
      </w:tr>
      <w:tr>
        <w:trPr/>
        <w:tc>
          <w:tcPr>
            <w:tcW w:w="5443" w:type="dxa"/>
            <w:tcBorders/>
            <w:vAlign w:val="center"/>
          </w:tcPr>
          <w:p>
            <w:pPr>
              <w:pStyle w:val="TableContents"/>
              <w:bidi w:val="0"/>
              <w:spacing w:before="0" w:after="283"/>
              <w:jc w:val="left"/>
              <w:rPr/>
            </w:pPr>
            <w:r>
              <w:rPr/>
              <w:t>In addition to any vote required by applicable law, the following provisions in the Boundless Bio Charter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Boundless Bio entitled to vote thereon, voting together as a single class: (i) Part B of Article IV, which relates to preferred stock, (ii) Article V, which relates to the Board of Directors, (iii) Article VI, which outlines requirements for stockholder actions and special meetings of the stockholders, (iv) Article VII, which provides for the elimination of directors’ and officers’ liability for monetary damages to the fullest extent permitted by law, (v) Article VIII, which provides for indemnification of directors and officers, (vi) Article IX, which designates the Court of Chancery of the State of Delaware as the exclusive forum for certain legal actions involving Boundless Bio and designates the federal district courts of the United States as the exclusive forum for Securities Act claims, and (vii) Article X, which provides for the percentage of the shares necessary to amend the Boundless Bio Charter.</w:t>
            </w:r>
          </w:p>
        </w:tc>
        <w:tc>
          <w:tcPr>
            <w:tcW w:w="120"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pPr>
            <w:r>
              <w:rPr/>
              <w:t>The Serapha Charter may be amended pursuant to Section 242 of the DGCL; provided that, at any time when at least 21,178,375 shares of Serapha Preferred Stock (subject to appropriate adjustment in the event of any stock dividend, stock split, combination or other similar recapitalization with respect to the Serapha Preferred Stock) are outstanding, Serapha will not, without the written consent or affirmative vote of the Requisite Holders (as defined in the Serapha Charter), among other things: (i) amend, alter or repeal any provision of the Serapha Charter or Serapha Bylaws; (ii) create, issue or obligate itself to issue shares of, any capital stock unless the same ranks junior to the Serapha Preferred Stock with respect to its special rights, powers and preferences or any simple agreements for future equity or convertible notes which may convert into capital stock; and (iii) increase or decrease the authorized number of shares of Serapha Common Stock, Serapha Preferred Stock or any additional class or series of capital stock of Serapha.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w:t>
            </w:r>
          </w:p>
        </w:tc>
      </w:tr>
      <w:tr>
        <w:trPr/>
        <w:tc>
          <w:tcPr>
            <w:tcW w:w="5443" w:type="dxa"/>
            <w:tcBorders/>
            <w:vAlign w:val="center"/>
          </w:tcPr>
          <w:p>
            <w:pPr>
              <w:pStyle w:val="TableContents"/>
              <w:bidi w:val="0"/>
              <w:spacing w:before="0" w:after="283"/>
              <w:jc w:val="left"/>
              <w:rPr>
                <w:sz w:val="4"/>
                <w:szCs w:val="4"/>
              </w:rPr>
            </w:pPr>
            <w:r>
              <w:rPr>
                <w:sz w:val="4"/>
                <w:szCs w:val="4"/>
              </w:rPr>
            </w:r>
          </w:p>
        </w:tc>
        <w:tc>
          <w:tcPr>
            <w:tcW w:w="4762" w:type="dxa"/>
            <w:gridSpan w:val="2"/>
            <w:tcBorders/>
            <w:vAlign w:val="center"/>
          </w:tcPr>
          <w:p>
            <w:pPr>
              <w:pStyle w:val="TableContents"/>
              <w:bidi w:val="0"/>
              <w:spacing w:before="0" w:after="283"/>
              <w:jc w:val="left"/>
              <w:rPr>
                <w:sz w:val="4"/>
                <w:szCs w:val="4"/>
              </w:rPr>
            </w:pPr>
            <w:r>
              <w:rPr>
                <w:sz w:val="4"/>
                <w:szCs w:val="4"/>
              </w:rPr>
            </w:r>
          </w:p>
        </w:tc>
      </w:tr>
      <w:tr>
        <w:trPr/>
        <w:tc>
          <w:tcPr>
            <w:tcW w:w="5443" w:type="dxa"/>
            <w:tcBorders/>
            <w:vAlign w:val="center"/>
          </w:tcPr>
          <w:p>
            <w:pPr>
              <w:pStyle w:val="TableContents"/>
              <w:bidi w:val="0"/>
              <w:spacing w:before="0" w:after="283"/>
              <w:jc w:val="left"/>
              <w:rPr/>
            </w:pPr>
            <w:r>
              <w:rPr/>
              <w:t>The Boundless Bio Board of Directors is expressly empowered to adopt, amend or repeal the Boundless Bio Bylaws. In addition to any vote of the holders of any class or series of stock of Boundless Bio required by applicable law or by the Boundless Bio Charter (including any Certificate of Designation in respect of</w:t>
            </w:r>
          </w:p>
        </w:tc>
        <w:tc>
          <w:tcPr>
            <w:tcW w:w="120"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pPr>
            <w:r>
              <w:rPr/>
              <w:t>The Serapha Bylaws may be altered, amended or repealed, in whole or in part, or new bylaws may be adopted by: (i) the Serapha Board of Directors, subject to certain limitations when at least 21,178,375 shares of Serapha Preferred Stock (subject to appropriate adjustment in the event of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70"/>
        <w:gridCol w:w="120"/>
        <w:gridCol w:w="3815"/>
      </w:tblGrid>
      <w:tr>
        <w:trPr/>
        <w:tc>
          <w:tcPr>
            <w:tcW w:w="6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2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3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6270" w:type="dxa"/>
            <w:tcBorders/>
            <w:vAlign w:val="center"/>
          </w:tcPr>
          <w:p>
            <w:pPr>
              <w:pStyle w:val="TableContents"/>
              <w:bidi w:val="0"/>
              <w:spacing w:before="0" w:after="283"/>
              <w:jc w:val="left"/>
              <w:rPr/>
            </w:pPr>
            <w:r>
              <w:rPr/>
              <w:t>one or more series of Preferred Stock) or the Bylaws of Boundless Bio, the adoption, amendment or repeal of the Bylaws of Boundless Bio by the stockholders of Boundless Bio shall require the affirmative vote of the holders of at least two-thirds (66 and 2/3%) of the voting power of all of the then outstanding shares of voting stock of Boundless Bio entitled to vote generally in an election of directors.</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stock dividend, stock split, combination or other similar recapitalization with respect to the Serapha Preferred Stock) are outstanding, and (ii) the affirmative vote of the holders of a majority of the shares of the capital stock of Serapha issued and outstanding and entitled to vote, subject to the Serapha Preferred Stock limitations set forth in the previous section.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Limitation on Director and Officer Liability</w:t>
            </w:r>
          </w:p>
        </w:tc>
      </w:tr>
      <w:tr>
        <w:trPr/>
        <w:tc>
          <w:tcPr>
            <w:tcW w:w="6270" w:type="dxa"/>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6270" w:type="dxa"/>
            <w:tcBorders/>
            <w:vAlign w:val="center"/>
          </w:tcPr>
          <w:p>
            <w:pPr>
              <w:pStyle w:val="TableContents"/>
              <w:bidi w:val="0"/>
              <w:spacing w:before="0" w:after="283"/>
              <w:jc w:val="left"/>
              <w:rPr/>
            </w:pPr>
            <w:r>
              <w:rPr/>
              <w:t>No director or officer of Boundless Bio shall have any personal liability to Boundless Bio or its stockholders for monetary damages for any breach of fiduciary duty as a director or officer, except to the extent such exemption from liability or limitation thereof is not permitted under the DGCL as the same exists or hereafter may be amended. If the DGCL is amended after approval by the stockholders of this Article to authorize corporate action further eliminating or limiting the personal liability of directors or officers, then the liability of a director or officer of Boundless Bio shall be eliminated or limited to the fullest extent permitted by the DGCL as so amended.</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To the fullest extent permitted by law, a director or officer of Serapha shall not be personally liable to Serapha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Serapha shall be eliminated or limited to the fullest extent permitted by the DGCL as so amended.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6270" w:type="dxa"/>
            <w:tcBorders/>
            <w:vAlign w:val="center"/>
          </w:tcPr>
          <w:p>
            <w:pPr>
              <w:pStyle w:val="TableContents"/>
              <w:bidi w:val="0"/>
              <w:spacing w:before="0" w:after="283"/>
              <w:jc w:val="left"/>
              <w:rPr/>
            </w:pPr>
            <w:r>
              <w:rPr/>
              <w:t>Boundless Bio shall indemnify and hold harmless, to the fullest extent permitted by the DGCL as it presently exists or may hereafter be amended, any director or officer of Boundless Bio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Boundless Bio or, while serving as a director or officer of Boundless Bio, is or was serving at the request of Boundless Bio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the Boundless Bio Bylaws, Boundless Bio shall be required to indemnify a person in connection with a Proceeding initiated by such person only if the Proceeding was authorized in the specific case by the Boundless Bio Board of Directors.</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Serapha will indemnify, to the maximum extent and in the manner permitted by the DGCL, each of its directors and officers against expenses (including attorneys’ fees), judgments, fines, settlements and other amounts actually and reasonably incurred in connection with any proceeding, arising by reason of the fact that such person is or was an agent of Serapha. For purposes of this section, a “director” or “officer” of Serapha includes any person (a) who is or was a director or officer of Serapha, (b) who is or was serving at the request of Serapha as a director or officer of another corporation, partnership, joint venture, trust or other enterprise, or (c) who was a director or officer of a corporation which was a predecessor corporation of Serapha or of another enterprise at the request of such predecessor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Serapha may also, to the maximum extent and in the manner permitted by the DGCL,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Serapha. For purposes of this section, an “employee” or “agent” of Serapha (other than a director or officer) includes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512"/>
        <w:gridCol w:w="120"/>
        <w:gridCol w:w="4573"/>
      </w:tblGrid>
      <w:tr>
        <w:trPr/>
        <w:tc>
          <w:tcPr>
            <w:tcW w:w="5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73" w:type="dxa"/>
            <w:tcBorders/>
            <w:vAlign w:val="center"/>
          </w:tcPr>
          <w:p>
            <w:pPr>
              <w:pStyle w:val="TableContents"/>
              <w:bidi w:val="0"/>
              <w:spacing w:before="0" w:after="283"/>
              <w:jc w:val="left"/>
              <w:rPr>
                <w:sz w:val="4"/>
                <w:szCs w:val="4"/>
              </w:rPr>
            </w:pPr>
            <w:r>
              <w:rPr>
                <w:sz w:val="4"/>
                <w:szCs w:val="4"/>
              </w:rPr>
            </w:r>
          </w:p>
        </w:tc>
      </w:tr>
      <w:tr>
        <w:trPr/>
        <w:tc>
          <w:tcPr>
            <w:tcW w:w="55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457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512"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Boundless Bio shall have the power to indemnify and hold harmless, to the fullest extent permitted by applicable law as it presently exists or may hereafter be amended, any employee or agent of Boundless Bio who was or is made or is threatened to be made a party or is otherwise involved in any Proceeding by reason of the fact that he or she, or a person for whom he or she is the legal representative, is or was an employee or agent of Boundless Bio or is or was serving at the request of Boundless Bio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indemnification provisions of the Boundless Bio Bylaws shall not be exclusive of any other rights which such person may have or hereafter acquire under any statute, provision of the Boundless Bio Charter, the Boundless Bio Bylaws, agreement, vote of stockholders or disinterested directors or otherwise.</w:t>
            </w:r>
          </w:p>
        </w:tc>
        <w:tc>
          <w:tcPr>
            <w:tcW w:w="120" w:type="dxa"/>
            <w:tcBorders/>
            <w:vAlign w:val="center"/>
          </w:tcPr>
          <w:p>
            <w:pPr>
              <w:pStyle w:val="TableContents"/>
              <w:bidi w:val="0"/>
              <w:spacing w:before="0" w:after="283"/>
              <w:jc w:val="left"/>
              <w:rPr/>
            </w:pPr>
            <w:r>
              <w:rPr/>
              <w:t>  </w:t>
            </w:r>
          </w:p>
        </w:tc>
        <w:tc>
          <w:tcPr>
            <w:tcW w:w="4573" w:type="dxa"/>
            <w:tcBorders/>
            <w:vAlign w:val="center"/>
          </w:tcPr>
          <w:p>
            <w:pPr>
              <w:pStyle w:val="TableContents"/>
              <w:bidi w:val="0"/>
              <w:spacing w:before="0" w:after="283"/>
              <w:jc w:val="left"/>
              <w:rPr/>
            </w:pPr>
            <w:r>
              <w:rPr/>
              <w:t>person (a) who is or was an employee or agent of Serapha, (b) who is or was serving at the request of Serapha as an employee or agent of another corporation, partnership, joint venture, trust or other enterprise, or (c) who was an employee or agent of a corporation which was a predecessor corporation of Serapha or of another enterprise at the request of such predecessor corporation.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5512" w:type="dxa"/>
            <w:tcBorders/>
            <w:vAlign w:val="center"/>
          </w:tcPr>
          <w:p>
            <w:pPr>
              <w:pStyle w:val="TableContents"/>
              <w:bidi w:val="0"/>
              <w:spacing w:before="0" w:after="283"/>
              <w:jc w:val="left"/>
              <w:rPr>
                <w:sz w:val="4"/>
                <w:szCs w:val="4"/>
              </w:rPr>
            </w:pPr>
            <w:r>
              <w:rPr>
                <w:sz w:val="4"/>
                <w:szCs w:val="4"/>
              </w:rPr>
            </w:r>
          </w:p>
        </w:tc>
        <w:tc>
          <w:tcPr>
            <w:tcW w:w="4693" w:type="dxa"/>
            <w:gridSpan w:val="2"/>
            <w:tcBorders/>
            <w:vAlign w:val="center"/>
          </w:tcPr>
          <w:p>
            <w:pPr>
              <w:pStyle w:val="TableContents"/>
              <w:bidi w:val="0"/>
              <w:spacing w:before="0" w:after="283"/>
              <w:jc w:val="left"/>
              <w:rPr>
                <w:sz w:val="4"/>
                <w:szCs w:val="4"/>
              </w:rPr>
            </w:pPr>
            <w:r>
              <w:rPr>
                <w:sz w:val="4"/>
                <w:szCs w:val="4"/>
              </w:rPr>
            </w:r>
          </w:p>
        </w:tc>
      </w:tr>
      <w:tr>
        <w:trPr/>
        <w:tc>
          <w:tcPr>
            <w:tcW w:w="5512" w:type="dxa"/>
            <w:tcBorders/>
            <w:vAlign w:val="center"/>
          </w:tcPr>
          <w:p>
            <w:pPr>
              <w:pStyle w:val="TableContents"/>
              <w:bidi w:val="0"/>
              <w:spacing w:before="0" w:after="283"/>
              <w:jc w:val="left"/>
              <w:rPr/>
            </w:pPr>
            <w:r>
              <w:rPr/>
              <w:t>Although the Boundless Bio Charter authorizes the issuance of shares of preferred stock, as of the date of this proxy statement/prospectus, no shares of Boundless Bio Preferred Stock are outstanding. Thus, Boundless Bio stockholders currently do not have any conversion rights.</w:t>
            </w:r>
          </w:p>
        </w:tc>
        <w:tc>
          <w:tcPr>
            <w:tcW w:w="120" w:type="dxa"/>
            <w:tcBorders/>
            <w:vAlign w:val="center"/>
          </w:tcPr>
          <w:p>
            <w:pPr>
              <w:pStyle w:val="TableContents"/>
              <w:bidi w:val="0"/>
              <w:spacing w:before="0" w:after="283"/>
              <w:jc w:val="left"/>
              <w:rPr/>
            </w:pPr>
            <w:r>
              <w:rPr/>
              <w:t>  </w:t>
            </w:r>
          </w:p>
        </w:tc>
        <w:tc>
          <w:tcPr>
            <w:tcW w:w="45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share of Serapha Preferred Stock will be convertible, at the option of the holder thereof, at any time, and without the payment of additional consideration by the holder thereof, into such whole number of fully paid and non-assessable shares of Serapha Common Stock, at a conversion rate in accordance with the terms set forth in the Serapha Charter.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outstanding shares of Serapha Preferred Stock will automatically be converted into shares of Serapha Common Stock, at the then effective conversion rate as calculated in accordance with the Serapha Charter, upon the earliest to occur of: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immediately prior to the closing of the sale of shares of Serapha Common Stock to the public, in a firm-commitment underwritten public offering pursuant to an effective registration statement under the Securities Act of 1933, as amended, resulting in (i) a pre-money valuation of Serapha of at least $250,000,000 and (ii) at least $50,000,000 of gross proceeds to Serapha and in connection with such offering the shares of Serapha Common Stock are listed for trading on Nasdaq, the New York Stock Exchange or another exchange or marketplace approved by the Requisite Directors (as defined in the Serapha Charter);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04"/>
        <w:gridCol w:w="120"/>
        <w:gridCol w:w="5781"/>
      </w:tblGrid>
      <w:tr>
        <w:trPr/>
        <w:tc>
          <w:tcPr>
            <w:tcW w:w="4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283"/>
              <w:jc w:val="left"/>
              <w:rPr>
                <w:sz w:val="4"/>
                <w:szCs w:val="4"/>
              </w:rPr>
            </w:pPr>
            <w:r>
              <w:rPr>
                <w:sz w:val="4"/>
                <w:szCs w:val="4"/>
              </w:rPr>
            </w:r>
          </w:p>
        </w:tc>
      </w:tr>
      <w:tr>
        <w:trPr/>
        <w:tc>
          <w:tcPr>
            <w:tcW w:w="430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578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4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81"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immediately prior to the closing of a business combination between Serapha and a public company, in which the pre-transaction Serapha equityholders own, directly or indirectly, a majority of the voting power or economic interests of the surviving public company after the transaction (which, for the avoidance of doubt, would include a reverse merger with a public company);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the date and time, or upon the occurrence of an event, specified by vote or written consent of the holders of a majority of the outstanding shares of Serapha Series A Preferred Stock, voting together as a single class on an as-converted to Serapha Common Stock basis.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in the event any holder of Serapha Series A Preferred Stock does not participate in a Qualified Financing (as defined in the Serapha Charter) by purchasing in the aggregate such holder’s Pro Rata Amount (as defined in the Serapha Charter) within the time period specified by Serapha, after notice and an opportunity to participate, then each share of Serapha Series A Preferred Stock held by such holder shall automatically, and without any further action on the part of such holder, be converted into 1/10th of the number of shares of Serapha Common Stock into which such share would otherwise then be convertible on a one-to-one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4304"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r>
      <w:tr>
        <w:trPr/>
        <w:tc>
          <w:tcPr>
            <w:tcW w:w="4304" w:type="dxa"/>
            <w:tcBorders/>
            <w:vAlign w:val="center"/>
          </w:tcPr>
          <w:p>
            <w:pPr>
              <w:pStyle w:val="TableContents"/>
              <w:bidi w:val="0"/>
              <w:spacing w:before="0" w:after="283"/>
              <w:jc w:val="left"/>
              <w:rPr/>
            </w:pPr>
            <w:r>
              <w:rPr/>
              <w:t>Boundless Bio stockholders do not have preemptive rights. Thus, if additional shares of Boundless Bio Common Stock are issued, the current holders of Boundless Bio Common Stock will own a proportionately smaller interest in a larger number of outstanding shares of Boundless Bio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5781" w:type="dxa"/>
            <w:tcBorders/>
            <w:vAlign w:val="center"/>
          </w:tcPr>
          <w:p>
            <w:pPr>
              <w:pStyle w:val="TableContents"/>
              <w:bidi w:val="0"/>
              <w:spacing w:before="0" w:after="283"/>
              <w:jc w:val="left"/>
              <w:rPr/>
            </w:pPr>
            <w:r>
              <w:rPr/>
              <w:t>Pursuant to the Serapha IRA, if Serapha proposes to offer or sell certain new equity securities, Serapha must first offer such securities to each Major Investor (as defined in the Serapha IRA), which will then have a right to purchase securities in such new offering equal to the proportionate ownership interest of such Major Investor prior to such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Stockholders</w:t>
            </w:r>
          </w:p>
        </w:tc>
      </w:tr>
      <w:tr>
        <w:trPr/>
        <w:tc>
          <w:tcPr>
            <w:tcW w:w="4304" w:type="dxa"/>
            <w:tcBorders/>
            <w:vAlign w:val="center"/>
          </w:tcPr>
          <w:p>
            <w:pPr>
              <w:pStyle w:val="TableContents"/>
              <w:bidi w:val="0"/>
              <w:spacing w:before="0" w:after="283"/>
              <w:jc w:val="left"/>
              <w:rPr>
                <w:sz w:val="4"/>
                <w:szCs w:val="4"/>
              </w:rPr>
            </w:pPr>
            <w:r>
              <w:rPr>
                <w:sz w:val="4"/>
                <w:szCs w:val="4"/>
              </w:rPr>
            </w:r>
          </w:p>
        </w:tc>
        <w:tc>
          <w:tcPr>
            <w:tcW w:w="5901" w:type="dxa"/>
            <w:gridSpan w:val="2"/>
            <w:tcBorders/>
            <w:vAlign w:val="center"/>
          </w:tcPr>
          <w:p>
            <w:pPr>
              <w:pStyle w:val="TableContents"/>
              <w:bidi w:val="0"/>
              <w:spacing w:before="0" w:after="283"/>
              <w:jc w:val="left"/>
              <w:rPr>
                <w:sz w:val="4"/>
                <w:szCs w:val="4"/>
              </w:rPr>
            </w:pPr>
            <w:r>
              <w:rPr>
                <w:sz w:val="4"/>
                <w:szCs w:val="4"/>
              </w:rPr>
            </w:r>
          </w:p>
        </w:tc>
      </w:tr>
      <w:tr>
        <w:trPr/>
        <w:tc>
          <w:tcPr>
            <w:tcW w:w="4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Boundless Bio Board of Directors, subject to any restrictions contained in either (i) the DGCL or (ii) the Boundless Bio Charter, may declare and pay dividends upon the shares of its capital stock. Dividends may be paid in cash, in property or in shares of Boundless Bio’s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Boundless Bio Board of Directors may set apart out of any of the funds of Boundless Bio available for dividends a reserve or reserves for any proper purpose and may abolish any such reserve. Such purposes shall include but not be limited to equalizing dividends,</w:t>
            </w:r>
          </w:p>
        </w:tc>
        <w:tc>
          <w:tcPr>
            <w:tcW w:w="120" w:type="dxa"/>
            <w:tcBorders/>
            <w:vAlign w:val="center"/>
          </w:tcPr>
          <w:p>
            <w:pPr>
              <w:pStyle w:val="TableContents"/>
              <w:bidi w:val="0"/>
              <w:spacing w:before="0" w:after="283"/>
              <w:jc w:val="left"/>
              <w:rPr/>
            </w:pPr>
            <w:r>
              <w:rPr/>
              <w:t>  </w:t>
            </w:r>
          </w:p>
        </w:tc>
        <w:tc>
          <w:tcPr>
            <w:tcW w:w="5781" w:type="dxa"/>
            <w:tcBorders/>
            <w:vAlign w:val="center"/>
          </w:tcPr>
          <w:p>
            <w:pPr>
              <w:pStyle w:val="TableContents"/>
              <w:bidi w:val="0"/>
              <w:spacing w:before="0" w:after="283"/>
              <w:jc w:val="left"/>
              <w:rPr/>
            </w:pPr>
            <w:r>
              <w:rPr/>
              <w:t>Serapha shall not declare, pay or set aside any dividends on shares of any other class or series of capital stock of Serapha (other than dividends on shares of Serapha Common Stock payable in shares of Serapha Common Stock) unless (in addition to the obtaining of any consents required elsewhere in the Serapha Charter) the holders of Serapha Preferred Stock then outstanding first receive, or simultaneously receive, a dividend on each outstanding share of Serapha Preferred Stock in an amount calculated in accordance with the Serapha Charter.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035"/>
        <w:gridCol w:w="120"/>
        <w:gridCol w:w="5050"/>
      </w:tblGrid>
      <w:tr>
        <w:trPr/>
        <w:tc>
          <w:tcPr>
            <w:tcW w:w="5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50" w:type="dxa"/>
            <w:tcBorders/>
            <w:vAlign w:val="center"/>
          </w:tcPr>
          <w:p>
            <w:pPr>
              <w:pStyle w:val="TableContents"/>
              <w:bidi w:val="0"/>
              <w:spacing w:before="0" w:after="283"/>
              <w:jc w:val="left"/>
              <w:rPr>
                <w:sz w:val="4"/>
                <w:szCs w:val="4"/>
              </w:rPr>
            </w:pPr>
            <w:r>
              <w:rPr>
                <w:sz w:val="4"/>
                <w:szCs w:val="4"/>
              </w:rPr>
            </w:r>
          </w:p>
        </w:tc>
      </w:tr>
      <w:tr>
        <w:trPr/>
        <w:tc>
          <w:tcPr>
            <w:tcW w:w="50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5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5035" w:type="dxa"/>
            <w:tcBorders/>
            <w:vAlign w:val="center"/>
          </w:tcPr>
          <w:p>
            <w:pPr>
              <w:pStyle w:val="TableContents"/>
              <w:bidi w:val="0"/>
              <w:spacing w:before="0" w:after="283"/>
              <w:jc w:val="left"/>
              <w:rPr/>
            </w:pPr>
            <w:r>
              <w:rPr/>
              <w:t>repairing or maintaining any property of Boundless Bio, and meeting contingencies.</w:t>
            </w:r>
          </w:p>
        </w:tc>
        <w:tc>
          <w:tcPr>
            <w:tcW w:w="120"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5035" w:type="dxa"/>
            <w:tcBorders/>
            <w:vAlign w:val="center"/>
          </w:tcPr>
          <w:p>
            <w:pPr>
              <w:pStyle w:val="TableContents"/>
              <w:bidi w:val="0"/>
              <w:spacing w:before="0" w:after="283"/>
              <w:jc w:val="left"/>
              <w:rPr>
                <w:sz w:val="4"/>
                <w:szCs w:val="4"/>
              </w:rPr>
            </w:pPr>
            <w:r>
              <w:rPr>
                <w:sz w:val="4"/>
                <w:szCs w:val="4"/>
              </w:rPr>
            </w:r>
          </w:p>
        </w:tc>
        <w:tc>
          <w:tcPr>
            <w:tcW w:w="5170" w:type="dxa"/>
            <w:gridSpan w:val="2"/>
            <w:tcBorders/>
            <w:vAlign w:val="center"/>
          </w:tcPr>
          <w:p>
            <w:pPr>
              <w:pStyle w:val="TableContents"/>
              <w:bidi w:val="0"/>
              <w:spacing w:before="0" w:after="283"/>
              <w:jc w:val="left"/>
              <w:rPr>
                <w:sz w:val="4"/>
                <w:szCs w:val="4"/>
              </w:rPr>
            </w:pPr>
            <w:r>
              <w:rPr>
                <w:sz w:val="4"/>
                <w:szCs w:val="4"/>
              </w:rPr>
            </w:r>
          </w:p>
        </w:tc>
      </w:tr>
      <w:tr>
        <w:trPr/>
        <w:tc>
          <w:tcPr>
            <w:tcW w:w="5035" w:type="dxa"/>
            <w:tcBorders/>
            <w:vAlign w:val="center"/>
          </w:tcPr>
          <w:p>
            <w:pPr>
              <w:pStyle w:val="TableContents"/>
              <w:bidi w:val="0"/>
              <w:spacing w:before="0" w:after="283"/>
              <w:jc w:val="left"/>
              <w:rPr/>
            </w:pPr>
            <w:r>
              <w:rPr/>
              <w:t>Unless Boundless Bio consents in writing to the selection of an alternative forum, (a) the Court of Chancery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Boundless Bio, (ii) any Proceeding asserting a claim of breach of a fiduciary duty owed by any director, officer or stockholder of Boundless Bio to Boundless Bio or to Boundless Bio’s stockholders, (iii) any Proceeding arising pursuant to any provision of the DGCL, the Boundless Bio Charter or the Boundless Bio Bylaws or (iv) any Proceeding asserting a claim against Boundless Bio governed by the internal affairs doctrine; and (b) subject to the preceding provisions of this Article, to the extent permitted by applicable law, the federal district courts of the United States of America shall be the exclusive forum for the resolution of any complaint asserting a cause of action arising under the Securities Act. Any person or entity purchasing or otherwise acquiring any interest in any security of Boundless Bio shall be deemed to have notice of and consented to this provision.</w:t>
            </w:r>
          </w:p>
        </w:tc>
        <w:tc>
          <w:tcPr>
            <w:tcW w:w="120"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Unless Serapha consents in writing to the selection of an alternative forum, the Court of Chancery in the State of Delaware shall be the sole and exclusive forum for any stockholder (including a beneficial owner) to bring (i) any derivative action or proceeding brought on behalf of Serapha, (ii) any action asserting a claim of breach of fiduciary duty owed by any director, officer or other employee of Serapha to Serapha or Serapha’s stockholders, (iii) any action asserting a claim against Serapha, its directors, officers or employees arising pursuant to any provision of the DGCL or Serapha’s Charter or Serapha’s Bylaws or (iv) any action asserting a claim against Serapha, its directors, officers or employees governed by the internal affairs doctrine or that otherwise relates to the internal affairs of Serapha,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5035" w:type="dxa"/>
            <w:tcBorders/>
            <w:vAlign w:val="center"/>
          </w:tcPr>
          <w:p>
            <w:pPr>
              <w:pStyle w:val="TableContents"/>
              <w:bidi w:val="0"/>
              <w:spacing w:before="0" w:after="283"/>
              <w:jc w:val="left"/>
              <w:rPr>
                <w:sz w:val="4"/>
                <w:szCs w:val="4"/>
              </w:rPr>
            </w:pPr>
            <w:r>
              <w:rPr>
                <w:sz w:val="4"/>
                <w:szCs w:val="4"/>
              </w:rPr>
            </w:r>
          </w:p>
        </w:tc>
        <w:tc>
          <w:tcPr>
            <w:tcW w:w="5170" w:type="dxa"/>
            <w:gridSpan w:val="2"/>
            <w:tcBorders/>
            <w:vAlign w:val="center"/>
          </w:tcPr>
          <w:p>
            <w:pPr>
              <w:pStyle w:val="TableContents"/>
              <w:bidi w:val="0"/>
              <w:spacing w:before="0" w:after="283"/>
              <w:jc w:val="left"/>
              <w:rPr>
                <w:sz w:val="4"/>
                <w:szCs w:val="4"/>
              </w:rPr>
            </w:pPr>
            <w:r>
              <w:rPr>
                <w:sz w:val="4"/>
                <w:szCs w:val="4"/>
              </w:rPr>
            </w:r>
          </w:p>
        </w:tc>
      </w:tr>
      <w:tr>
        <w:trPr/>
        <w:tc>
          <w:tcPr>
            <w:tcW w:w="5035" w:type="dxa"/>
            <w:tcBorders/>
            <w:vAlign w:val="center"/>
          </w:tcPr>
          <w:p>
            <w:pPr>
              <w:pStyle w:val="TableContents"/>
              <w:bidi w:val="0"/>
              <w:spacing w:before="0" w:after="283"/>
              <w:jc w:val="left"/>
              <w:rPr/>
            </w:pPr>
            <w:r>
              <w:rPr/>
              <w:t>Certain holders of shares of Boundless Bio’s outstanding common stock have registration rights that entitle such holders to require Boundless Bio to register their shares for resale under the Securities Act, subject to certain exceptions. Registration of these shares under the Securities Act would result in the shares becoming freely tradable without restriction under the Securities Act, except for shares held by affiliates, as defined in Rule 144 under the Securities Act. In connection with the Merger, Boundless Bio, Serapha and the investors participating in the Serapha Pre-Closing Financing will enter into a registration rights agreement at the closing of the Serapha Pre-Closing Financing, pursuant to which, among other things, the Combined Company will agree to prepare and file a resale registration statement covering the resale of certain shares of Boundless Bio Common Stock within 45 calendar days of the Closing pursuant to Rule 415 and to use its commercially reasonable efforts to keep such registration statement continuously effective under the Securities Act. The registration rights agreement also provides that the</w:t>
            </w:r>
          </w:p>
        </w:tc>
        <w:tc>
          <w:tcPr>
            <w:tcW w:w="120"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In addition to those registration rights in connection with the Merger, under the Serapha IRA, certain holders of Serapha Capital Stock that are party to the Serapha IRA have certain registration rights, including the right to demand that Serapha file a registration statement, so-called “demand” registration rights, or request that their shares be covered by a registration statement that Serapha is otherwise filing, so-called “piggyback” registration rights. The registration rights granted under the Serapha IRA will terminate, with respect to a holder, upon the earliest to occur of: (i) the closing of a Deemed Liquidation Event (as such term is defined in the Serapha Charter), (ii) such time after Serapha’s initial public offering or direct listing when such holder, together with its affiliates, holds less than 1% of the outstanding Serapha Capital Stock and may immediately sell all of its registrable securities under Rule 144 of the Securities Act, or a similar exemption, without limitation during a three-month period without registration, (iii) the fifth anniversary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01"/>
        <w:gridCol w:w="120"/>
        <w:gridCol w:w="6284"/>
      </w:tblGrid>
      <w:tr>
        <w:trPr/>
        <w:tc>
          <w:tcPr>
            <w:tcW w:w="3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84" w:type="dxa"/>
            <w:tcBorders/>
            <w:vAlign w:val="center"/>
          </w:tcPr>
          <w:p>
            <w:pPr>
              <w:pStyle w:val="TableContents"/>
              <w:bidi w:val="0"/>
              <w:spacing w:before="0" w:after="283"/>
              <w:jc w:val="left"/>
              <w:rPr>
                <w:sz w:val="4"/>
                <w:szCs w:val="4"/>
              </w:rPr>
            </w:pPr>
            <w:r>
              <w:rPr>
                <w:sz w:val="4"/>
                <w:szCs w:val="4"/>
              </w:rPr>
            </w:r>
          </w:p>
        </w:tc>
      </w:tr>
      <w:tr>
        <w:trPr/>
        <w:tc>
          <w:tcPr>
            <w:tcW w:w="38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Boundless Bio</w:t>
            </w:r>
          </w:p>
        </w:tc>
        <w:tc>
          <w:tcPr>
            <w:tcW w:w="120" w:type="dxa"/>
            <w:tcBorders/>
            <w:vAlign w:val="center"/>
          </w:tcPr>
          <w:p>
            <w:pPr>
              <w:pStyle w:val="TableContents"/>
              <w:bidi w:val="0"/>
              <w:spacing w:before="0" w:after="283"/>
              <w:jc w:val="left"/>
              <w:rPr/>
            </w:pPr>
            <w:r>
              <w:rPr/>
              <w:t>  </w:t>
            </w:r>
          </w:p>
        </w:tc>
        <w:tc>
          <w:tcPr>
            <w:tcW w:w="628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Serapha</w:t>
            </w:r>
          </w:p>
        </w:tc>
      </w:tr>
      <w:tr>
        <w:trPr/>
        <w:tc>
          <w:tcPr>
            <w:tcW w:w="3801" w:type="dxa"/>
            <w:tcBorders/>
            <w:vAlign w:val="center"/>
          </w:tcPr>
          <w:p>
            <w:pPr>
              <w:pStyle w:val="TableContents"/>
              <w:bidi w:val="0"/>
              <w:spacing w:before="0" w:after="283"/>
              <w:jc w:val="left"/>
              <w:rPr/>
            </w:pPr>
            <w:r>
              <w:rPr/>
              <w:t>Combined Company will pay certain expenses relating to such registrations and indemnify the applicable securityholders against certain liabilities.</w:t>
            </w:r>
          </w:p>
        </w:tc>
        <w:tc>
          <w:tcPr>
            <w:tcW w:w="120" w:type="dxa"/>
            <w:tcBorders/>
            <w:vAlign w:val="center"/>
          </w:tcPr>
          <w:p>
            <w:pPr>
              <w:pStyle w:val="TableContents"/>
              <w:bidi w:val="0"/>
              <w:spacing w:before="0" w:after="283"/>
              <w:jc w:val="left"/>
              <w:rPr/>
            </w:pPr>
            <w:r>
              <w:rPr/>
              <w:t>  </w:t>
            </w:r>
          </w:p>
        </w:tc>
        <w:tc>
          <w:tcPr>
            <w:tcW w:w="6284" w:type="dxa"/>
            <w:tcBorders/>
            <w:vAlign w:val="center"/>
          </w:tcPr>
          <w:p>
            <w:pPr>
              <w:pStyle w:val="TableContents"/>
              <w:bidi w:val="0"/>
              <w:spacing w:before="0" w:after="283"/>
              <w:jc w:val="left"/>
              <w:rPr/>
            </w:pPr>
            <w:r>
              <w:rPr/>
              <w:t>of Serapha’s initial public offering or direct listing, or (iv) the closing of a Reverse Merger Transaction (as such term is defined in the Serapha Charter).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 Transfer Restrictions Applicable to Stockholders</w:t>
            </w:r>
          </w:p>
        </w:tc>
      </w:tr>
      <w:tr>
        <w:trPr/>
        <w:tc>
          <w:tcPr>
            <w:tcW w:w="3801" w:type="dxa"/>
            <w:tcBorders/>
            <w:vAlign w:val="center"/>
          </w:tcPr>
          <w:p>
            <w:pPr>
              <w:pStyle w:val="TableContents"/>
              <w:bidi w:val="0"/>
              <w:spacing w:before="0" w:after="283"/>
              <w:jc w:val="left"/>
              <w:rPr>
                <w:sz w:val="4"/>
                <w:szCs w:val="4"/>
              </w:rPr>
            </w:pPr>
            <w:r>
              <w:rPr>
                <w:sz w:val="4"/>
                <w:szCs w:val="4"/>
              </w:rPr>
            </w:r>
          </w:p>
        </w:tc>
        <w:tc>
          <w:tcPr>
            <w:tcW w:w="6404" w:type="dxa"/>
            <w:gridSpan w:val="2"/>
            <w:tcBorders/>
            <w:vAlign w:val="center"/>
          </w:tcPr>
          <w:p>
            <w:pPr>
              <w:pStyle w:val="TableContents"/>
              <w:bidi w:val="0"/>
              <w:spacing w:before="0" w:after="283"/>
              <w:jc w:val="left"/>
              <w:rPr>
                <w:sz w:val="4"/>
                <w:szCs w:val="4"/>
              </w:rPr>
            </w:pPr>
            <w:r>
              <w:rPr>
                <w:sz w:val="4"/>
                <w:szCs w:val="4"/>
              </w:rPr>
            </w:r>
          </w:p>
        </w:tc>
      </w:tr>
      <w:tr>
        <w:trPr/>
        <w:tc>
          <w:tcPr>
            <w:tcW w:w="3801" w:type="dxa"/>
            <w:tcBorders/>
            <w:vAlign w:val="center"/>
          </w:tcPr>
          <w:p>
            <w:pPr>
              <w:pStyle w:val="TableContents"/>
              <w:bidi w:val="0"/>
              <w:spacing w:before="0" w:after="283"/>
              <w:jc w:val="left"/>
              <w:rPr/>
            </w:pPr>
            <w:r>
              <w:rPr/>
              <w:t>Shares of Boundless Bio Common Stock are transferable in the manner prescribed by law and the Boundless Bio Bylaws.</w:t>
            </w:r>
          </w:p>
        </w:tc>
        <w:tc>
          <w:tcPr>
            <w:tcW w:w="120" w:type="dxa"/>
            <w:tcBorders/>
            <w:vAlign w:val="center"/>
          </w:tcPr>
          <w:p>
            <w:pPr>
              <w:pStyle w:val="TableContents"/>
              <w:bidi w:val="0"/>
              <w:spacing w:before="0" w:after="283"/>
              <w:jc w:val="left"/>
              <w:rPr/>
            </w:pPr>
            <w:r>
              <w:rPr/>
              <w:t>  </w:t>
            </w:r>
          </w:p>
        </w:tc>
        <w:tc>
          <w:tcPr>
            <w:tcW w:w="62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holder of any of the shares of stock of Serapha may transfer any of the shares of Serapha or any right or interest therein, without the prior written consent of Serapha, upon duly authorized action of the Serapha Board of Directors. Serapha may withhold consent for any legitimate corporate purpose, as determined by the Serapha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restriction on transfers set forth in the Serapha Bylaws will terminate upon the date securities of Serapha are first offered to the public pursuant to a registration statement filed with, and declared effective by, the SEC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108148_36"/>
      <w:bookmarkEnd w:id="73"/>
      <w:r>
        <w:rPr>
          <w:rFonts w:ascii="Times New Roman" w:hAnsi="Times New Roman"/>
          <w:b/>
          <w:sz w:val="20"/>
        </w:rPr>
        <w:t xml:space="preserve">PRINCIPAL STOCKHOLDERS OF BOUNDLESS BIO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Boundless Bio Common Stock at September 30, 2026 for (1) each person, or group of affiliated persons, known to Boundless Bio to be the beneficial owner of more than 5% of its common stock, (2) each of Boundless Bio’s directors, (3) each of Boundless Bio’s named executive officers, and (4) all of Boundless Bio’s current directors and executive officers as a group. Unless otherwise indicated, the address of each beneficial owner listed in the table below is c/o Boundless Bio, Inc., 11099 North Torrey Pines Road, Suite 150, La Jolla, California 92037.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Except as indicated in the footnotes to the table below, Boundless Bio believes, based on information furnished to it and on SEC filings, that the persons named in the table below have sole voting and sole investment power with respect to all shares of common stock indicated as beneficially owned,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23,108,935 shares of common stock outstanding as of September 30, 2026. In computing the number of shares of common stock beneficially owned by a person and the percentage ownership of that person, Boundless Bio deemed to be outstanding all shares of common stock subject to options, warrants, rights, or convertible securities held by that person that are currently exercisable or convertible or will be exercisable or convertible within 60 days of September 30, 2026. Boundless Bio did not deem these shares outstanding, however, for the purpose of computing the percentage ownership of any other person.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75"/>
        <w:gridCol w:w="120"/>
        <w:gridCol w:w="137"/>
        <w:gridCol w:w="2242"/>
        <w:gridCol w:w="137"/>
        <w:gridCol w:w="274"/>
        <w:gridCol w:w="206"/>
        <w:gridCol w:w="1524"/>
        <w:gridCol w:w="290"/>
      </w:tblGrid>
      <w:tr>
        <w:trPr/>
        <w:tc>
          <w:tcPr>
            <w:tcW w:w="5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2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20" w:type="dxa"/>
            <w:tcBorders/>
            <w:vAlign w:val="center"/>
          </w:tcPr>
          <w:p>
            <w:pPr>
              <w:pStyle w:val="TableContents"/>
              <w:bidi w:val="0"/>
              <w:spacing w:before="0" w:after="283"/>
              <w:jc w:val="left"/>
              <w:rPr/>
            </w:pPr>
            <w:r>
              <w:rPr/>
              <w:t>  </w:t>
            </w:r>
          </w:p>
        </w:tc>
        <w:tc>
          <w:tcPr>
            <w:tcW w:w="2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242"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52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and individual affiliated with Tang Capital(1)</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2,840,635</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12.3</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and individuals affiliated with ARCH Venture Partners (2)</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2,694,095</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11.7</w:t>
            </w:r>
          </w:p>
        </w:tc>
        <w:tc>
          <w:tcPr>
            <w:tcW w:w="290" w:type="dxa"/>
            <w:tcBorders/>
            <w:shd w:fill="CCEEFF" w:val="clear"/>
            <w:vAlign w:val="center"/>
          </w:tcPr>
          <w:p>
            <w:pPr>
              <w:pStyle w:val="TableContents"/>
              <w:bidi w:val="0"/>
              <w:spacing w:before="0" w:after="283"/>
              <w:jc w:val="left"/>
              <w:rPr/>
            </w:pPr>
            <w:r>
              <w:rPr/>
              <w:t>% </w:t>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and individuals affiliated with Fidelity (3)</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2,684,022</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11.6</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and individual affiliated with ADAR1 Capital Management, LLC (4)</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1,968,216</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Bayer HealthCare LLC (5)</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1,615,201</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7.0</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242"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52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Zachary D. Hornby (6)</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2,426,857</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9.7</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Doebele, M.D., Ph.D. (7)</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410,000</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 </w:t>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Hassig, Ph.D. (8)</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681,923</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E. Lim, M.D. (9)</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786,845</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3.4</w:t>
            </w:r>
          </w:p>
        </w:tc>
        <w:tc>
          <w:tcPr>
            <w:tcW w:w="290" w:type="dxa"/>
            <w:tcBorders/>
            <w:shd w:fill="CCEEFF" w:val="clear"/>
            <w:vAlign w:val="center"/>
          </w:tcPr>
          <w:p>
            <w:pPr>
              <w:pStyle w:val="TableContents"/>
              <w:bidi w:val="0"/>
              <w:spacing w:before="0" w:after="283"/>
              <w:jc w:val="left"/>
              <w:rPr/>
            </w:pPr>
            <w:r>
              <w:rPr/>
              <w:t>% </w:t>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Christensen, Ph.D. (10)</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102,756</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Lew (11)</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102,756</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Whiting, Pharm.D. (12)</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242" w:type="dxa"/>
            <w:tcBorders/>
            <w:vAlign w:val="center"/>
          </w:tcPr>
          <w:p>
            <w:pPr>
              <w:pStyle w:val="TableContents"/>
              <w:bidi w:val="0"/>
              <w:spacing w:before="0" w:after="283"/>
              <w:jc w:val="right"/>
              <w:rPr/>
            </w:pPr>
            <w:r>
              <w:rPr/>
              <w:t>102,756</w:t>
            </w:r>
          </w:p>
        </w:tc>
        <w:tc>
          <w:tcPr>
            <w:tcW w:w="137"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(six persons) (13)</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242" w:type="dxa"/>
            <w:tcBorders/>
            <w:shd w:fill="CCEEFF" w:val="clear"/>
            <w:vAlign w:val="center"/>
          </w:tcPr>
          <w:p>
            <w:pPr>
              <w:pStyle w:val="TableContents"/>
              <w:bidi w:val="0"/>
              <w:spacing w:before="0" w:after="283"/>
              <w:jc w:val="right"/>
              <w:rPr/>
            </w:pPr>
            <w:r>
              <w:rPr/>
              <w:t>1,916,042</w:t>
            </w:r>
          </w:p>
        </w:tc>
        <w:tc>
          <w:tcPr>
            <w:tcW w:w="13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7.9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Tang Capital Partners, LP (“TCP”) has shared voting and dispositive power over 655,170 shares of common stock, Tang Capital Partners International, LP (“TCPI”) has shared voting and dispositive power over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887,715 shares of common stock, Tang Capital Partners III, Inc. (“TCP3”) has shared voting and dispositive power over 655,161 shares of common stock, and Tang Capital Partners IV, Inc. (“TCP4”) has shared voting and dispositive power over 642,589 shares of common stock. Tang Capital Management, LLC (“TCM”) is the general partner of TCP and TCPI and shares voting and dispositive power over shares of common stock held by TCP and TCPI. Kevin Tang is the sole manager of TCM and the sole director and Chief Executive Officer of TCP3 and TCP4 and shares voting and dispositive power over shares of common stock held by TCP, TCPI, TCP3 and TCP4. The business address for each of TCM, Kevin Tang, TCP and TCPI is 4747 Executive Drive, Suite 210, San Diego, CA 92121. The address of TCP3 and TCP4 is 400 S. 4th Street, 3rd Floor, Las Vegas, NV 89101. The information herein is based on the information in the Schedule 13G filed by TCM, Kevin Tang, TCP, TCPI, TCP3 and TCP4 with the SEC on June 29, 2026 and the Form 4 filed by TCM and Kevin Tang on August 28, 2026.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(2)</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683,759 shares of common stock held by ARCH Venture Fund IX, L.P. (“ARCH IX”), 828,570 shares of common stock held by ARCH Venture Fund IX Overage, L.P. (“ARCH IX Overage”), and 1,181,766 shares of common stock held by ARCH Venture Fund X Overage, L.P. (“ARCH X Overage”). ARCH Venture Partners IX, L.P. (“AVP IX LP”) is the sole general partner of ARCH IX. ARCH Venture Partners IX Overage, L.P. (“AVP IX Overage LP”) is the sole general partner of ARCH IX Overage. ARCH Venture Partners IX, LLC (“AVP IX LLC”) is the sole general partner of each of AVP IX LP and AVP IX Overage LP. Keith Crandell, Robert Nelsen and Clinton Bybee are managing directors of AVP IX LLC (the “AVP IX MDs”). AVP IX LP and AVP IX Overage LP may be deemed to beneficially own the shares held by ARCH IX and ARCH IX Overage, respectively, AVP IX LLC may be deemed to beneficially own the shares held by ARCH IX and ARCH IX Overage, and each of the AVP IX MDs may be deemed to share the power to direct the disposition and vote of the shares held by ARCH IX and ARCH IX Overage. AVP IX LP, AVP IX Overage LP, AVP IX LLC, and the AVP IX MDs each disclaim beneficial ownership except to the extent of any pecuniary interest therein, if any. ARCH Venture Partners X Overage, L.P. (“AVP X Overage LP”) is the sole general partner of ARCH X Overage. ARCH Venture Partners X, LLC (“AVP X LLC”) is the sole general partner of AVP X Overage LP. Keith Crandell, Robert Nelsen, Kristina Burow and Steven Gillis are members of the investment committee of AVP X LLC (the “AVP X Committee Members”). AVP X Overage LP may be deemed to beneficially own the shares held by ARCH X Overage, AVP X LLC may be deemed to beneficially own the shares held by ARCH X Overage, and each of the AVP X Committee Members may be deemed to share the power to direct the disposition and vote of the shares held by ARCH X Overage. AVP X Overage LP, AVP X LLC, and the AVP X Committee Members each disclaim beneficial ownership except to the extent of any pecuniary interest therein, if any. The foregoing ARCH entities and persons are referred to collectively as the “ARCH Persons.” The business address of each ARCH Person is 8755 W. Higgins Road, Suite 1025, Chicago, Illinois 60631. The information herein is based on information in the Schedule 13D filed by the ARCH Persons with the SEC on October 29, 2024 and the Form 4 filed by the ARCH Persons with the SEC on July 7, 2026.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beneficially owned, or may be deemed to be beneficially owned, by FMR LLC, certain of its subsidiaries and affiliates, and other companies, including the following subsidiaries of FMR LLC, the parent holding company: Fidelity Institutional Asset Management Trust Company (a bank); Fidelity Management &amp; Research Company LLC (an investment advisor); and Fidelity Management Trust Company (a bank). Members of the Johnson family, including Abigail P. Johnson, a Director, the Chairman, and the Chief Executive Officer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sole voting power with respect to 2,681,049 shares of Boundless Bio Common Stock, and sole dispositive power with respect to 2,684,022 shares of Boundless Bio Common Stock. One or more other persons are known to FMR LLC to have the right to receive or the power to direct the receipt of dividends from, or the proceeds from the sale of, such shares of Boundless Bio Common Stock. The interest of Fidelity Growth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Commingled Pool in such shares of Boundless Bio Common Stock amounts to 1,237,265 shares. The address of FMR LLC is 245 Summer Street, Boston, Massachusetts 02210. The business address of FMR LLC is 245 Summer Street, Boston, Massachusetts 02210. The information herein is based on the information in Amendment No. 1 to Schedule 13G filed by FMR LLC and Ms. Johnson with the SEC on February 5,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owned directly by private investment funds managed by ADAR1 Capital Management, LLC. Such securities may be deemed to be indirectly beneficially owned by ADAR1 Capital Management, LLC and Daniel Schneeberger, the sole manager of ADAR1 Capital Management, LLC. The business address of each of ADAR1 Capital Management, LLC and Mr. Schneeberger is 3503 Wild Cherry Drive, Building 9, Austin, Texas 78738. The information herein is based on information in the Schedule 13G filed by ADAR1 Capital Management, LLC and Mr. Schneeberger with the SEC on August 14, 2026.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Bayer HealthCare LLC (“BHC”) is the direct beneficial owner of these shares. BHC is controlled by Bayer US Holding LP (“BUSH LP”). Bayer World Investments B.V. (“BWI”) is the general partner of BUSH LP. BWI is an indirect, wholly owned subsidiary of Bayer Aktiengesellschaft (“Bayer AG”). Bayer AG may be deemed to be an indirect beneficial owner of the shares beneficially owned directly by BHC. BHC, BUSH LP, BWI, and Bayer AG share voting and dispositive power over the shares beneficially owned directly by BHC. The business address for BHC and BUSH LP is 100 Bayer Boulevard, Whippany, New Jersey 07981. The business address for BWI is Siriusdreef 36, 2132 WT Hoofddorp, The Netherlands. The business address for Bayer AG is Kaiser-Wilhelm-Allee 1, 51368 Leverkusen, Germany. The information herein is based on information in the Schedule 13G filed by BHC, BUSH LP, BWI, and Bayer AG with the SEC on April 9, 2024.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(6)</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556,410 shares of common stock and (ii) 1,870,447 shares of common stock underlying options that are exercisable as of September 30, 2026, or that will become exercisable within 60 days after such date. Mr. Hornby ceased being an officer and director of Boundless Bio effective July 1, 2026.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 shares of common stock underlying options that are exercisable as of September 30, 2026, or that will become exercisable within 60 days after such date. Dr. Doebele ceased being an officer of Boundless Bio effective July 1, 2026.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25,641 shares of common stock and (ii) 656,282 shares of common stock underlying options that are exercisable as of September 30, 2026, or that will become exercisable within 60 days after such date. Dr. Hassig ceased being an officer of Boundless Bio effective July 1, 2026.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(9)</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102,564 shares of common stock held by a family trust of Dr. Lim, for which he and his spouse are co-trustees and share voting and dispositive power over the securities held by the trust, (ii) 550,915 shares of common stock held by City Hill, LLC for which Dr. Lim serves as the managing partner and exercises voting and dispositive control over the securities held by City Hill, and (iii) 133,366 shares of common stock underlying options that are exercisable as of September 30, 2026, or that will become exercisable within 60 days after such date. Dr. Lim disclaims beneficial ownership of the shares held by City Hill, except to the extent of any pecuniary interest therein. </w:t>
            </w:r>
          </w:p>
        </w:tc>
      </w:tr>
    </w:tbl>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(10)</w:t>
            </w:r>
          </w:p>
        </w:tc>
        <w:tc>
          <w:tcPr>
            <w:tcW w:w="9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September 30, 2026, or that will become exercisable within 60 days after such date. </w:t>
            </w:r>
          </w:p>
        </w:tc>
      </w:tr>
    </w:tbl>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(11)</w:t>
            </w:r>
          </w:p>
        </w:tc>
        <w:tc>
          <w:tcPr>
            <w:tcW w:w="9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September 30, 2026, or that will become exercisable within 60 days after such date. </w:t>
            </w:r>
          </w:p>
        </w:tc>
      </w:tr>
    </w:tbl>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pPr>
            <w:r>
              <w:rPr/>
              <w:t>(12)</w:t>
            </w:r>
          </w:p>
        </w:tc>
        <w:tc>
          <w:tcPr>
            <w:tcW w:w="9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102,756 shares of common stock underlying options that are exercisable as of September 30, 2026, or that will become exercisable within 60 days after such date.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(13)</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shares described in footnotes 9 through 12, as well as (i) 501,669 shares of common stock underlying options held by Jessica Oien, J.D. that are exercisable as of September 30, 2026, or that will become exercisable within 60 days after such date, and (ii) 100 shares of common stock held by David Hinkle and 319,160 shares of common stock underlying options held by Mr. Hinkle that are exercisable as of September 30, 2026, or that will become exercisable within 60 days after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108148_37"/>
      <w:bookmarkEnd w:id="74"/>
      <w:r>
        <w:rPr>
          <w:rFonts w:ascii="Times New Roman" w:hAnsi="Times New Roman"/>
          <w:b/>
          <w:sz w:val="20"/>
        </w:rPr>
        <w:t xml:space="preserve">PRINCIPAL STOCKHOLDERS OF SERAPHA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Serapha regarding beneficial ownership of Serapha Common Stock on an as-converted to Serapha Common Stock basis as of October 1, 2026 for: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Serapha’s directors;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5"/>
        <w:gridCol w:w="110"/>
        <w:gridCol w:w="60"/>
        <w:gridCol w:w="3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Serapha’s executive officers;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Serapha’s directors and executive officers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Serapha to beneficially own greater than 5% of Serapha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Serapha’s securities. Under such rules, beneficial ownership includes any shares over which the individual has sole or shared voting power or investment power as well as any shares that the individual has the right to acquire within 60 days of the date of this table. Shares of Serapha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Serapha’s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Serapha Pre-Closing Financing in the table below is based on 36,768,708 shares of Serapha Common Stock deemed to be outstanding as of the date of this table, assuming the conversion of all outstanding shares of Serapha Preferred Stock into shares of Serapha Common Stock. The following table does not reflect any shares of Serapha Common Stock or Serapha Pre-Funded Warrants that such holders have agreed to purchase in the Serapha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Serapha Bio, Inc., 40 10th Avenue, Floor 7, New York, NY 10014. </w:t>
      </w:r>
    </w:p>
    <w:p>
      <w:pPr>
        <w:pStyle w:val="TextBody"/>
        <w:bidi w:val="0"/>
        <w:spacing w:before="0" w:after="0"/>
        <w:jc w:val="left"/>
        <w:rPr/>
      </w:pPr>
      <w:r>
        <w:rPr/>
        <w:t> </w:t>
      </w:r>
    </w:p>
    <w:tbl>
      <w:tblPr>
        <w:tblW w:w="9350" w:type="dxa"/>
        <w:jc w:val="left"/>
        <w:tblInd w:w="0" w:type="dxa"/>
        <w:tblLayout w:type="fixed"/>
        <w:tblCellMar>
          <w:top w:w="0" w:type="dxa"/>
          <w:left w:w="0" w:type="dxa"/>
          <w:bottom w:w="0" w:type="dxa"/>
          <w:right w:w="0" w:type="dxa"/>
        </w:tblCellMar>
      </w:tblPr>
      <w:tblGrid>
        <w:gridCol w:w="4970"/>
        <w:gridCol w:w="120"/>
        <w:gridCol w:w="98"/>
        <w:gridCol w:w="1797"/>
        <w:gridCol w:w="60"/>
        <w:gridCol w:w="120"/>
        <w:gridCol w:w="227"/>
        <w:gridCol w:w="1668"/>
        <w:gridCol w:w="290"/>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17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66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RTW Investments, LP(1)</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10,767,111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29.3</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Management(2)</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9,862,867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26.8</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 US LLC(3)</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4,000,266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10.9</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YolTech Therapeutics Co., Ltd.(4)</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4,040,068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9.9</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Decheng Capital(5)</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3,333,555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9.1</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Vivo Capital(6)</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2,000,133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5.4</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Directors and Executive Officers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Mills</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Daphne Karydas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Piratip Pratumsuwan</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Lu</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Laura Tadvalkar</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Hammond</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Victor Tong</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(7 persons)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4,100,000 shares of Serapha Common Stock and 6,667,111 shares of Serapha Preferred Stock held by RTW Holdings X, LLC (“RTW Holdings X”). RTW Fund Group GP, LLC (“RTW Fund Group”), in its capacity as the manager of RTW Holdings X, has the power to vote and the power to direct the disposition of the shares held by RTW Holdings X. Accordingly, RTW Fund Group may be deemed to be the beneficial owner of such securities. Roderick Wong, M.D., as the Managing Member of RTW Fund Group, has the power to direct the vote and disposition of the securities held by RTW Holdings X, and Peter Fong is a Member of RTW Fund Group. Each of Dr. Wong and Mr. Fong disclaims beneficial ownership of the shares held by RTW Holdings X, except to the extent of his respective pecuniary interest therein. RTW Holdings X is an affiliate of Piratip Pratumsuwan and Paul Lu, each a Serapha director. The address and principal office of RTW Fund Group GP, LLC is 40 10th Avenue, Floor 7, New York, NY 10014, and the address of each of Dr. Wong, Mr. Fong and RTW Holdings X is c/o RTW Fund Group GP, LLC, 40 10th Avenue, Floor 7, New York, NY 10014.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1,862,334 shares of Serapha Common Stock and 8,000,533 shares of Serapha Preferred Stock held by entities affiliated with RA Capital Management, L.P. RA Capital Management, L.P., is the investment manager for RA Capital Nexus Fund IV, L.P., and RA Capital Healthcare Fund, L.P. Peter Kolchinsky, Ph.D. and Rajeev Shah are the managing members of RA Capital Management GP, LLC. Each of Dr. Kolchinsky and Mr. Shah disclaims beneficial ownership of the securities held by RA Capital Nexus Fund IV, L.P., and RA Capital Healthcare Fund, L.P., except to the extent of any pecuniary interest therein, if any. RA Capital Management, L.P. is an affiliate of Laura Tadvalkar and Matthew Hammond, each a Serapha director. The address of RA Capital Nexus Fund IV, L.P., and RA Capital Healthcare Fund, L.P.,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4,000,266 shares of Serapha Preferred Stock held by Janus Henderson Biotech Innovation Master Fund Limited (“Janus Master Fund”). Such shares may be deemed to be beneficially owned by Janus Henderson Investors US LLC (“Janus”), an investment adviser registered under the Investment Advisers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4,040,068 shares of Serapha Common Stock issuable upon conversion of 4,040,068 shares of Serapha Series A-1 Preferred Stock issuable upon the exercise of the YolTech Warrant held by Shanghai Yaotang Biotechnology Co., Ltd. (also known as YolTech Therapeutics Co., Ltd.) (“YolTech”). Excludes 7,648,387 shares of Serapha Common Stock issuable upon conversion of 7,648,387 shares of Serapha Series A-1 Preferred Stock issuable upon the exercise of the YolTech Warrant held by YolTech. The YolTech Warrant is subject to a beneficial ownership limitation of 9.9%. The YolTech Warrant was issued to YolTech on June 12, 2026 in connection with the YolTech License Agreement and entitles YolTech to acquire a number of shares of Serapha Series A-1 Preferred Stock representing approximately 19.9% of Serapha’s fully-diluted capitalization measured immediately following the Series A Financing, subject to anti-dilution adjustments during the anti-dilution period specified in the YolTech Warrant, including a true-up in connection with the Merger pursuant to which the number of shares issuable upon exercise of the YolTech Warrant will be adjusted such that, after giving effect to the Merger and the application of the Exchange Ratio, those shares represent 19.53% of the fully-diluted capitalization of the Combined Company. The address of YolTech is Room 605, Building 5, No. 799 Dangui Road, China (Shanghai) Pilot Free Trade Zone, Pudong New Area, Shanghai 201203, the People’s Republic of China.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3,006,255 shares of Serapha Preferred Stock held by Decheng Capital Global Life Sciences Fund V, L.P. (“Decheng Fund V”), (ii) 196,380 shares of Serapha Preferred Stock held by Decheng Capital Global Life Sciences Fund V-A, L.P. (“Decheng Fund V-A”) and (iii) 130,920 shares of Serapha Preferred Stock held by Decheng Capital Global Life Sciences Fund V-B, L.P. (“Decheng Fund V-B”). Decheng Capital Management V (Cayman), LLC (“Decheng GP V”) is the sole general partner of each of Decheng Fund V, Decheng Fund V-A and Decheng Fund V-B. Dr. Xiangmin Cui is the manager of Decheng GP V. Decheng Capital is an affiliate of Victor Tong, a Serapha director. The address of the entities affiliated with Decheng Capital is 3000 Sand Hill Road, Building 2, Suite 110, Menlo Park, CA 94025.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1,211,091 shares of Serapha Preferred Stock held by Vivo Opportunity Fund Holdings, L.P. (“Vivo Opportunity Fund”), (ii) 122,331 shares of Serapha Preferred Stock held by Vivo Opportunity Cayman Fund, L.P. (“Vivo Cayman Fund”) and (iii) 666,711 shares of Serapha Preferred Stock held by Vivo Innovation Fund II Holdings, L.P. (“Vivo Innovation Fund” and together with Vivo Opportunity Fund and Vivo Cayman Fund, the “Vivo Funds”). Vivo Opportunity, LLC is the general partner of Vivo Opportunity Fund. Vivo Opportunity Cayman, LLC is the general partner of Vivo Cayman Fund. Vivo Innovation II, LLC is the general partner of Vivo Innovation Fund. The voting members of each of Vivo Opportunity, LLC, Vivo Opportunity Cayman, LLC and Vivo Innovation II, LLC are Kevin Dai, Gaurav Aggarwal, Frank Kung and Shan Fu, none of whom has individual voting or investment power with respect to the shares held by Vivo Opportunity Fund, Vivo Cayman Fund or Vivo Innovation Fund. The address of the individuals and entities referenced in this footnote is 192 Lytton Avenue, Palo Alto, California 94301.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108148_38"/>
      <w:bookmarkEnd w:id="75"/>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Nasdaq Reverse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 common stock immediately after consummation of the Merger, assuming the consummation of the Merger occurred on    ,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Boundless Bio and Serapha to be the beneficial owner of more than 5% of the Combined Company common stock;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or entity has the right to acquire within 60 days of    , 2026. Shares of the Combined Company common stock that an individual or entity has the right to acquire within 60 days of     , 2026 are deemed to be outstanding and beneficially owned by the individual or entity for the purpose of computing the percentage ownership of that individual or entity, but they are not treated as outstanding for the purpose of computing the percentage ownership of any other person. To Boundless Bio’s and Serapha’s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shares of Combined Company common stock expected to be outstanding upon consummation of the Merger, after giving effect to the anticipated Serapha Pre-Closing Financing and prior to giving effect to the anticipated Nasdaq Reverse Split. The number of shares beneficially owned includes shares of Combined Company common stock that each person has the right to acquire within 60 days, including upon the exercise of stock options, warrants and pre-funded warrants. These stock options, warrants and pre-funded warrants shall be deemed to be outstanding for the purpose of computing the percentage of outstanding shares of the Combined Company common stock expected to be owned by such person but shall not be deemed to be outstanding for the purpose of computing the percentage of outstanding shares of the Combined Company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Boundless Bio securityholders as of immediately prior to the Merger are expected to own approximately 3.8% of the outstanding shares of capital stock of the Combined Company (on a fully-diluted basis), and former holders of Serapha securities are expected to own approximately 96.2% of the outstanding shares of capital stock of the Combined Company (on a fully-diluted basis), subject to certain assumptions, including, but not limited to, the Boundless Bio Net Cash as of Closing being equal to $0. Boundless Bio management currently anticipates that the Boundless Bio Net Cash as of Closing will be approximately $0, after giving effect to the Boundless Bio Pre-Closing Dividend, which is expected to be approximately $44 million to $48 million, and the currently estimated ownership percentages reflect this projection. There can be no assurances that any of these assumptions will be accurate at Closing when the final Exchange Ratio is determined. The table below assumes that, based on Boundless Bio’s and Serapha’s capitalization as of October 1, 2026, the Exchange Ratio is estimated to be equal to approximately 8.6737 shares of Boundless Bio Common Stock for each share of Serapha Common Stock, prior to giving effect to the anticipated Nasdaq Reverse Split. The estimated Exchange Ratio was derived on a fully-diluted basis as of    , 2026, using a stipulated value of Serapha of approximately $    million and of Boundless Bio of approximately $    million, assuming that the Boundless Bio Net Cash is $0 as of Closing.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final Exchange Ratio is subject to adjustment prior to Closing based upon the Boundless Bio Net Cash at Closing and the aggregate proceeds from the sale of Serapha Common Stock and Serapha Pre-Funded Warrants in the Serapha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Serapha Bio, Inc., 40 10th Avenue, Floor 7, New York, NY 10014. </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715"/>
        <w:gridCol w:w="120"/>
        <w:gridCol w:w="355"/>
        <w:gridCol w:w="1540"/>
        <w:gridCol w:w="60"/>
        <w:gridCol w:w="120"/>
        <w:gridCol w:w="355"/>
        <w:gridCol w:w="1540"/>
        <w:gridCol w:w="75"/>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OUTSTANDING</w:t>
            </w:r>
            <w:r>
              <w:rPr/>
              <w:br/>
            </w:r>
            <w:r>
              <w:rPr>
                <w:b/>
              </w:rPr>
              <w:t>BENEFICIALLY</w:t>
            </w:r>
            <w:r>
              <w:rPr/>
              <w:br/>
            </w:r>
            <w:r>
              <w:rPr>
                <w:b/>
              </w:rPr>
              <w:t>OWNED</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r>
              <w:rPr/>
              <w:t>%</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Directors and Executive Officers</w:t>
            </w:r>
          </w:p>
        </w:tc>
        <w:tc>
          <w:tcPr>
            <w:tcW w:w="1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( persons)</w:t>
            </w:r>
          </w:p>
        </w:tc>
        <w:tc>
          <w:tcPr>
            <w:tcW w:w="12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108148_39"/>
      <w:bookmarkEnd w:id="7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Costa Mesa, California, will pass upon the validity of the securities offered by this proxy statement/prospectus. </w:t>
      </w:r>
    </w:p>
    <w:p>
      <w:pPr>
        <w:pStyle w:val="TextBody"/>
        <w:bidi w:val="0"/>
        <w:spacing w:before="480" w:after="0"/>
        <w:jc w:val="center"/>
        <w:rPr>
          <w:rFonts w:ascii="Times New Roman" w:hAnsi="Times New Roman"/>
          <w:b/>
          <w:sz w:val="20"/>
        </w:rPr>
      </w:pPr>
      <w:bookmarkStart w:id="77" w:name="tx108148_40"/>
      <w:bookmarkEnd w:id="7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Boundless Bio, Inc. as of December 31, 2025 and 2024, and for each of the years in the two-year period ended December 31, 2025,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Serapha Bio, Inc. as of June 30, 2026 and for the period from April 2, 2026 (inception) to June 30, 2026, have been included herein and in the registration statement in reliance upon the report of KPMG LLP, independent auditors, appearing elsewhere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108148_41"/>
      <w:bookmarkEnd w:id="7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is subject to the informational requirements of the Exchange Act and in accordance therewith, files annual, quarterly and current reports, proxy statements and other information with the SEC electronically, and the SEC maintains a website that contains Boundless Bio’s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also makes available free of charge on or through its website at </w:t>
      </w:r>
      <w:r>
        <w:rPr>
          <w:rFonts w:ascii="Times New Roman" w:hAnsi="Times New Roman"/>
          <w:i/>
          <w:sz w:val="20"/>
        </w:rPr>
        <w:t>www.boundlessbio.com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Boundless Bio electronically files such material with or otherwise furnishes it to the SEC. The website addresses for the SEC and Boundless Bio are inactive textual references and except as specifically incorporated by reference into this proxy statement/prospectus, information on or accessible from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filed with the SEC a registration statement on Form S-4, of which this proxy statement/prospectus is a part, under the Securities Act to register the shares of Boundless Bio Common Stock to be issued to Serapha stockholders in the Merger. This proxy statement/prospectus is a part of that registration statement and constitutes a prospectus of Boundless Bio, as well as a proxy statement of Boundless Bio for its special meeting. The registration statement, including the attached annexes, exhibits and schedules, contains additional relevant information about Boundless Bio and Boundless 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supplied all information contained in this proxy statement/prospectus relating to Boundless Bio and Serapha has supplied all information contained in this proxy statement/prospectus relating to Serapha.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Boundless Bio or Serapha, please send a request in writing or by telephone to either Boundless Bio or Serapha at the following addresses: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4115"/>
        <w:gridCol w:w="120"/>
        <w:gridCol w:w="2795"/>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center"/>
              <w:rPr/>
            </w:pPr>
            <w:r>
              <w:rPr/>
              <w:t>Boundless Bio, Inc.</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Serapha Bio, Inc.</w:t>
            </w:r>
          </w:p>
        </w:tc>
      </w:tr>
      <w:tr>
        <w:trPr/>
        <w:tc>
          <w:tcPr>
            <w:tcW w:w="4115" w:type="dxa"/>
            <w:tcBorders/>
            <w:vAlign w:val="center"/>
          </w:tcPr>
          <w:p>
            <w:pPr>
              <w:pStyle w:val="TableContents"/>
              <w:bidi w:val="0"/>
              <w:spacing w:before="0" w:after="283"/>
              <w:jc w:val="center"/>
              <w:rPr/>
            </w:pPr>
            <w:r>
              <w:rPr/>
              <w:t>11099 North Torrey Pines Road, Suite 150</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40 10th Avenue</w:t>
            </w:r>
          </w:p>
        </w:tc>
      </w:tr>
      <w:tr>
        <w:trPr/>
        <w:tc>
          <w:tcPr>
            <w:tcW w:w="4115" w:type="dxa"/>
            <w:tcBorders/>
            <w:vAlign w:val="center"/>
          </w:tcPr>
          <w:p>
            <w:pPr>
              <w:pStyle w:val="TableContents"/>
              <w:bidi w:val="0"/>
              <w:spacing w:before="0" w:after="283"/>
              <w:jc w:val="center"/>
              <w:rPr/>
            </w:pPr>
            <w:r>
              <w:rPr/>
              <w:t>La Jolla, CA 92037</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Floor 7</w:t>
            </w:r>
          </w:p>
        </w:tc>
      </w:tr>
      <w:tr>
        <w:trPr/>
        <w:tc>
          <w:tcPr>
            <w:tcW w:w="4115" w:type="dxa"/>
            <w:tcBorders/>
            <w:vAlign w:val="center"/>
          </w:tcPr>
          <w:p>
            <w:pPr>
              <w:pStyle w:val="TableContents"/>
              <w:bidi w:val="0"/>
              <w:spacing w:before="0" w:after="283"/>
              <w:jc w:val="center"/>
              <w:rPr/>
            </w:pPr>
            <w:r>
              <w:rPr/>
              <w:t>Attn: Corporate Secretary</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New York, NY 10014</w:t>
            </w:r>
          </w:p>
        </w:tc>
      </w:tr>
      <w:tr>
        <w:trPr/>
        <w:tc>
          <w:tcPr>
            <w:tcW w:w="4115" w:type="dxa"/>
            <w:tcBorders/>
            <w:vAlign w:val="center"/>
          </w:tcPr>
          <w:p>
            <w:pPr>
              <w:pStyle w:val="TableContents"/>
              <w:bidi w:val="0"/>
              <w:spacing w:before="0" w:after="283"/>
              <w:jc w:val="center"/>
              <w:rPr/>
            </w:pPr>
            <w:r>
              <w:rPr/>
              <w:t>Tel: (858) 766-9912</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Tel:      </w:t>
            </w:r>
          </w:p>
        </w:tc>
      </w:tr>
      <w:tr>
        <w:trPr/>
        <w:tc>
          <w:tcPr>
            <w:tcW w:w="4115" w:type="dxa"/>
            <w:tcBorders/>
            <w:vAlign w:val="center"/>
          </w:tcPr>
          <w:p>
            <w:pPr>
              <w:pStyle w:val="TableContents"/>
              <w:bidi w:val="0"/>
              <w:spacing w:before="0" w:after="283"/>
              <w:jc w:val="center"/>
              <w:rPr/>
            </w:pPr>
            <w:r>
              <w:rPr/>
              <w:t>Email: legal@boundlessbio.com</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Email: info@seraphabio.com</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Boundless Bio has filed its Annual Report on Form 10-K for the year ended December 31, 2025 with the SEC. It is available free of charge at the SEC’s web site at www.sec.gov. Upon written request by a Boundless Bio stockholder, Boundless Bio will mail without charge a copy of its Annual Report on Form 10-K, including the financial statements, but excluding exhibits to the Annual Report on Form 10-K. Exhibits to the Annual Report on Form 10-K are available upon payment of a reasonable fee, which is limited to Boundless Bio’s expenses in furnishing the requested exhibit. All requests should be directed to Boundless Bio’s Corporate Secretary, 11099 North Torrey Pines Road, Suite 150, 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If you are a Boundless Bio stockholder and would like additional copies, without charge, of this proxy statement/prospectus or if you have questions about the Merger, including the procedures for voting your shares, you should contact Boundless Bio’s proxy solicitor, MacKenzie Partners, Inc., at the following address, telephone number or email address: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+1 (212) 929-5500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(U.S. only): +1 (800) 322-2885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108148_42"/>
      <w:bookmarkEnd w:id="79"/>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intend to have a proposal considered for inclusion in Boundless Bio’s proxy materials for presentation at next year’s annual meeting of stockholders pursuant to Rule 14a-8 under the Securities Exchange Act of 1934, as amended (“Exchange Act”), must submit the proposal to Boundless Bio’s corporate secretary at its principal executive offices in writing not later than December 30, 2026, which is 120 days prior to the one-year anniversary of the date its proxy statement for its 2026 annual meeting was released to stockholders. However, if the date of next year’s annual meeting of stockholders is changed by more than 30 days from the anniversary of its 2026 annual meeting of stockholders, then the deadline for such proposals will be a reasonable time before Boundless Bio begins to print and send its proxy materials. These proposals must comply with the requirements as to form and substance established by the SEC in Rule 14a-8 of the Exchange Act for such proposals in order to be included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intending to present a proposal at next year’s annual meeting of stockholders, but not to include the proposal in Boundless Bio’s proxy statement, or to nominate a person for election as a director, must comply with the requirements set forth in the Boundless Bio Bylaws, which require, among other things, that its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Boundless Bio must receive notice of such a proposal or nomination for next year’s annual meeting of stockholders no earlier than the close of business on February 15, 2027 and no later than the close of business on March 17, 2027. The notice must contain the information required by the Boundless Bio Bylaws, a copy of which is available upon written request to its corporate secretary. In the event that the date of next year’s annual meeting of stockholders is more than 30 days before or more than 60 days after the one-year anniversary of its 2026 annual meeting of stockholders, then its corporate secretary must receive such written notice not earlier than the close of business on the 120th day and not later than the close of business on the 90th day prior to next year’s annual meeting of stockholders or, if later, the close of business on the 10th day following the day on which public disclosure of the date of such annual meeting is first made by Boundless Bio. SEC rules permit management to vote proxies in its discretion in certain cases if the stockholder does not comply with this deadline and, in certain other cases, notwithstanding the stockholder’s compliance with this deadline. Stockholders are advised to review the Boundless Bio Bylaws, which also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the Boundless Bio Bylaws, including with respect to the deadline for notices disclosed above, to comply with the universal proxy rules, stockholders who intend to solicit proxies in support of director nominees other than Boundless Bio’s nominees must provide notice that sets forth the information required by Rule 14a-19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intends to file a proxy statement and WHITE proxy card with the SEC in connection with the solicitation of proxies for next year’s annual meeting of stockholders. It reserves the right to reject, rule out of order, or take other appropriate action with respect to any proposal that does not comply with these or other applicable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Boundless Bio’s principal executive offices are located at 11099 North Torrey Pines Road, Suite 150, 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does not also comply with the requirements of Rule 14a-4(c)(2) under the Exchange Act, Boundless Bio may exercise discretionary voting authority under proxies that it solicits to vote in accordance with its best judgment on any such stockholder proposal or nomination.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 with the Boundless Bio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Board of Directors will give appropriate attention to written communications that are submitted by stockholders and will respond if and as appropriate. Its corporate secretary is primarily responsible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reviewing such communications from stockholders and for providing copies or summaries to the directors as she considers appropriate. Communications are forwarded to all directors if they relate to important substantive matters and include suggestions or comments that Boundless Bio’s corporate secretary and chairman of the Boundless Bio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Boundless Bio tends to receive repetitive or duplicative communications. Stockholders who wish to send communications on any topic to the Boundless Bio Board of Directors should address such communications to the Boundless Bio Board of Directors in writing: Boundless Bio, Inc., Attention: Corporate Secretary, 11099 North Torrey Pines Road, Suite 150, La Jolla, CA 92037.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w:t>
      </w:r>
    </w:p>
    <w:p>
      <w:pPr>
        <w:pStyle w:val="TextBody"/>
        <w:bidi w:val="0"/>
        <w:spacing w:before="120" w:after="0"/>
        <w:jc w:val="left"/>
        <w:rPr>
          <w:rFonts w:ascii="Times New Roman" w:hAnsi="Times New Roman"/>
          <w:sz w:val="20"/>
        </w:rPr>
      </w:pPr>
      <w:r>
        <w:rPr>
          <w:rFonts w:ascii="Times New Roman" w:hAnsi="Times New Roman"/>
          <w:sz w:val="20"/>
        </w:rPr>
        <w:t xml:space="preserve">Boundless Bio has adopted an SEC-approved procedure called “householding.” This procedure potentially means extra convenience for stockholders and cost savings for companies. Under this procedure, Boundless Bio sends only one copy of proxy materials to stockholders of record who share the same address and last name, unless one of those stockholders notifies Boundless Bio that the stockholder would like a separate copy of such documents. If, at any time, you no longer wish to participate in householding and would prefer to receive a separate copy of the proxy materials from the other stockholder(s) sharing your address, please direct your written request to Boundless Bio’s transfer agent, Computershare Trust Company, N.A., at P.O. Box 43078, Providence, RI 02940-3078, or contact the transfer agent by phone at 800-736-3001. Boundless Bio undertakes to deliver promptly, upon any such oral or written request, a separate copy of the proxy materials to a stockholder at a shared address to which a single copy of these documents was delivered. Similarly, if stockholders of record sharing the same address are receiving multiple copies of the proxy materials and such stockholders would like a single copy to be delivered to them in the future, such stockholders may make such a request by contacting Boundless Bio by the means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update your participation in householding and you are a beneficial owner who holds shares in “street name” with a broker, bank, or similar organization, you may contact your broker, bank, or other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108148_43"/>
      <w:bookmarkStart w:id="81" w:name="rom108148_43"/>
      <w:bookmarkStart w:id="82" w:name="index"/>
      <w:bookmarkEnd w:id="80"/>
      <w:bookmarkEnd w:id="81"/>
      <w:bookmarkEnd w:id="82"/>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left"/>
        <w:rPr>
          <w:rFonts w:ascii="Times New Roman" w:hAnsi="Times New Roman"/>
          <w:sz w:val="20"/>
        </w:rPr>
      </w:pPr>
      <w:r>
        <w:rPr>
          <w:rFonts w:ascii="Times New Roman" w:hAnsi="Times New Roman"/>
          <w:sz w:val="20"/>
        </w:rPr>
        <w:t xml:space="preserve">Audited Financial Statements as of and for the Years ended December 31, 2025 and 2024: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9575"/>
        <w:gridCol w:w="120"/>
        <w:gridCol w:w="60"/>
        <w:gridCol w:w="350"/>
        <w:gridCol w:w="75"/>
      </w:tblGrid>
      <w:tr>
        <w:trPr/>
        <w:tc>
          <w:tcPr>
            <w:tcW w:w="9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fin108148_1">
              <w:r>
                <w:rPr>
                  <w:rStyle w:val="InternetLink"/>
                  <w:rFonts w:ascii="Times New Roman" w:hAnsi="Times New Roman"/>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F-2</w:t>
            </w:r>
          </w:p>
        </w:tc>
        <w:tc>
          <w:tcPr>
            <w:tcW w:w="75" w:type="dxa"/>
            <w:tcBorders/>
            <w:vAlign w:val="center"/>
          </w:tcPr>
          <w:p>
            <w:pPr>
              <w:pStyle w:val="TableContents"/>
              <w:bidi w:val="0"/>
              <w:spacing w:before="0" w:after="283"/>
              <w:jc w:val="left"/>
              <w:rPr/>
            </w:pPr>
            <w:r>
              <w:rPr/>
              <w:t> </w:t>
            </w:r>
          </w:p>
        </w:tc>
      </w:tr>
      <w:tr>
        <w:trPr/>
        <w:tc>
          <w:tcPr>
            <w:tcW w:w="9575" w:type="dxa"/>
            <w:tcBorders/>
            <w:vAlign w:val="center"/>
          </w:tcPr>
          <w:p>
            <w:pPr>
              <w:pStyle w:val="TableContents"/>
              <w:bidi w:val="0"/>
              <w:spacing w:before="0" w:after="0"/>
              <w:jc w:val="left"/>
              <w:rPr/>
            </w:pPr>
            <w:hyperlink w:anchor="fin108148_2">
              <w:r>
                <w:rPr>
                  <w:rStyle w:val="InternetLink"/>
                  <w:rFonts w:ascii="Times New Roman" w:hAnsi="Times New Roman"/>
                  <w:sz w:val="20"/>
                </w:rPr>
                <w:t>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9575" w:type="dxa"/>
            <w:tcBorders/>
            <w:vAlign w:val="center"/>
          </w:tcPr>
          <w:p>
            <w:pPr>
              <w:pStyle w:val="TableContents"/>
              <w:bidi w:val="0"/>
              <w:spacing w:before="0" w:after="0"/>
              <w:jc w:val="left"/>
              <w:rPr/>
            </w:pPr>
            <w:hyperlink w:anchor="fin108148_3">
              <w:r>
                <w:rPr>
                  <w:rStyle w:val="InternetLink"/>
                  <w:rFonts w:ascii="Times New Roman" w:hAnsi="Times New Roman"/>
                  <w:sz w:val="20"/>
                </w:rPr>
                <w:t>Statements of Operations and Comprehensive Loss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9575" w:type="dxa"/>
            <w:tcBorders/>
            <w:vAlign w:val="center"/>
          </w:tcPr>
          <w:p>
            <w:pPr>
              <w:pStyle w:val="TableContents"/>
              <w:bidi w:val="0"/>
              <w:spacing w:before="0" w:after="0"/>
              <w:jc w:val="left"/>
              <w:rPr/>
            </w:pPr>
            <w:hyperlink w:anchor="fin108148_4">
              <w:r>
                <w:rPr>
                  <w:rStyle w:val="InternetLink"/>
                  <w:rFonts w:ascii="Times New Roman" w:hAnsi="Times New Roman"/>
                  <w:sz w:val="20"/>
                </w:rPr>
                <w:t>Statements of Convertible Preferred Stock and Stockholders’ Equity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9575" w:type="dxa"/>
            <w:tcBorders/>
            <w:vAlign w:val="center"/>
          </w:tcPr>
          <w:p>
            <w:pPr>
              <w:pStyle w:val="TableContents"/>
              <w:bidi w:val="0"/>
              <w:spacing w:before="0" w:after="0"/>
              <w:jc w:val="left"/>
              <w:rPr/>
            </w:pPr>
            <w:hyperlink w:anchor="fin108148_5">
              <w:r>
                <w:rPr>
                  <w:rStyle w:val="InternetLink"/>
                  <w:rFonts w:ascii="Times New Roman" w:hAnsi="Times New Roman"/>
                  <w:sz w:val="20"/>
                </w:rPr>
                <w:t>Statements of Cash Flows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F-6</w:t>
            </w:r>
          </w:p>
        </w:tc>
        <w:tc>
          <w:tcPr>
            <w:tcW w:w="75" w:type="dxa"/>
            <w:tcBorders/>
            <w:vAlign w:val="center"/>
          </w:tcPr>
          <w:p>
            <w:pPr>
              <w:pStyle w:val="TableContents"/>
              <w:bidi w:val="0"/>
              <w:spacing w:before="0" w:after="283"/>
              <w:jc w:val="left"/>
              <w:rPr/>
            </w:pPr>
            <w:r>
              <w:rPr/>
              <w:t> </w:t>
            </w:r>
          </w:p>
        </w:tc>
      </w:tr>
      <w:tr>
        <w:trPr/>
        <w:tc>
          <w:tcPr>
            <w:tcW w:w="9575" w:type="dxa"/>
            <w:tcBorders/>
            <w:vAlign w:val="center"/>
          </w:tcPr>
          <w:p>
            <w:pPr>
              <w:pStyle w:val="TableContents"/>
              <w:bidi w:val="0"/>
              <w:spacing w:before="0" w:after="0"/>
              <w:jc w:val="left"/>
              <w:rPr/>
            </w:pPr>
            <w:hyperlink w:anchor="fin108148_6">
              <w:r>
                <w:rPr>
                  <w:rStyle w:val="InternetLink"/>
                  <w:rFonts w:ascii="Times New Roman" w:hAnsi="Times New Roman"/>
                  <w:sz w:val="20"/>
                </w:rPr>
                <w:t>Notes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Condensed Financial Statements as of and for the six months ended June 30, 2026 and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83"/>
        <w:gridCol w:w="120"/>
        <w:gridCol w:w="60"/>
        <w:gridCol w:w="466"/>
        <w:gridCol w:w="76"/>
      </w:tblGrid>
      <w:tr>
        <w:trPr/>
        <w:tc>
          <w:tcPr>
            <w:tcW w:w="9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pPr>
            <w:hyperlink w:anchor="fin108148_7">
              <w:r>
                <w:rPr>
                  <w:rStyle w:val="InternetLink"/>
                  <w:rFonts w:ascii="Times New Roman" w:hAnsi="Times New Roman"/>
                  <w:sz w:val="20"/>
                </w:rPr>
                <w:t>Balance Sheets as of June 30, 2026 and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F-29</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108148_8">
              <w:r>
                <w:rPr>
                  <w:rStyle w:val="InternetLink"/>
                  <w:rFonts w:ascii="Times New Roman" w:hAnsi="Times New Roman"/>
                  <w:sz w:val="20"/>
                </w:rPr>
                <w:t>Statements of Operations and Comprehensive Loss for the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F-30</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108148_9">
              <w:r>
                <w:rPr>
                  <w:rStyle w:val="InternetLink"/>
                  <w:rFonts w:ascii="Times New Roman" w:hAnsi="Times New Roman"/>
                  <w:sz w:val="20"/>
                </w:rPr>
                <w:t>Statements of Convertible Preferred Stock and Stockholders’ Equity for the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F-31</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108148_10">
              <w:r>
                <w:rPr>
                  <w:rStyle w:val="InternetLink"/>
                  <w:rFonts w:ascii="Times New Roman" w:hAnsi="Times New Roman"/>
                  <w:sz w:val="20"/>
                </w:rPr>
                <w:t>Statements of Cash Flows for the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F-32</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108148_11">
              <w:r>
                <w:rPr>
                  <w:rStyle w:val="InternetLink"/>
                  <w:rFonts w:ascii="Times New Roman" w:hAnsi="Times New Roman"/>
                  <w:sz w:val="20"/>
                </w:rPr>
                <w:t>Notes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F-33</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5465"/>
        <w:gridCol w:w="120"/>
        <w:gridCol w:w="60"/>
        <w:gridCol w:w="470"/>
        <w:gridCol w:w="75"/>
      </w:tblGrid>
      <w:tr>
        <w:trPr/>
        <w:tc>
          <w:tcPr>
            <w:tcW w:w="5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65" w:type="dxa"/>
            <w:tcBorders/>
            <w:vAlign w:val="center"/>
          </w:tcPr>
          <w:p>
            <w:pPr>
              <w:pStyle w:val="TableContents"/>
              <w:bidi w:val="0"/>
              <w:spacing w:before="0" w:after="0"/>
              <w:jc w:val="left"/>
              <w:rPr/>
            </w:pPr>
            <w:hyperlink w:anchor="fintoc108148_51">
              <w:r>
                <w:rPr>
                  <w:rStyle w:val="InternetLink"/>
                  <w:rFonts w:ascii="Times New Roman" w:hAnsi="Times New Roman"/>
                  <w:sz w:val="20"/>
                </w:rPr>
                <w:t>Independent Auditors’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F-46</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pPr>
            <w:hyperlink w:anchor="fintoc108148_52">
              <w:r>
                <w:rPr>
                  <w:rStyle w:val="InternetLink"/>
                  <w:rFonts w:ascii="Times New Roman" w:hAnsi="Times New Roman"/>
                  <w:sz w:val="20"/>
                </w:rPr>
                <w:t>Balance Sheet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F-48</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pPr>
            <w:hyperlink w:anchor="fintoc108148_53">
              <w:r>
                <w:rPr>
                  <w:rStyle w:val="InternetLink"/>
                  <w:rFonts w:ascii="Times New Roman" w:hAnsi="Times New Roman"/>
                  <w:sz w:val="20"/>
                </w:rPr>
                <w:t>Statement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F-49</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pPr>
            <w:hyperlink w:anchor="fintoc108148_54">
              <w:r>
                <w:rPr>
                  <w:rStyle w:val="InternetLink"/>
                  <w:rFonts w:ascii="Times New Roman" w:hAnsi="Times New Roman"/>
                  <w:sz w:val="20"/>
                </w:rPr>
                <w:t>Statement of Convertible Preferred Stock and Stockholders’ Deficit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F-50</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pPr>
            <w:hyperlink w:anchor="fintoc108148_55">
              <w:r>
                <w:rPr>
                  <w:rStyle w:val="InternetLink"/>
                  <w:rFonts w:ascii="Times New Roman" w:hAnsi="Times New Roman"/>
                  <w:sz w:val="20"/>
                </w:rPr>
                <w:t>Statement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F-51</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pPr>
            <w:hyperlink w:anchor="fintoc108148_56">
              <w:r>
                <w:rPr>
                  <w:rStyle w:val="InternetLink"/>
                  <w:rFonts w:ascii="Times New Roman" w:hAnsi="Times New Roman"/>
                  <w:sz w:val="20"/>
                </w:rPr>
                <w:t>Notes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F-52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Board of Directors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Boundless Bio, Inc.: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balance sheets of Boundless Bio, Inc. (the Company) as of December 31, 2025 and 2024, the related statements of operations and comprehensive loss, convertible preferred stock and stockholders’ equity, and cash flows for each of the years then ended, and the related notes (collectively,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U.S. generally accepted accounting principles.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KPMG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2020.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San Diego, California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9,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Balance Sheets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par value data)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17,868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26,587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89,713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125,527</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109,611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154,390</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47,039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157,059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206,409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6,727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5,354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2,781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8,135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45,868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47,632</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58,405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55,767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Preferred stock, $0.0001 par value; 70,000 shares authorized and </w:t>
              <w:br/>
              <w:t>no shares issued and outstanding as of December 31, 2025 and December 31,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700,000 shares authorized, 22,407 shares issued and outstanding as of December 31, 2025; 700,000 shares authorized, 22,300 shares issued and outstanding as of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358,257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351,991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(259,669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(201,472</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150,642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157,059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206,409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Operations and Comprehensive Loss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per share data) </w:t>
      </w:r>
    </w:p>
    <w:p>
      <w:pPr>
        <w:pStyle w:val="TextBody"/>
        <w:bidi w:val="0"/>
        <w:spacing w:before="0" w:after="0"/>
        <w:jc w:val="left"/>
        <w:rPr>
          <w:spacing w:val="0"/>
        </w:rPr>
      </w:pPr>
      <w:r>
        <w:rPr>
          <w:spacing w:val="0"/>
        </w:rPr>
        <w:t> </w:t>
      </w:r>
    </w:p>
    <w:tbl>
      <w:tblPr>
        <w:tblW w:w="6245" w:type="dxa"/>
        <w:jc w:val="left"/>
        <w:tblInd w:w="0" w:type="dxa"/>
        <w:tblLayout w:type="fixed"/>
        <w:tblCellMar>
          <w:top w:w="0" w:type="dxa"/>
          <w:left w:w="0" w:type="dxa"/>
          <w:bottom w:w="0" w:type="dxa"/>
          <w:right w:w="0" w:type="dxa"/>
        </w:tblCellMar>
      </w:tblPr>
      <w:tblGrid>
        <w:gridCol w:w="3950"/>
        <w:gridCol w:w="120"/>
        <w:gridCol w:w="140"/>
        <w:gridCol w:w="755"/>
        <w:gridCol w:w="155"/>
        <w:gridCol w:w="60"/>
        <w:gridCol w:w="140"/>
        <w:gridCol w:w="755"/>
        <w:gridCol w:w="170"/>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44,845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55,267</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18,000</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73,267</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(73,267</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7,892</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7,904</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(65,363</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(65,363</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(loss) on short-term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(58,254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(65,282</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(3.85</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used in calculation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16,984</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Convertible Preferred Stock and Stockholders’ Equity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bidi w:val="0"/>
        <w:spacing w:before="0" w:after="0"/>
        <w:jc w:val="left"/>
        <w:rPr>
          <w:spacing w:val="0"/>
        </w:rPr>
      </w:pPr>
      <w:r>
        <w:rPr>
          <w:spacing w:val="0"/>
        </w:rPr>
        <w:t> </w:t>
      </w:r>
    </w:p>
    <w:tbl>
      <w:tblPr>
        <w:tblW w:w="12180" w:type="dxa"/>
        <w:jc w:val="left"/>
        <w:tblInd w:w="0" w:type="dxa"/>
        <w:tblLayout w:type="fixed"/>
        <w:tblCellMar>
          <w:top w:w="0" w:type="dxa"/>
          <w:left w:w="0" w:type="dxa"/>
          <w:bottom w:w="0" w:type="dxa"/>
          <w:right w:w="0" w:type="dxa"/>
        </w:tblCellMar>
      </w:tblPr>
      <w:tblGrid>
        <w:gridCol w:w="1070"/>
        <w:gridCol w:w="60"/>
        <w:gridCol w:w="80"/>
        <w:gridCol w:w="1172"/>
        <w:gridCol w:w="207"/>
        <w:gridCol w:w="80"/>
        <w:gridCol w:w="187"/>
        <w:gridCol w:w="1174"/>
        <w:gridCol w:w="155"/>
        <w:gridCol w:w="60"/>
        <w:gridCol w:w="60"/>
        <w:gridCol w:w="680"/>
        <w:gridCol w:w="60"/>
        <w:gridCol w:w="60"/>
        <w:gridCol w:w="301"/>
        <w:gridCol w:w="559"/>
        <w:gridCol w:w="60"/>
        <w:gridCol w:w="60"/>
        <w:gridCol w:w="163"/>
        <w:gridCol w:w="937"/>
        <w:gridCol w:w="60"/>
        <w:gridCol w:w="60"/>
        <w:gridCol w:w="413"/>
        <w:gridCol w:w="1122"/>
        <w:gridCol w:w="155"/>
        <w:gridCol w:w="60"/>
        <w:gridCol w:w="188"/>
        <w:gridCol w:w="1182"/>
        <w:gridCol w:w="155"/>
        <w:gridCol w:w="60"/>
        <w:gridCol w:w="188"/>
        <w:gridCol w:w="1182"/>
        <w:gridCol w:w="17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gridSpan w:val="6"/>
            <w:tcBorders/>
            <w:vAlign w:val="center"/>
          </w:tcPr>
          <w:p>
            <w:pPr>
              <w:pStyle w:val="TableContents"/>
              <w:bidi w:val="0"/>
              <w:spacing w:before="0" w:after="0"/>
              <w:jc w:val="center"/>
              <w:rPr>
                <w:b/>
                <w:spacing w:val="0"/>
              </w:rPr>
            </w:pPr>
            <w:r>
              <w:rPr>
                <w:b/>
                <w:spacing w:val="0"/>
              </w:rPr>
              <w:t>Convertible Preferred Stock</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35" w:type="dxa"/>
            <w:gridSpan w:val="2"/>
            <w:vMerge w:val="restart"/>
            <w:tcBorders/>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Total</w:t>
              <w:br/>
              <w:t>stockholders’</w:t>
              <w:b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0"/>
              <w:jc w:val="center"/>
              <w:rPr>
                <w:b/>
                <w:spacing w:val="0"/>
              </w:rPr>
            </w:pPr>
            <w:r>
              <w:rPr>
                <w:b/>
                <w:spacing w:val="0"/>
              </w:rPr>
              <w:t>Shares</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0"/>
              <w:jc w:val="center"/>
              <w:rPr>
                <w:b/>
                <w:spacing w:val="0"/>
              </w:rPr>
            </w:pPr>
            <w:r>
              <w:rPr>
                <w:b/>
                <w:spacing w:val="0"/>
              </w:rPr>
              <w:t>Amount</w:t>
            </w:r>
          </w:p>
        </w:tc>
        <w:tc>
          <w:tcPr>
            <w:tcW w:w="15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287,447</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247,617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0"/>
              <w:jc w:val="right"/>
              <w:rPr>
                <w:spacing w:val="0"/>
              </w:rPr>
            </w:pPr>
            <w:r>
              <w:rPr>
                <w:spacing w:val="0"/>
              </w:rPr>
              <w:t>—</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8,987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(136,109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(127,082</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in initial public offering, net of $12,305 in discounts and offering costs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87,694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87,695</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Conversion of convertible preferred stock into common stock upon initial public offering</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(287,447</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(247,617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247,616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247,617</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early exercised stock options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Exercise of stock options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under the Employee Stock Purchase Plan</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110</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7,516</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Unrealized gain on short-term investments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81</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(65,363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(65,363</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2024</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351,991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(201,472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150,642</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6,125</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under the Employee Stock Purchase Plan</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141</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Unrealized loss on short-term investments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(58,197</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358,257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(259,669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98,654</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Cash Flows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bidi w:val="0"/>
        <w:spacing w:before="0" w:after="0"/>
        <w:jc w:val="left"/>
        <w:rPr>
          <w:spacing w:val="0"/>
        </w:rPr>
      </w:pPr>
      <w:r>
        <w:rPr>
          <w:spacing w:val="0"/>
        </w:rPr>
        <w:t> </w:t>
      </w:r>
    </w:p>
    <w:tbl>
      <w:tblPr>
        <w:tblW w:w="8480" w:type="dxa"/>
        <w:jc w:val="left"/>
        <w:tblInd w:w="0" w:type="dxa"/>
        <w:tblLayout w:type="fixed"/>
        <w:tblCellMar>
          <w:top w:w="0" w:type="dxa"/>
          <w:left w:w="0" w:type="dxa"/>
          <w:bottom w:w="0" w:type="dxa"/>
          <w:right w:w="0" w:type="dxa"/>
        </w:tblCellMar>
      </w:tblPr>
      <w:tblGrid>
        <w:gridCol w:w="5945"/>
        <w:gridCol w:w="120"/>
        <w:gridCol w:w="140"/>
        <w:gridCol w:w="875"/>
        <w:gridCol w:w="155"/>
        <w:gridCol w:w="60"/>
        <w:gridCol w:w="140"/>
        <w:gridCol w:w="875"/>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(58,197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(65,363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7,516</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Accretion of investments,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(5,055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Non-cash</w:t>
            </w:r>
          </w:p>
          <w:p>
            <w:pPr>
              <w:pStyle w:val="TableContents"/>
              <w:bidi w:val="0"/>
              <w:spacing w:before="0" w:after="0"/>
              <w:jc w:val="left"/>
              <w:rPr>
                <w:rFonts w:ascii="Times New Roman" w:hAnsi="Times New Roman"/>
                <w:sz w:val="18"/>
              </w:rPr>
            </w:pPr>
            <w:r>
              <w:rPr>
                <w:rFonts w:ascii="Times New Roman" w:hAnsi="Times New Roman"/>
                <w:sz w:val="18"/>
              </w:rPr>
              <w:t>lease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(46,661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(60,841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Purchases of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(208,465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Maturities of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213,244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184,900</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(2,536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cash provided by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37,801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(26,101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 xml:space="preserve">Proceeds from the issuance of common stock from initial public offering, net </w:t>
              <w:br/>
              <w:t>of discounts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93,000</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Payments of common stock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(3,349</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Proceeds from the exercise of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Proceeds from issuance of common stock under the Employee Stock Purchase Plan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89,823</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2,881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Cash, cash equivalents, and restricted cash at beginning of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24,266</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Cash, cash equivalents, and restricted cash at end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27,147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Components of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17,868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26,587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560</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Cash, cash equivalents, and restricted cash at end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27,147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Non-cash</w:t>
            </w:r>
          </w:p>
          <w:p>
            <w:pPr>
              <w:pStyle w:val="TableContents"/>
              <w:bidi w:val="0"/>
              <w:spacing w:before="0" w:after="0"/>
              <w:jc w:val="left"/>
              <w:rPr>
                <w:rFonts w:ascii="Times New Roman" w:hAnsi="Times New Roman"/>
                <w:b/>
                <w:sz w:val="18"/>
              </w:rPr>
            </w:pPr>
            <w:r>
              <w:rPr>
                <w:rFonts w:ascii="Times New Roman" w:hAnsi="Times New Roman"/>
                <w:b/>
                <w:sz w:val="18"/>
              </w:rPr>
              <w:t>investing and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Change in unpaid common stock issuance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Addition to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 obtained in exchange for lease obligation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47,588</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Decrease to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right-of-use</w:t>
            </w:r>
          </w:p>
          <w:p>
            <w:pPr>
              <w:pStyle w:val="TableContents"/>
              <w:bidi w:val="0"/>
              <w:spacing w:before="0" w:after="0"/>
              <w:jc w:val="left"/>
              <w:rPr>
                <w:rFonts w:ascii="Times New Roman" w:hAnsi="Times New Roman"/>
                <w:sz w:val="18"/>
              </w:rPr>
            </w:pPr>
            <w:r>
              <w:rPr>
                <w:rFonts w:ascii="Times New Roman" w:hAnsi="Times New Roman"/>
                <w:sz w:val="18"/>
              </w:rPr>
              <w:t>assets due to remeasurement of lease obligation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early exercised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Unpaid property and equipment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400</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left"/>
              <w:rPr>
                <w:b/>
                <w:spacing w:val="0"/>
              </w:rPr>
            </w:pPr>
            <w:r>
              <w:rPr>
                <w:b/>
                <w:spacing w:val="0"/>
              </w:rPr>
              <w:t>1.</w:t>
            </w:r>
          </w:p>
        </w:tc>
        <w:tc>
          <w:tcPr>
            <w:tcW w:w="33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Basis of Presentation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Inc.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has been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The Company’s mission is to be the foremost biopharma company interrogating ecDNA biology to deliver transformative therapies that improve and extend the lives of patients with previously intractable oncogene amplified cancers. The Company’s lead ecDTx, </w:t>
      </w:r>
      <w:r>
        <w:rPr>
          <w:rFonts w:ascii="Times New Roman" w:hAnsi="Times New Roman"/>
          <w:spacing w:val="0"/>
          <w:sz w:val="20"/>
        </w:rPr>
        <w:t>BBI-940,</w:t>
      </w:r>
      <w:r>
        <w:rPr>
          <w:rFonts w:ascii="Times New Roman" w:hAnsi="Times New Roman"/>
          <w:sz w:val="20"/>
        </w:rPr>
        <w:t xml:space="preserve"> is in early clinical development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w:t>
      </w:r>
      <w:r>
        <w:rPr>
          <w:rFonts w:ascii="Times New Roman" w:hAnsi="Times New Roman"/>
          <w:spacing w:val="0"/>
          <w:sz w:val="20"/>
        </w:rPr>
        <w:t>TNBC-LAR.</w:t>
      </w:r>
      <w:r>
        <w:rPr>
          <w:rFonts w:ascii="Times New Roman" w:hAnsi="Times New Roman"/>
          <w:sz w:val="20"/>
        </w:rPr>
        <w:t xml:space="preserve"> The Company was incorporated in the state of Delaware on April 10, 2018 and is headquartered in San Diego, California.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Initial Public Offering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April 2, 2024, the Company completed its initial public offering (IPO), issuing 6,250,000 shares of its common stock at a public offering price of $16.00 per share, resulting in net proceeds of approximately $87.7 million, after deducting underwriting discounts, commissions, and other offering expenses. Immediately prior to the closing of the IPO, all outstanding shares of convertible preferred stock of the Company automatically converted into 14,740,840 shares of its common stock, and no shares of convertible preferred stock remained outstanding thereafter. In connection with the closing of the IPO, on April 2, 2024, the Company amended and restated its certificate of incorporation to authorize 700,000,000 shares of common stock and 70,000,000 shares of undesignated preferred stock, each with a par value of $0.0001 per share.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ATM Offering </w:t>
      </w:r>
    </w:p>
    <w:p>
      <w:pPr>
        <w:pStyle w:val="TextBody"/>
        <w:bidi w:val="0"/>
        <w:spacing w:before="120" w:after="0"/>
        <w:jc w:val="left"/>
        <w:rPr>
          <w:rFonts w:ascii="Times New Roman" w:hAnsi="Times New Roman"/>
          <w:sz w:val="20"/>
        </w:rPr>
      </w:pPr>
      <w:r>
        <w:rPr>
          <w:rFonts w:ascii="Times New Roman" w:hAnsi="Times New Roman"/>
          <w:sz w:val="20"/>
        </w:rPr>
        <w:t>On April 1, 2025, the Company entered into an Open Market Sale Agreement</w:t>
      </w:r>
      <w:r>
        <w:rPr>
          <w:rFonts w:ascii="Times New Roman" w:hAnsi="Times New Roman"/>
          <w:sz w:val="12"/>
        </w:rPr>
        <w:t>SM</w:t>
      </w:r>
      <w:r>
        <w:rPr>
          <w:rFonts w:ascii="Times New Roman" w:hAnsi="Times New Roman"/>
          <w:sz w:val="20"/>
        </w:rPr>
        <w:t xml:space="preserve">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w:t>
      </w:r>
      <w:r>
        <w:rPr>
          <w:rFonts w:ascii="Times New Roman" w:hAnsi="Times New Roman"/>
          <w:spacing w:val="0"/>
          <w:sz w:val="20"/>
        </w:rPr>
        <w:t>S-3</w:t>
      </w:r>
      <w:r>
        <w:rPr>
          <w:rFonts w:ascii="Times New Roman" w:hAnsi="Times New Roman"/>
          <w:sz w:val="20"/>
        </w:rPr>
        <w:t xml:space="preserve"> (File </w:t>
      </w:r>
      <w:r>
        <w:rPr>
          <w:rFonts w:ascii="Times New Roman" w:hAnsi="Times New Roman"/>
          <w:spacing w:val="0"/>
          <w:sz w:val="20"/>
        </w:rPr>
        <w:t>No. 333-286302),</w:t>
      </w:r>
      <w:r>
        <w:rPr>
          <w:rFonts w:ascii="Times New Roman" w:hAnsi="Times New Roman"/>
          <w:sz w:val="20"/>
        </w:rPr>
        <w:t xml:space="preserve">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The Company did not sell any shares under the Sales Agreement during the year ended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Boundless Bio, Inc.</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Notes to Financial Statements</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(prior to the IPO) and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 Company had cash, cash equivalents, and short-term investments of $107.6 million. The Company believes that its existing cash, cash equivalents, and short-term investments will be sufficient to fund its operations for at least twelve months from the issuance date of the accompanying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incurred significant operating losses and negative cash flows from its operations and expects that it will continue to do so into the foreseeable future as it continues its 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The Company also has substantial payment obligations under a long-term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facility lease.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As of December 31, 2025, the Company had an accumulated deficit of $259.7 million, and, during the year ended December 31, 2025, the Company incurred a net loss of $58.2 million and had negative cash flows from operations of $46.7 million. As the Company continues to pursue its business plan,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are presented in U.S. dollars and have been prepared in accordance with United States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0" w:after="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283"/>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an ongoing basis, management evaluates its estimates, primarily related to stock-based compensation, the fair value of its investments, accrued research and development costs and, prior to the closing of its IPO, its common stock.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stock-based compensation expense require the selection of appropriate valuation methodologies and models, and significant judgment in evaluating ranges of assumptions and financial inputs.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with an original maturity of three months or less when purchased to be cash equivalents. Cash and cash equivalents include cash in readily available checking and money market accounts.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balance reflected in these financial statements as restricted cash represents a deposit account pledged as collateral to secure a standby letter of credit required as a security deposit under the Company’s headquarters facility lease. The Company has classified the restricted cash as a noncurrent asset on its balance sheets as of December 31, 2025 and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which potentially subject the Company to the concentration of credit risk, consist primarily of cash, cash equivalents, and investments. The Company maintains deposits in federally insured financial institutions which exceeded federally insured limits by $1.4 million as of December 31, 2025.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w:t>
      </w:r>
      <w:r>
        <w:rPr>
          <w:rFonts w:ascii="Times New Roman" w:hAnsi="Times New Roman"/>
          <w:spacing w:val="0"/>
          <w:sz w:val="20"/>
        </w:rPr>
        <w:t>as available-for-sale, as</w:t>
      </w:r>
      <w:r>
        <w:rPr>
          <w:rFonts w:ascii="Times New Roman" w:hAnsi="Times New Roman"/>
          <w:sz w:val="20"/>
        </w:rPr>
        <w:t xml:space="preserve">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w:t>
      </w:r>
      <w:r>
        <w:rPr>
          <w:rFonts w:ascii="Times New Roman" w:hAnsi="Times New Roman"/>
          <w:spacing w:val="0"/>
          <w:sz w:val="20"/>
        </w:rPr>
        <w:t>Available-for-sale</w:t>
      </w:r>
      <w:r>
        <w:rPr>
          <w:rFonts w:ascii="Times New Roman" w:hAnsi="Times New Roman"/>
          <w:sz w:val="20"/>
        </w:rPr>
        <w:t xml:space="preserv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w:t>
      </w:r>
      <w:r>
        <w:rPr>
          <w:rFonts w:ascii="Times New Roman" w:hAnsi="Times New Roman"/>
          <w:spacing w:val="0"/>
          <w:sz w:val="20"/>
        </w:rPr>
        <w:t>available-for-sale</w:t>
      </w:r>
      <w:r>
        <w:rPr>
          <w:rFonts w:ascii="Times New Roman" w:hAnsi="Times New Roman"/>
          <w:sz w:val="20"/>
        </w:rPr>
        <w:t xml:space="preserve"> are included in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At each balance sheet date, the Company reviews its available-for-sale debt securities that are in an unrealized loss position to determine whether the unrealized loss or any potential credit losses should be recognized in the statements of operations. </w:t>
      </w:r>
      <w:r>
        <w:rPr>
          <w:rFonts w:ascii="Times New Roman" w:hAnsi="Times New Roman"/>
          <w:spacing w:val="0"/>
          <w:sz w:val="20"/>
        </w:rPr>
        <w:t>For available-for-sale debt</w:t>
      </w:r>
      <w:r>
        <w:rPr>
          <w:rFonts w:ascii="Times New Roman" w:hAnsi="Times New Roman"/>
          <w:sz w:val="20"/>
        </w:rPr>
        <w:t xml:space="preserve"> securities in an unrealized loss position,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Boundless Bio, Inc.</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Notes to Financial Statements</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w:t>
      </w:r>
    </w:p>
    <w:p>
      <w:pPr>
        <w:pStyle w:val="TextBody"/>
        <w:bidi w:val="0"/>
        <w:spacing w:before="0" w:after="0"/>
        <w:jc w:val="left"/>
        <w:rPr>
          <w:rFonts w:ascii="Times New Roman" w:hAnsi="Times New Roman"/>
          <w:spacing w:val="0"/>
          <w:sz w:val="20"/>
        </w:rPr>
      </w:pPr>
      <w:r>
        <w:rPr>
          <w:rFonts w:ascii="Times New Roman" w:hAnsi="Times New Roman"/>
          <w:spacing w:val="0"/>
          <w:sz w:val="20"/>
        </w:rPr>
        <w:t>For available-for-sale securities</w:t>
      </w:r>
    </w:p>
    <w:p>
      <w:pPr>
        <w:pStyle w:val="TextBody"/>
        <w:bidi w:val="0"/>
        <w:spacing w:before="0" w:after="0"/>
        <w:jc w:val="left"/>
        <w:rPr>
          <w:rFonts w:ascii="Times New Roman" w:hAnsi="Times New Roman"/>
          <w:sz w:val="20"/>
        </w:rPr>
      </w:pPr>
      <w:r>
        <w:rPr>
          <w:rFonts w:ascii="Times New Roman" w:hAnsi="Times New Roman"/>
          <w:sz w:val="20"/>
        </w:rPr>
        <w:t xml:space="preserve">that do not meet the above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 </w:t>
      </w:r>
    </w:p>
    <w:p>
      <w:pPr>
        <w:pStyle w:val="TextBody"/>
        <w:bidi w:val="0"/>
        <w:spacing w:before="120" w:after="0"/>
        <w:jc w:val="left"/>
        <w:rPr>
          <w:rFonts w:ascii="Times New Roman" w:hAnsi="Times New Roman"/>
          <w:sz w:val="20"/>
        </w:rPr>
      </w:pPr>
      <w:r>
        <w:rPr>
          <w:rFonts w:ascii="Times New Roman" w:hAnsi="Times New Roman"/>
          <w:b/>
          <w:spacing w:val="0"/>
          <w:sz w:val="20"/>
        </w:rPr>
        <w:t>Level 1</w:t>
      </w:r>
      <w:r>
        <w:rPr>
          <w:rFonts w:ascii="Times New Roman" w:hAnsi="Times New Roman"/>
          <w:sz w:val="20"/>
        </w:rPr>
        <w:t xml:space="preserve">—Quoted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b/>
          <w:spacing w:val="0"/>
          <w:sz w:val="20"/>
        </w:rPr>
        <w:t>Level 2</w:t>
      </w:r>
      <w:r>
        <w:rPr>
          <w:rFonts w:ascii="Times New Roman" w:hAnsi="Times New Roman"/>
          <w:sz w:val="20"/>
        </w:rPr>
        <w:t xml:space="preserve">—Quoted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240" w:after="0"/>
        <w:jc w:val="left"/>
        <w:rPr>
          <w:rFonts w:ascii="Times New Roman" w:hAnsi="Times New Roman"/>
          <w:sz w:val="20"/>
        </w:rPr>
      </w:pPr>
      <w:r>
        <w:rPr>
          <w:rFonts w:ascii="Times New Roman" w:hAnsi="Times New Roman"/>
          <w:b/>
          <w:spacing w:val="0"/>
          <w:sz w:val="20"/>
        </w:rPr>
        <w:t>Level 3</w:t>
      </w:r>
      <w:r>
        <w:rPr>
          <w:rFonts w:ascii="Times New Roman" w:hAnsi="Times New Roman"/>
          <w:sz w:val="20"/>
        </w:rPr>
        <w:t xml:space="preserve">—Unobservable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0"/>
        <w:jc w:val="left"/>
        <w:rPr>
          <w:rFonts w:ascii="Times New Roman" w:hAnsi="Times New Roman"/>
          <w:sz w:val="20"/>
        </w:rPr>
      </w:pPr>
      <w:r>
        <w:rPr>
          <w:rFonts w:ascii="Times New Roman" w:hAnsi="Times New Roman"/>
          <w:sz w:val="20"/>
        </w:rPr>
        <w:t xml:space="preserve">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w:t>
      </w:r>
      <w:r>
        <w:rPr>
          <w:rFonts w:ascii="Times New Roman" w:hAnsi="Times New Roman"/>
          <w:spacing w:val="0"/>
          <w:sz w:val="20"/>
        </w:rPr>
        <w:t>non-financial</w:t>
      </w:r>
      <w:r>
        <w:rPr>
          <w:rFonts w:ascii="Times New Roman" w:hAnsi="Times New Roman"/>
          <w:sz w:val="20"/>
        </w:rPr>
        <w:t xml:space="preserve"> assets or liabilities are recorded at fair value on a </w:t>
      </w:r>
      <w:r>
        <w:rPr>
          <w:rFonts w:ascii="Times New Roman" w:hAnsi="Times New Roman"/>
          <w:spacing w:val="0"/>
          <w:sz w:val="20"/>
        </w:rPr>
        <w:t>non-recurring</w:t>
      </w:r>
      <w:r>
        <w:rPr>
          <w:rFonts w:ascii="Times New Roman" w:hAnsi="Times New Roman"/>
          <w:sz w:val="20"/>
        </w:rPr>
        <w:t xml:space="preserve">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and Common Stock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costs that are directly attributable to equity financings as deferred offering costs until such financings are consummated. Upon consummation of an equity financing, these costs are recorded as a reduction to additional </w:t>
      </w:r>
      <w:r>
        <w:rPr>
          <w:rFonts w:ascii="Times New Roman" w:hAnsi="Times New Roman"/>
          <w:spacing w:val="0"/>
          <w:sz w:val="20"/>
        </w:rPr>
        <w:t>paid-in</w:t>
      </w:r>
      <w:r>
        <w:rPr>
          <w:rFonts w:ascii="Times New Roman" w:hAnsi="Times New Roman"/>
          <w:sz w:val="20"/>
        </w:rPr>
        <w:t xml:space="preserve"> capital within stockholders’ equity. In connection with the closing of the Company’s IPO in April 2024, all amounts previously recorded as deferred offering costs were reclassified to additional </w:t>
      </w:r>
      <w:r>
        <w:rPr>
          <w:rFonts w:ascii="Times New Roman" w:hAnsi="Times New Roman"/>
          <w:spacing w:val="0"/>
          <w:sz w:val="20"/>
        </w:rPr>
        <w:t>paid-in</w:t>
      </w:r>
      <w:r>
        <w:rPr>
          <w:rFonts w:ascii="Times New Roman" w:hAnsi="Times New Roman"/>
          <w:sz w:val="20"/>
        </w:rPr>
        <w:t xml:space="preserve"> capital.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including leasehold improvements, are stated at cost less accumulated depreciation and amortization. Depreciation and amortization are recorded using the straight-line method over the estimated useful lives of the related assets, which range from three to seven years. Leasehold improvements are amortized on a straight-line basis over the shorter of the estimated useful lives of the assets or the remaining lease term.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Repairs and maintenance charges that do not increase the useful life of the assets are charged to operating expenses as incurred.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At the inception of an arrangement, the Company determines whether the arrangement is or contains a lease and whether such a lease should be classified as a financing lease or operating lease based on the unique facts and circumstances present, the existence of an identified asset(s), if any, and the Company’s control over the use of the identified asset(s), if applicable. In 2025 and 2024, the Company leased real estate facilities under </w:t>
      </w:r>
      <w:r>
        <w:rPr>
          <w:rFonts w:ascii="Times New Roman" w:hAnsi="Times New Roman"/>
          <w:spacing w:val="0"/>
          <w:sz w:val="20"/>
        </w:rPr>
        <w:t>non-cancellable</w:t>
      </w:r>
      <w:r>
        <w:rPr>
          <w:rFonts w:ascii="Times New Roman" w:hAnsi="Times New Roman"/>
          <w:sz w:val="20"/>
        </w:rPr>
        <w:t xml:space="preserve"> operating leases with various expiration dates through fiscal year 2034. As of December 31, 2025, the Company had one operating lease, which expires in 2034. As of December 31, 2025 and 2024, the Company had no financing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with a term greater than one year are recognized as </w:t>
      </w:r>
      <w:r>
        <w:rPr>
          <w:rFonts w:ascii="Times New Roman" w:hAnsi="Times New Roman"/>
          <w:spacing w:val="0"/>
          <w:sz w:val="20"/>
        </w:rPr>
        <w:t>right-of-use</w:t>
      </w:r>
      <w:r>
        <w:rPr>
          <w:rFonts w:ascii="Times New Roman" w:hAnsi="Times New Roman"/>
          <w:sz w:val="20"/>
        </w:rPr>
        <w:t xml:space="preserve"> (ROU) assets and lease liabilities in the accompanying balance sheets. Operating lease ROU assets represent the Company’s right to use an underlying asset for the lease term, and lease liabilities represent the Company’s obligation to make lease payments arising from the lease. The Company considers the lease term to be the </w:t>
      </w:r>
      <w:r>
        <w:rPr>
          <w:rFonts w:ascii="Times New Roman" w:hAnsi="Times New Roman"/>
          <w:spacing w:val="0"/>
          <w:sz w:val="20"/>
        </w:rPr>
        <w:t>non-cancellable</w:t>
      </w:r>
      <w:r>
        <w:rPr>
          <w:rFonts w:ascii="Times New Roman" w:hAnsi="Times New Roman"/>
          <w:sz w:val="20"/>
        </w:rPr>
        <w:t xml:space="preserve"> period that it has the right to use the underlying asset, together with any periods where it is reasonably certain it will exercise an option to extend (or not terminate) the lease. The Company does not assume renewals or early terminations unless it is reasonably certain to exercise these options.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Operating lease liabilities are recognized at the lease commencement date based on the present value of lease payments over the lease term discounted based on (i) the interest rate implicit in the lease if that rate is readily determinable, or if not, (ii) the Company’s incremental borrowing rate (which is the estimated interest rate the Company would be required to pay for a collateralized borrowing equal to the total lease payments over a similar term as the lease term and in a similar economic environment). Because the Company’s operating leases do not provide an implicit rate, the Company estimates its incremental borrowing rate based on the information available at the lease commencement date for borrowings with a similar term. The Company’s operating lease ROU assets are measured based on the corresponding operating lease liability adjusted for (i) payments made to the lessor at or before the commencement date, (ii) initial direct costs incurred and (iii) tenant incentives under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costs are recognized on a straight-line basis over the lease term. The Company elected not to allocate consideration between lease and </w:t>
      </w:r>
      <w:r>
        <w:rPr>
          <w:rFonts w:ascii="Times New Roman" w:hAnsi="Times New Roman"/>
          <w:spacing w:val="0"/>
          <w:sz w:val="20"/>
        </w:rPr>
        <w:t>non-lease</w:t>
      </w:r>
      <w:r>
        <w:rPr>
          <w:rFonts w:ascii="Times New Roman" w:hAnsi="Times New Roman"/>
          <w:sz w:val="20"/>
        </w:rPr>
        <w:t xml:space="preserve"> components. Variable lease payments are recognized in the period in which the obligations for those payments are incurred. In addition, the Company elected not to recognize lease assets or lease liabilities for leases with a term of 12 months or less for all asset classes.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identified as components of an enterprise about which discrete financial information is available for evaluation by the chief operating decision-maker (CODM) in making decisions regarding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resource allocation and assessing performance. The Company operates and manages its business as one reporting and one operating segment,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which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convertible preferred stock was classified as temporary equity in the accompanying balance sheet as of December 31, 2023 and excluded from stockholders’ equity/(deficit) as the potential redemption of such stock was outside the Company’s control and would have required the redemption of the then-outstanding convertible preferred stock. The convertible preferred stock was not redeemable except for in the event of a liquidation, dissolution, or winding up of the Company. Costs incurred in connection with the issuance of convertible preferred stock were recorded as a reduction of gross proceeds from issuance. The Company did not accrete the carrying values of the convertible preferred stock to the redemption values since the occurrence of these events was not considered probable as of December 31, 2023. Immediately prior to the closing of the IPO on April 2, 2024, the Company’s outstanding convertible preferred stock automatically converted into 14,740,840 shares of common stock. Following the closing of the IPO, no shares of convertible preferred stock were authorized or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severance, bonuses, benefits, travel, and stock-based compensation expenses,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 rendered. </w:t>
      </w:r>
      <w:r>
        <w:rPr>
          <w:rFonts w:ascii="Times New Roman" w:hAnsi="Times New Roman"/>
          <w:spacing w:val="0"/>
          <w:sz w:val="20"/>
        </w:rPr>
        <w:t>Non-refundable</w:t>
      </w:r>
      <w:r>
        <w:rPr>
          <w:rFonts w:ascii="Times New Roman" w:hAnsi="Times New Roman"/>
          <w:sz w:val="20"/>
        </w:rPr>
        <w:t xml:space="preserve"> advance payments for goods or services that will be used or rendered for future R&amp;D activities are deferred and capitalized as prepaid expenses until the related goods are delivered or services are performed.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General and administrative (G&amp;A) expenses consist primarily of personnel-related expenses, including salaries, severance,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Costs related to filing and pursuing patent applications are recorded as G&amp;A expense and are expensed as incurred since the recoverability of such expenditures is uncertain.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measures employee and nonemployee stock-based awards based on the estimated fair value of the awards on the date of grant and records compensation expense on a straight-line basis over the requisite service period of the award. All stock-based compensation costs are recorded in the statements of operations and comprehensive loss based upon the underlying employees’ or nonemployees’ roles within the Company. Forfeitures are accounted for as they occur.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stock option grants and shares purchasable under the Company’s 2024 Employee Stock Purchase Plan (ESPP) is estimated on the date of grant using the Black-Scholes options-pricing model, which requires inputs based on certain subjective assumptions, including the: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common stock. Subsequent to the closing of the IPO, the fair value of the Company’s common stock is the closing price per share on the Nasdaq Global Select Market on the date of grant of the award. For periods prior to the closing of the IPO on April 2, 2024, the Company utilized methodologies, approaches, and assumptions consistent with the American Institute of Certified Public Accountants’ Accounting and Valuation Guide, </w:t>
            </w:r>
            <w:r>
              <w:rPr>
                <w:rFonts w:ascii="Times New Roman" w:hAnsi="Times New Roman"/>
                <w:i/>
                <w:caps w:val="false"/>
                <w:smallCaps w:val="false"/>
                <w:spacing w:val="0"/>
                <w:sz w:val="20"/>
              </w:rPr>
              <w:t>Valuation of Privately Held Company Equity Securities Issued as Compensation</w:t>
            </w:r>
            <w:r>
              <w:rPr>
                <w:rFonts w:ascii="Times New Roman" w:hAnsi="Times New Roman"/>
                <w:sz w:val="20"/>
              </w:rPr>
              <w:t xml:space="preserve"> (The Practice Aid) to estimate the fair value of its common stock. The fair value of the common stock was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 Company’s industry; and external market conditions affecting the biopharmaceutical industry and trends within the biopharmaceutical industry.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Risk-free interest rate. The risk-free interest rate is based on the U.S. Treasury’s rates for U.S. Treasury </w:t>
            </w:r>
            <w:r>
              <w:rPr>
                <w:rFonts w:ascii="Times New Roman" w:hAnsi="Times New Roman"/>
                <w:spacing w:val="0"/>
                <w:sz w:val="20"/>
              </w:rPr>
              <w:t>zero-coupon</w:t>
            </w:r>
            <w:r>
              <w:rPr>
                <w:rFonts w:ascii="Times New Roman" w:hAnsi="Times New Roman"/>
                <w:sz w:val="20"/>
              </w:rPr>
              <w:t xml:space="preserve"> bonds with maturities similar to the expected term of the award being valued.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Expected volatility. Given that there was no active trading market for the Company’s common stock prior to the completion of the IPO and there is not yet sufficient trading history for the Company’s common stock, the Company derived the expected volatility from the average historical volatilities of the common stock of a group of comparable publicly-traded companies in the biotechnology industry over a period approximately equal to the expected term of the award being valued. The Company will continue to apply this process until enough historical information regarding the volatility of its own stock price becomes available.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term. The expected term represents the period that the stock-based awards are expected to be outstanding. The expected term of stock options issued is determined using the simplified method (based on the </w:t>
            </w:r>
            <w:r>
              <w:rPr>
                <w:rFonts w:ascii="Times New Roman" w:hAnsi="Times New Roman"/>
                <w:spacing w:val="0"/>
                <w:sz w:val="20"/>
              </w:rPr>
              <w:t>mid-point</w:t>
            </w:r>
            <w:r>
              <w:rPr>
                <w:rFonts w:ascii="Times New Roman" w:hAnsi="Times New Roman"/>
                <w:sz w:val="20"/>
              </w:rPr>
              <w:t xml:space="preserve"> between the vesting date and the end of the contractual term) as the Company has concluded that its stock option exercise history does not provide a reasonable basis upon which to estimate expected term. For rights to purchase shares of common stock under the ESPP, the expected term represents the period from the first day of the offering period to the purchase date.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Expected dividend yield. The Company has never paid dividends on its common stock and does not anticipate paying any dividends in the foreseeable future. Therefore, the Company uses an expected dividend yield of zero.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fair value of each restricted common stock award is estimated on the date of grant based on the fair value of the Company’s common stock on that same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assumptions used in determining the estimated fair value of stock-based awards represent management’s best estimates and involve inherent uncertainties and the application of significant judgment.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reviews all stock-based award modifications, including situations in which an original award is exchanged for a new award. Stock award modifications are accounted for as modifications under ASC 718. In such cases, the Company measures incremental compensation cost as the excess of the fair value of the modified award over the fair value of the original award immediately prior to the modification, based on the relevant factors at the modification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vested awards, the Company recognizes any incremental compensation cost in the period in which the modification occurs. For unvested awards, if the modified award is probable of vesting both before and after the modification, the Company recognizes, on a prospective basis over the remaining requisite service period, the sum of (i) the incremental compensation cost and (ii) any remaining unrecognized compensation cost associated with the original award as of the modification date. If the fair value of the modified award is lower than the fair value of the original award immediately before the modification, the Company continues to recognize compensation cost at least equal to the cost of the original award.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2025, the Company entered into consulting arrangements with several former employees that provided for the continued vesting of outstanding stock options. The Company accounted for these arrangements as award modifications under ASC 718. Results of operations for the year ended December 31, 2025 include an immaterial amount of additional stock-based compensation expense associated with these modifications.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 taxable temporary </w:t>
      </w:r>
      <w:r>
        <w:rPr>
          <w:rFonts w:ascii="Times New Roman" w:hAnsi="Times New Roman"/>
          <w:spacing w:val="0"/>
          <w:sz w:val="20"/>
        </w:rPr>
        <w:t>differences, tax-planning strategies, and</w:t>
      </w:r>
      <w:r>
        <w:rPr>
          <w:rFonts w:ascii="Times New Roman" w:hAnsi="Times New Roman"/>
          <w:sz w:val="20"/>
        </w:rPr>
        <w:t xml:space="preserv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Interest and penalties are included as a component of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w:t>
      </w:r>
      <w:r>
        <w:rPr>
          <w:rFonts w:ascii="Times New Roman" w:hAnsi="Times New Roman"/>
          <w:spacing w:val="0"/>
          <w:sz w:val="20"/>
        </w:rPr>
        <w:t>of a two-step process whereby</w:t>
      </w:r>
      <w:r>
        <w:rPr>
          <w:rFonts w:ascii="Times New Roman" w:hAnsi="Times New Roman"/>
          <w:sz w:val="20"/>
        </w:rPr>
        <w:t xml:space="preserve"> (i) management determines whether it is more likely than not that the tax positions will be sustained on the basis of the technical merits of the position and (ii) for those tax positions that </w:t>
      </w:r>
      <w:r>
        <w:rPr>
          <w:rFonts w:ascii="Times New Roman" w:hAnsi="Times New Roman"/>
          <w:spacing w:val="0"/>
          <w:sz w:val="20"/>
        </w:rPr>
        <w:t>meet the more-likely-than-not recognition threshold,</w:t>
      </w:r>
      <w:r>
        <w:rPr>
          <w:rFonts w:ascii="Times New Roman" w:hAnsi="Times New Roman"/>
          <w:sz w:val="20"/>
        </w:rPr>
        <w:t xml:space="preserve"> management recognizes the largest amount of tax benefit that is more than 50 percent likely to be realized upon ultimate settlement with the related tax authority. Any resulting unrecognized tax benefits are included within the related tax liability.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spacing w:val="0"/>
        </w:rPr>
      </w:pPr>
      <w:r>
        <w:rPr>
          <w:spacing w:val="0"/>
        </w:rPr>
        <w:t> </w:t>
      </w: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July 2025, legislation commonly referred to as the One Big Beautiful Bill Act (OBBBA) was enacted, which includes changes to U.S. tax law, including provisions affecting the deductibility of domestic research expenditures, limitations on interest expense deductions, and bonus depreciation. The Company evaluated the impact of the enacted legislation under ASC 740. Any remeasurement of deferred tax assets resulting from the legislation was fully offset by the Company’s existing valuation allowance. Accordingly, the enactment of the OBBBA did not have a material impact on the Company’s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all components of comprehensive income (loss), including net loss, in the financial statements in the period in which they are recognized. Comprehensive income (loss) is defined as the change in equity during a period from transactions and other events and circumstances from </w:t>
      </w:r>
      <w:r>
        <w:rPr>
          <w:rFonts w:ascii="Times New Roman" w:hAnsi="Times New Roman"/>
          <w:spacing w:val="0"/>
          <w:sz w:val="20"/>
        </w:rPr>
        <w:t>non-owner</w:t>
      </w:r>
      <w:r>
        <w:rPr>
          <w:rFonts w:ascii="Times New Roman" w:hAnsi="Times New Roman"/>
          <w:sz w:val="20"/>
        </w:rPr>
        <w:t xml:space="preserve"> sources, including unrealized gains and losses on short-term investments. Other comprehensive income (loss) includes unrealized gains and losses on short-term investments, which was the only difference between net loss and comprehensive loss for the applicable periods.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calculated by dividing the net loss by the weighted-average number of shares of common stock and potentially dilutive securities outstanding during the period. The Company’s potentially dilutive securities, which include its options to purchase common stock, common stock subject to repurchase related to unvested restricted stock and options early exercised, and, for periods prior to April 2, 2024, convertible preferred stock, have been excluded from the calculation of diluted net loss per share as the effect would reduce the net loss per share. Therefore, the weighted-average number of shares of common stock outstanding used to calculate both basic and diluted net loss per share is the same.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still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which means that when an accounting standard is issued or revised and it has different effective dates for public and private companies, the Company can comply with the effective dates applicable to private companies. As a result, the Company’s financial statements may not be comparable to companies that comply with new or revised accounting standards as of public company effective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r>
        <w:rPr>
          <w:rFonts w:ascii="Times New Roman" w:hAnsi="Times New Roman"/>
          <w:spacing w:val="0"/>
          <w:sz w:val="20"/>
        </w:rPr>
        <w:t>2023-09,</w:t>
      </w:r>
      <w:r>
        <w:rPr>
          <w:rFonts w:ascii="Times New Roman" w:hAnsi="Times New Roman"/>
          <w:sz w:val="20"/>
        </w:rPr>
        <w:t xml:space="preserve"> </w:t>
      </w:r>
      <w:r>
        <w:rPr>
          <w:rFonts w:ascii="Times New Roman" w:hAnsi="Times New Roman"/>
          <w:i/>
          <w:caps w:val="false"/>
          <w:smallCaps w:val="false"/>
          <w:spacing w:val="0"/>
          <w:sz w:val="20"/>
        </w:rPr>
        <w:t>Improvements to Income Tax Disclosures</w:t>
      </w:r>
      <w:r>
        <w:rPr>
          <w:rFonts w:ascii="Times New Roman" w:hAnsi="Times New Roman"/>
          <w:sz w:val="20"/>
        </w:rPr>
        <w:t xml:space="preserve">. The update enhances income tax disclosure requirements, including expanded information related to the effective tax rate reconciliation and income taxes paid, and does not affect the recognition or measurement of income taxes. The Company adopted this guidance effective January 1, 2025 and applied the new disclosure requirements prospectively for the year ended December 31, 2025. The adoption did not materially affect the Company’s financial statements, and the additional required disclosures are included in Note 11.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Pending Adoption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2024-03,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Statement—Reporting Comprehensive Income—Expense Disaggregation Disclosures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Disaggregation of Income Statement Expenses (ASU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 The new guidance requires more detailed information about specified types of expenses (including purchases of inventory, employee compensation, depreciation, amortization, and depletion) in commonly presented expense captions (such as R&amp;D and G&amp;A) presented on the face of the statement of operations on an annual and interim basis. This guidance will be effective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 </w:t>
      </w:r>
    </w:p>
    <w:p>
      <w:pPr>
        <w:pStyle w:val="TextBody"/>
        <w:bidi w:val="0"/>
        <w:spacing w:before="0" w:after="0"/>
        <w:jc w:val="left"/>
        <w:rPr>
          <w:spacing w:val="0"/>
        </w:rPr>
      </w:pPr>
      <w:r>
        <w:rPr>
          <w:spacing w:val="0"/>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b/>
                <w:spacing w:val="0"/>
              </w:rPr>
            </w:pPr>
            <w:r>
              <w:rPr>
                <w:b/>
                <w:spacing w:val="0"/>
              </w:rPr>
              <w:t>3.</w:t>
            </w:r>
          </w:p>
        </w:tc>
        <w:tc>
          <w:tcPr>
            <w:tcW w:w="22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summarize the Company’s financial assets measured at fair value on a recurring basis and their respective input levels based on the fair value hierarchy described in Note 2 above (in thousands): </w:t>
      </w:r>
    </w:p>
    <w:p>
      <w:pPr>
        <w:pStyle w:val="TextBody"/>
        <w:bidi w:val="0"/>
        <w:spacing w:before="0" w:after="0"/>
        <w:jc w:val="left"/>
        <w:rPr>
          <w:spacing w:val="0"/>
        </w:rPr>
      </w:pPr>
      <w:r>
        <w:rPr>
          <w:spacing w:val="0"/>
        </w:rPr>
        <w:t> </w:t>
      </w:r>
    </w:p>
    <w:tbl>
      <w:tblPr>
        <w:tblW w:w="7325" w:type="dxa"/>
        <w:jc w:val="left"/>
        <w:tblInd w:w="0" w:type="dxa"/>
        <w:tblLayout w:type="fixed"/>
        <w:tblCellMar>
          <w:top w:w="0" w:type="dxa"/>
          <w:left w:w="0" w:type="dxa"/>
          <w:bottom w:w="0" w:type="dxa"/>
          <w:right w:w="0" w:type="dxa"/>
        </w:tblCellMar>
      </w:tblPr>
      <w:tblGrid>
        <w:gridCol w:w="2630"/>
        <w:gridCol w:w="120"/>
        <w:gridCol w:w="140"/>
        <w:gridCol w:w="800"/>
        <w:gridCol w:w="60"/>
        <w:gridCol w:w="120"/>
        <w:gridCol w:w="183"/>
        <w:gridCol w:w="891"/>
        <w:gridCol w:w="78"/>
        <w:gridCol w:w="157"/>
        <w:gridCol w:w="183"/>
        <w:gridCol w:w="891"/>
        <w:gridCol w:w="78"/>
        <w:gridCol w:w="157"/>
        <w:gridCol w:w="264"/>
        <w:gridCol w:w="498"/>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0" w:type="dxa"/>
            <w:gridSpan w:val="10"/>
            <w:tcBorders/>
            <w:vAlign w:val="center"/>
          </w:tcPr>
          <w:p>
            <w:pPr>
              <w:pStyle w:val="TableContents"/>
              <w:bidi w:val="0"/>
              <w:spacing w:before="0" w:after="283"/>
              <w:jc w:val="center"/>
              <w:rPr>
                <w:b/>
                <w:spacing w:val="0"/>
              </w:rPr>
            </w:pPr>
            <w:r>
              <w:rPr>
                <w:b/>
                <w:spacing w:val="0"/>
              </w:rPr>
              <w:t>Fair Value Measurements Using</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 2025</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center"/>
              <w:rPr>
                <w:b/>
                <w:spacing w:val="0"/>
              </w:rPr>
            </w:pPr>
            <w:r>
              <w:rPr>
                <w:b/>
                <w:spacing w:val="0"/>
              </w:rPr>
              <w:t>Level 1</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center"/>
              <w:rPr>
                <w:b/>
                <w:spacing w:val="0"/>
              </w:rPr>
            </w:pPr>
            <w:r>
              <w:rPr>
                <w:b/>
                <w:spacing w:val="0"/>
              </w:rPr>
              <w:t>Level 2</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283"/>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16,100</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 (2)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89,713</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fair value of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105,813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16,100</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89,713</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(1)</w:t>
            </w:r>
          </w:p>
        </w:tc>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cash and cash equivalents on the balance sheets. </w:t>
            </w:r>
          </w:p>
        </w:tc>
      </w:tr>
    </w:tbl>
    <w:tbl>
      <w:tblPr>
        <w:tblW w:w="5020" w:type="dxa"/>
        <w:jc w:val="left"/>
        <w:tblInd w:w="0" w:type="dxa"/>
        <w:tblLayout w:type="fixed"/>
        <w:tblCellMar>
          <w:top w:w="0" w:type="dxa"/>
          <w:left w:w="0" w:type="dxa"/>
          <w:bottom w:w="0" w:type="dxa"/>
          <w:right w:w="0" w:type="dxa"/>
        </w:tblCellMar>
      </w:tblPr>
      <w:tblGrid>
        <w:gridCol w:w="305"/>
        <w:gridCol w:w="4715"/>
      </w:tblGrid>
      <w:tr>
        <w:trPr/>
        <w:tc>
          <w:tcPr>
            <w:tcW w:w="305" w:type="dxa"/>
            <w:tcBorders/>
            <w:vAlign w:val="center"/>
          </w:tcPr>
          <w:p>
            <w:pPr>
              <w:pStyle w:val="TableContents"/>
              <w:bidi w:val="0"/>
              <w:spacing w:before="0" w:after="283"/>
              <w:jc w:val="left"/>
              <w:rPr/>
            </w:pPr>
            <w:r>
              <w:rPr/>
              <w:t>(2)</w:t>
            </w:r>
          </w:p>
        </w:tc>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short-term investments on the balance sheets. </w:t>
            </w:r>
          </w:p>
        </w:tc>
      </w:tr>
    </w:tbl>
    <w:p>
      <w:pPr>
        <w:pStyle w:val="TextBody"/>
        <w:bidi w:val="0"/>
        <w:spacing w:before="0" w:after="0"/>
        <w:jc w:val="left"/>
        <w:rPr>
          <w:spacing w:val="0"/>
        </w:rPr>
      </w:pPr>
      <w:r>
        <w:rPr>
          <w:spacing w:val="0"/>
        </w:rPr>
        <w:t> </w:t>
      </w:r>
    </w:p>
    <w:tbl>
      <w:tblPr>
        <w:tblW w:w="7352" w:type="dxa"/>
        <w:jc w:val="left"/>
        <w:tblInd w:w="0" w:type="dxa"/>
        <w:tblLayout w:type="fixed"/>
        <w:tblCellMar>
          <w:top w:w="0" w:type="dxa"/>
          <w:left w:w="0" w:type="dxa"/>
          <w:bottom w:w="0" w:type="dxa"/>
          <w:right w:w="0" w:type="dxa"/>
        </w:tblCellMar>
      </w:tblPr>
      <w:tblGrid>
        <w:gridCol w:w="2630"/>
        <w:gridCol w:w="120"/>
        <w:gridCol w:w="140"/>
        <w:gridCol w:w="800"/>
        <w:gridCol w:w="60"/>
        <w:gridCol w:w="120"/>
        <w:gridCol w:w="175"/>
        <w:gridCol w:w="851"/>
        <w:gridCol w:w="75"/>
        <w:gridCol w:w="150"/>
        <w:gridCol w:w="175"/>
        <w:gridCol w:w="1001"/>
        <w:gridCol w:w="75"/>
        <w:gridCol w:w="150"/>
        <w:gridCol w:w="264"/>
        <w:gridCol w:w="491"/>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7" w:type="dxa"/>
            <w:gridSpan w:val="10"/>
            <w:tcBorders/>
            <w:vAlign w:val="center"/>
          </w:tcPr>
          <w:p>
            <w:pPr>
              <w:pStyle w:val="TableContents"/>
              <w:bidi w:val="0"/>
              <w:spacing w:before="0" w:after="283"/>
              <w:jc w:val="center"/>
              <w:rPr>
                <w:b/>
                <w:spacing w:val="0"/>
              </w:rPr>
            </w:pPr>
            <w:r>
              <w:rPr>
                <w:b/>
                <w:spacing w:val="0"/>
              </w:rPr>
              <w:t>Fair Value Measurements Using</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 2024</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center"/>
              <w:rPr>
                <w:b/>
                <w:spacing w:val="0"/>
              </w:rPr>
            </w:pPr>
            <w:r>
              <w:rPr>
                <w:b/>
                <w:spacing w:val="0"/>
              </w:rPr>
              <w:t>Level 1</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center"/>
              <w:rPr>
                <w:b/>
                <w:spacing w:val="0"/>
              </w:rPr>
            </w:pPr>
            <w:r>
              <w:rPr>
                <w:b/>
                <w:spacing w:val="0"/>
              </w:rPr>
              <w:t>Level 2</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24,889</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0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 (2)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118,289</w:t>
            </w:r>
          </w:p>
        </w:tc>
        <w:tc>
          <w:tcPr>
            <w:tcW w:w="75"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Corporate debt securities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7,238</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fair value of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24,889</w:t>
            </w:r>
          </w:p>
        </w:tc>
        <w:tc>
          <w:tcPr>
            <w:tcW w:w="75"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125,527</w:t>
            </w:r>
          </w:p>
        </w:tc>
        <w:tc>
          <w:tcPr>
            <w:tcW w:w="75"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(1)</w:t>
            </w:r>
          </w:p>
        </w:tc>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cash and cash equivalents on the balance sheets. </w:t>
            </w:r>
          </w:p>
        </w:tc>
      </w:tr>
    </w:tbl>
    <w:tbl>
      <w:tblPr>
        <w:tblW w:w="5020" w:type="dxa"/>
        <w:jc w:val="left"/>
        <w:tblInd w:w="0" w:type="dxa"/>
        <w:tblLayout w:type="fixed"/>
        <w:tblCellMar>
          <w:top w:w="0" w:type="dxa"/>
          <w:left w:w="0" w:type="dxa"/>
          <w:bottom w:w="0" w:type="dxa"/>
          <w:right w:w="0" w:type="dxa"/>
        </w:tblCellMar>
      </w:tblPr>
      <w:tblGrid>
        <w:gridCol w:w="305"/>
        <w:gridCol w:w="4715"/>
      </w:tblGrid>
      <w:tr>
        <w:trPr/>
        <w:tc>
          <w:tcPr>
            <w:tcW w:w="305" w:type="dxa"/>
            <w:tcBorders/>
            <w:vAlign w:val="center"/>
          </w:tcPr>
          <w:p>
            <w:pPr>
              <w:pStyle w:val="TableContents"/>
              <w:bidi w:val="0"/>
              <w:spacing w:before="0" w:after="283"/>
              <w:jc w:val="left"/>
              <w:rPr/>
            </w:pPr>
            <w:r>
              <w:rPr/>
              <w:t>(2)</w:t>
            </w:r>
          </w:p>
        </w:tc>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short-term investments on the balance sheets.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money market funds are classified as Level 1 because they are valued using quoted market prices in active markets for identical assets. The Company’s investments consist of </w:t>
      </w:r>
      <w:r>
        <w:rPr>
          <w:rFonts w:ascii="Times New Roman" w:hAnsi="Times New Roman"/>
          <w:spacing w:val="0"/>
          <w:sz w:val="20"/>
        </w:rPr>
        <w:t>available-for-sale</w:t>
      </w:r>
      <w:r>
        <w:rPr>
          <w:rFonts w:ascii="Times New Roman" w:hAnsi="Times New Roman"/>
          <w:sz w:val="20"/>
        </w:rPr>
        <w:t xml:space="preserve"> securities and are classified as Level 2 because their value is based on valuations using significant inputs derived from or corroborated by observable market data.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transfers of assets between fair value levels for any period presented.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spacing w:val="0"/>
              </w:rPr>
            </w:pPr>
            <w:r>
              <w:rPr>
                <w:b/>
                <w:spacing w:val="0"/>
              </w:rPr>
              <w:t>4.</w:t>
            </w:r>
          </w:p>
        </w:tc>
        <w:tc>
          <w:tcPr>
            <w:tcW w:w="10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investments accounted for as </w:t>
      </w:r>
      <w:r>
        <w:rPr>
          <w:rFonts w:ascii="Times New Roman" w:hAnsi="Times New Roman"/>
          <w:spacing w:val="0"/>
          <w:sz w:val="20"/>
        </w:rPr>
        <w:t>available-for-sale</w:t>
      </w:r>
      <w:r>
        <w:rPr>
          <w:rFonts w:ascii="Times New Roman" w:hAnsi="Times New Roman"/>
          <w:sz w:val="20"/>
        </w:rPr>
        <w:t xml:space="preserve"> securities (in thousands): </w:t>
      </w:r>
    </w:p>
    <w:p>
      <w:pPr>
        <w:pStyle w:val="TextBody"/>
        <w:bidi w:val="0"/>
        <w:spacing w:before="0" w:after="0"/>
        <w:jc w:val="left"/>
        <w:rPr>
          <w:spacing w:val="0"/>
        </w:rPr>
      </w:pPr>
      <w:r>
        <w:rPr>
          <w:spacing w:val="0"/>
        </w:rPr>
        <w:t> </w:t>
      </w:r>
    </w:p>
    <w:tbl>
      <w:tblPr>
        <w:tblW w:w="8935" w:type="dxa"/>
        <w:jc w:val="left"/>
        <w:tblInd w:w="0" w:type="dxa"/>
        <w:tblLayout w:type="fixed"/>
        <w:tblCellMar>
          <w:top w:w="0" w:type="dxa"/>
          <w:left w:w="0" w:type="dxa"/>
          <w:bottom w:w="0" w:type="dxa"/>
          <w:right w:w="0" w:type="dxa"/>
        </w:tblCellMar>
      </w:tblPr>
      <w:tblGrid>
        <w:gridCol w:w="3230"/>
        <w:gridCol w:w="120"/>
        <w:gridCol w:w="175"/>
        <w:gridCol w:w="1000"/>
        <w:gridCol w:w="60"/>
        <w:gridCol w:w="120"/>
        <w:gridCol w:w="395"/>
        <w:gridCol w:w="735"/>
        <w:gridCol w:w="60"/>
        <w:gridCol w:w="120"/>
        <w:gridCol w:w="395"/>
        <w:gridCol w:w="735"/>
        <w:gridCol w:w="60"/>
        <w:gridCol w:w="120"/>
        <w:gridCol w:w="228"/>
        <w:gridCol w:w="130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10" w:type="dxa"/>
            <w:gridSpan w:val="14"/>
            <w:tcBorders/>
            <w:vAlign w:val="center"/>
          </w:tcPr>
          <w:p>
            <w:pPr>
              <w:pStyle w:val="TableContents"/>
              <w:bidi w:val="0"/>
              <w:spacing w:before="0" w:after="283"/>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spacing w:val="0"/>
              </w:rPr>
            </w:pPr>
            <w:r>
              <w:rPr>
                <w:b/>
                <w:spacing w:val="0"/>
              </w:rPr>
              <w:t>Acquisition</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Gain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Loss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pacing w:val="0"/>
              </w:rPr>
            </w:pPr>
            <w:r>
              <w:rPr>
                <w:b/>
                <w:spacing w:val="0"/>
              </w:rPr>
              <w:t>Estimated Fair</w:t>
              <w:br/>
              <w:t>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16,100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16,100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89,649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89,713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105,749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105,813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Classified as: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16,100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89,713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105,813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030" w:type="dxa"/>
        <w:jc w:val="left"/>
        <w:tblInd w:w="0" w:type="dxa"/>
        <w:tblLayout w:type="fixed"/>
        <w:tblCellMar>
          <w:top w:w="0" w:type="dxa"/>
          <w:left w:w="0" w:type="dxa"/>
          <w:bottom w:w="0" w:type="dxa"/>
          <w:right w:w="0" w:type="dxa"/>
        </w:tblCellMar>
      </w:tblPr>
      <w:tblGrid>
        <w:gridCol w:w="3230"/>
        <w:gridCol w:w="120"/>
        <w:gridCol w:w="175"/>
        <w:gridCol w:w="1000"/>
        <w:gridCol w:w="60"/>
        <w:gridCol w:w="120"/>
        <w:gridCol w:w="304"/>
        <w:gridCol w:w="826"/>
        <w:gridCol w:w="60"/>
        <w:gridCol w:w="120"/>
        <w:gridCol w:w="395"/>
        <w:gridCol w:w="735"/>
        <w:gridCol w:w="155"/>
        <w:gridCol w:w="120"/>
        <w:gridCol w:w="228"/>
        <w:gridCol w:w="130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5" w:type="dxa"/>
            <w:gridSpan w:val="14"/>
            <w:tcBorders/>
            <w:vAlign w:val="center"/>
          </w:tcPr>
          <w:p>
            <w:pPr>
              <w:pStyle w:val="TableContents"/>
              <w:bidi w:val="0"/>
              <w:spacing w:before="0" w:after="283"/>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spacing w:val="0"/>
              </w:rPr>
            </w:pPr>
            <w:r>
              <w:rPr>
                <w:b/>
                <w:spacing w:val="0"/>
              </w:rPr>
              <w:t>Acquisition</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Gain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Loss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pacing w:val="0"/>
              </w:rPr>
            </w:pPr>
            <w:r>
              <w:rPr>
                <w:b/>
                <w:spacing w:val="0"/>
              </w:rPr>
              <w:t>Estimated Fair</w:t>
              <w:br/>
              <w:t>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24,889</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118,170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118,289</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Corporate debt securities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7,238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150,295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150,416</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Classified as: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30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24,889</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125,527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150,416</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31, 2025 and 2024, the remaining contractual maturities of all the Company’s </w:t>
      </w:r>
      <w:r>
        <w:rPr>
          <w:rFonts w:ascii="Times New Roman" w:hAnsi="Times New Roman"/>
          <w:spacing w:val="0"/>
          <w:sz w:val="20"/>
        </w:rPr>
        <w:t>available-for-sale</w:t>
      </w:r>
      <w:r>
        <w:rPr>
          <w:rFonts w:ascii="Times New Roman" w:hAnsi="Times New Roman"/>
          <w:sz w:val="20"/>
        </w:rPr>
        <w:t xml:space="preserve"> investments were less than twelve months. As of December 31, 2025 and 2024, the Company has not established an allowance for credit losses for any of its </w:t>
      </w:r>
      <w:r>
        <w:rPr>
          <w:rFonts w:ascii="Times New Roman" w:hAnsi="Times New Roman"/>
          <w:spacing w:val="0"/>
          <w:sz w:val="20"/>
        </w:rPr>
        <w:t>available-for-sale</w:t>
      </w:r>
      <w:r>
        <w:rPr>
          <w:rFonts w:ascii="Times New Roman" w:hAnsi="Times New Roman"/>
          <w:sz w:val="20"/>
        </w:rPr>
        <w:t xml:space="preserv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were no </w:t>
      </w:r>
      <w:r>
        <w:rPr>
          <w:rFonts w:ascii="Times New Roman" w:hAnsi="Times New Roman"/>
          <w:spacing w:val="0"/>
          <w:sz w:val="20"/>
        </w:rPr>
        <w:t>available-for-sale</w:t>
      </w:r>
      <w:r>
        <w:rPr>
          <w:rFonts w:ascii="Times New Roman" w:hAnsi="Times New Roman"/>
          <w:sz w:val="20"/>
        </w:rPr>
        <w:t xml:space="preserve"> securities in a gross unrealized loss position. As of December 31, 2024, there was one </w:t>
      </w:r>
      <w:r>
        <w:rPr>
          <w:rFonts w:ascii="Times New Roman" w:hAnsi="Times New Roman"/>
          <w:spacing w:val="0"/>
          <w:sz w:val="20"/>
        </w:rPr>
        <w:t>available-for-sale</w:t>
      </w:r>
      <w:r>
        <w:rPr>
          <w:rFonts w:ascii="Times New Roman" w:hAnsi="Times New Roman"/>
          <w:sz w:val="20"/>
        </w:rPr>
        <w:t xml:space="preserve"> security, with an estimated fair value of $8.0 million, in a gross unrealized loss position. Based on its review of these investments as of December 31, 2025 and 2024, the Company believed that the unrealized loss as of December 31, 2024 was not other-than-temporary in nature.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b/>
                <w:spacing w:val="0"/>
              </w:rPr>
            </w:pPr>
            <w:r>
              <w:rPr>
                <w:b/>
                <w:spacing w:val="0"/>
              </w:rPr>
              <w:t>5.</w:t>
            </w:r>
          </w:p>
        </w:tc>
        <w:tc>
          <w:tcPr>
            <w:tcW w:w="21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Property and Equipment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consisted of the following (in thousands): </w:t>
      </w:r>
    </w:p>
    <w:p>
      <w:pPr>
        <w:pStyle w:val="TextBody"/>
        <w:bidi w:val="0"/>
        <w:spacing w:before="0" w:after="0"/>
        <w:jc w:val="left"/>
        <w:rPr>
          <w:spacing w:val="0"/>
        </w:rPr>
      </w:pPr>
      <w:r>
        <w:rPr>
          <w:spacing w:val="0"/>
        </w:rPr>
        <w:t> </w:t>
      </w:r>
    </w:p>
    <w:tbl>
      <w:tblPr>
        <w:tblW w:w="6156" w:type="dxa"/>
        <w:jc w:val="left"/>
        <w:tblInd w:w="0" w:type="dxa"/>
        <w:tblLayout w:type="fixed"/>
        <w:tblCellMar>
          <w:top w:w="0" w:type="dxa"/>
          <w:left w:w="0" w:type="dxa"/>
          <w:bottom w:w="0" w:type="dxa"/>
          <w:right w:w="0" w:type="dxa"/>
        </w:tblCellMar>
      </w:tblPr>
      <w:tblGrid>
        <w:gridCol w:w="3965"/>
        <w:gridCol w:w="120"/>
        <w:gridCol w:w="177"/>
        <w:gridCol w:w="708"/>
        <w:gridCol w:w="75"/>
        <w:gridCol w:w="151"/>
        <w:gridCol w:w="177"/>
        <w:gridCol w:w="708"/>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6" w:type="dxa"/>
            <w:gridSpan w:val="6"/>
            <w:tcBorders/>
            <w:vAlign w:val="center"/>
          </w:tcPr>
          <w:p>
            <w:pPr>
              <w:pStyle w:val="TableContents"/>
              <w:bidi w:val="0"/>
              <w:spacing w:before="0" w:after="283"/>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 equipment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4,373</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4,338</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Computers and software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896</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895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981</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1,853</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1,816</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8,176</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8,030</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 and amortization</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4,960</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3,709</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3,216</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4,321</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Depreciation and amortization expense related to property and equipment was $1.3 million and $1.1 million for the years ended December 31, 2025 and 2024, respectively. </w:t>
      </w:r>
    </w:p>
    <w:p>
      <w:pPr>
        <w:pStyle w:val="TextBody"/>
        <w:bidi w:val="0"/>
        <w:spacing w:before="0" w:after="0"/>
        <w:jc w:val="left"/>
        <w:rPr>
          <w:spacing w:val="0"/>
        </w:rPr>
      </w:pPr>
      <w:r>
        <w:rPr>
          <w:spacing w:val="0"/>
        </w:rPr>
        <w:t> </w:t>
      </w:r>
    </w:p>
    <w:tbl>
      <w:tblPr>
        <w:tblW w:w="3820" w:type="dxa"/>
        <w:jc w:val="left"/>
        <w:tblInd w:w="0" w:type="dxa"/>
        <w:tblLayout w:type="fixed"/>
        <w:tblCellMar>
          <w:top w:w="0" w:type="dxa"/>
          <w:left w:w="0" w:type="dxa"/>
          <w:bottom w:w="0" w:type="dxa"/>
          <w:right w:w="0" w:type="dxa"/>
        </w:tblCellMar>
      </w:tblPr>
      <w:tblGrid>
        <w:gridCol w:w="215"/>
        <w:gridCol w:w="3605"/>
      </w:tblGrid>
      <w:tr>
        <w:trPr/>
        <w:tc>
          <w:tcPr>
            <w:tcW w:w="215" w:type="dxa"/>
            <w:tcBorders/>
            <w:vAlign w:val="center"/>
          </w:tcPr>
          <w:p>
            <w:pPr>
              <w:pStyle w:val="TableContents"/>
              <w:bidi w:val="0"/>
              <w:spacing w:before="0" w:after="283"/>
              <w:jc w:val="left"/>
              <w:rPr>
                <w:b/>
                <w:spacing w:val="0"/>
              </w:rPr>
            </w:pPr>
            <w:r>
              <w:rPr>
                <w:b/>
                <w:spacing w:val="0"/>
              </w:rPr>
              <w:t>6.</w:t>
            </w:r>
          </w:p>
        </w:tc>
        <w:tc>
          <w:tcPr>
            <w:tcW w:w="36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Accounts Payable and Accrued Liabilities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Accounts payable and accrued liabilities consisted of the following (in thousands): </w:t>
      </w:r>
    </w:p>
    <w:p>
      <w:pPr>
        <w:pStyle w:val="TextBody"/>
        <w:bidi w:val="0"/>
        <w:spacing w:before="0" w:after="0"/>
        <w:jc w:val="left"/>
        <w:rPr>
          <w:spacing w:val="0"/>
        </w:rPr>
      </w:pPr>
      <w:r>
        <w:rPr>
          <w:spacing w:val="0"/>
        </w:rPr>
        <w:t> </w:t>
      </w:r>
    </w:p>
    <w:tbl>
      <w:tblPr>
        <w:tblW w:w="5961" w:type="dxa"/>
        <w:jc w:val="left"/>
        <w:tblInd w:w="0" w:type="dxa"/>
        <w:tblLayout w:type="fixed"/>
        <w:tblCellMar>
          <w:top w:w="0" w:type="dxa"/>
          <w:left w:w="0" w:type="dxa"/>
          <w:bottom w:w="0" w:type="dxa"/>
          <w:right w:w="0" w:type="dxa"/>
        </w:tblCellMar>
      </w:tblPr>
      <w:tblGrid>
        <w:gridCol w:w="3770"/>
        <w:gridCol w:w="120"/>
        <w:gridCol w:w="177"/>
        <w:gridCol w:w="708"/>
        <w:gridCol w:w="75"/>
        <w:gridCol w:w="151"/>
        <w:gridCol w:w="177"/>
        <w:gridCol w:w="708"/>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6" w:type="dxa"/>
            <w:gridSpan w:val="6"/>
            <w:tcBorders/>
            <w:vAlign w:val="center"/>
          </w:tcPr>
          <w:p>
            <w:pPr>
              <w:pStyle w:val="TableContents"/>
              <w:bidi w:val="0"/>
              <w:spacing w:before="0" w:after="283"/>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1,491</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1,274</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4,719</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2,584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517</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1,496</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accounts payable and accrued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6,727</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5,354</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b/>
                <w:spacing w:val="0"/>
              </w:rPr>
            </w:pPr>
            <w:r>
              <w:rPr>
                <w:b/>
                <w:spacing w:val="0"/>
              </w:rPr>
              <w:t>7.</w:t>
            </w:r>
          </w:p>
        </w:tc>
        <w:tc>
          <w:tcPr>
            <w:tcW w:w="16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 Agreements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2024 Lease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party to a </w:t>
      </w:r>
      <w:r>
        <w:rPr>
          <w:rFonts w:ascii="Times New Roman" w:hAnsi="Times New Roman"/>
          <w:spacing w:val="0"/>
          <w:sz w:val="20"/>
        </w:rPr>
        <w:t>non-cancellable</w:t>
      </w:r>
      <w:r>
        <w:rPr>
          <w:rFonts w:ascii="Times New Roman" w:hAnsi="Times New Roman"/>
          <w:sz w:val="20"/>
        </w:rPr>
        <w:t xml:space="preserve"> facility lease for approximately 80,168 square feet of lab and office space in San Diego, California (the 2024 Lease). The 2024 Lease has an initial lease term of 120 months, which commenced in November 2024; the lease also provides the Company with the right to extend the lease term for an additional 60 months at expiry, which has not been included in the lease term used for measurement. The 2024 Lease includes obligations to make base rent payments and additional variable lease payments for the Company’s allocated share of variable costs associated with the operation and management of the property, which include utilities, property taxes, common area maintenance, and amenities costs. The lease provided for a rent abatement period through July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maintain a security deposit under the 2024 Lease in the form of a standby </w:t>
      </w:r>
      <w:r>
        <w:rPr>
          <w:rFonts w:ascii="Times New Roman" w:hAnsi="Times New Roman"/>
          <w:spacing w:val="0"/>
          <w:sz w:val="20"/>
        </w:rPr>
        <w:t>letter-of-credit.</w:t>
      </w:r>
      <w:r>
        <w:rPr>
          <w:rFonts w:ascii="Times New Roman" w:hAnsi="Times New Roman"/>
          <w:sz w:val="20"/>
        </w:rPr>
        <w:t xml:space="preserve"> This letter of credit is collateralized by a restricted cash deposit at the Company’s bank of approximately $0.6 million, which is included in long-term other assets in the balance sheet. The 2024 Lease does not contain any material residual value guarantees or material restrictive financial covenants. See the table below for information about the Company’s future undiscounted operating lease payment obligations under the 2024 Lease as of December 31, 2025, exclusive of future variable lease costs. </w:t>
      </w:r>
    </w:p>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recorded an operating lease liability for this obligation based on the present value of the lease payments using an estimated incremental borrowing rate of approximately 8.3%, as the 2024 Lease does not have a stated rate and the implicit rate was not readily determinable, and a </w:t>
      </w:r>
    </w:p>
    <w:p>
      <w:pPr>
        <w:pStyle w:val="TextBody"/>
        <w:bidi w:val="0"/>
        <w:spacing w:before="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0" w:after="0"/>
        <w:jc w:val="left"/>
        <w:rPr>
          <w:rFonts w:ascii="Times New Roman" w:hAnsi="Times New Roman"/>
          <w:sz w:val="20"/>
        </w:rPr>
      </w:pPr>
      <w:r>
        <w:rPr>
          <w:rFonts w:ascii="Times New Roman" w:hAnsi="Times New Roman"/>
          <w:sz w:val="20"/>
        </w:rPr>
        <w:t xml:space="preserve">(ROU) asset based on the corresponding operating lease liability. Management exercised judgment in estimating the incremental borrowing rate and in determining the lease term. The renewal option was evaluated at lease commencement and excluded from the lease term, as the Company is not reasonably certain to exercise the option. The net ROU asset and associated lease liability are reflected in the Company’s balance sheet as of December 31, 2025 and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2024 Lease, which expires in October 2034, was the Company’s only lease. The Company previously was a party 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120" w:after="0"/>
        <w:jc w:val="left"/>
        <w:rPr>
          <w:rFonts w:ascii="Times New Roman" w:hAnsi="Times New Roman"/>
          <w:sz w:val="20"/>
        </w:rPr>
      </w:pPr>
      <w:r>
        <w:rPr>
          <w:rFonts w:ascii="Times New Roman" w:hAnsi="Times New Roman"/>
          <w:sz w:val="20"/>
        </w:rPr>
        <w:t xml:space="preserve">operating lease for the rental of other lab and office space in San Diego, California, which served as its prior corporate headquarters and for which the lease term ended in November 2024. Lease expense related to the 2024 Lease and the lease agreement for the Company’s prior corporate headquarters totaled approximately $9.6 million and $4.0 million for the years ended December 31, 2025 and 2024, respectively, and included operating lease costs of $7.3 million and $3.6 million, and variable lease costs of $2.3 million and $0.4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paid $2.6 million in cash for amounts included in operating lease liabilities, which was included in the operating activities section of the statements of cash flows, for each of the years ended December 31, 2025 and 2024. The remaining lease term and discount rate for the 2024 Lease were 8.8 years and 8.3%, respectively, as of December 31, 2025, and 9.8 years and 8.3%, respectively, as of December 31, 2024 (the calculations of remaining lease term excludes the renewal option). Future undiscounted operating lease payments under the 2024 Lease as of December 31, 2025, exclusive of future variable lease payments, are as follows (in thousands): </w:t>
      </w:r>
    </w:p>
    <w:p>
      <w:pPr>
        <w:pStyle w:val="TextBody"/>
        <w:bidi w:val="0"/>
        <w:spacing w:before="0" w:after="0"/>
        <w:jc w:val="left"/>
        <w:rPr>
          <w:spacing w:val="0"/>
        </w:rPr>
      </w:pPr>
      <w:r>
        <w:rPr>
          <w:spacing w:val="0"/>
        </w:rPr>
        <w:t> </w:t>
      </w:r>
    </w:p>
    <w:tbl>
      <w:tblPr>
        <w:tblW w:w="5075" w:type="dxa"/>
        <w:jc w:val="left"/>
        <w:tblInd w:w="0" w:type="dxa"/>
        <w:tblLayout w:type="fixed"/>
        <w:tblCellMar>
          <w:top w:w="0" w:type="dxa"/>
          <w:left w:w="0" w:type="dxa"/>
          <w:bottom w:w="0" w:type="dxa"/>
          <w:right w:w="0" w:type="dxa"/>
        </w:tblCellMar>
      </w:tblPr>
      <w:tblGrid>
        <w:gridCol w:w="3725"/>
        <w:gridCol w:w="120"/>
        <w:gridCol w:w="140"/>
        <w:gridCol w:w="920"/>
        <w:gridCol w:w="170"/>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0"/>
              <w:jc w:val="left"/>
              <w:rPr>
                <w:b/>
                <w:spacing w:val="0"/>
              </w:rPr>
            </w:pPr>
            <w:r>
              <w:rPr>
                <w:b/>
                <w:spacing w:val="0"/>
              </w:rPr>
              <w:t>Year ending December 31,</w:t>
            </w:r>
          </w:p>
        </w:tc>
        <w:tc>
          <w:tcPr>
            <w:tcW w:w="12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7,052</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7,255</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7,465</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7,680</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7,902</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Thereafter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32,465</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operating lease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69,819</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Amount representing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(20,784</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r>
              <w:rPr/>
              <w:t>49,035</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283"/>
              <w:jc w:val="left"/>
              <w:rPr>
                <w:b/>
                <w:spacing w:val="0"/>
              </w:rPr>
            </w:pPr>
            <w:r>
              <w:rPr>
                <w:b/>
                <w:spacing w:val="0"/>
              </w:rPr>
              <w:t>8.</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other than payment for any products or services provided by the counterparty through the notice date or effective time of termination and any </w:t>
      </w:r>
      <w:r>
        <w:rPr>
          <w:rFonts w:ascii="Times New Roman" w:hAnsi="Times New Roman"/>
          <w:spacing w:val="0"/>
          <w:sz w:val="20"/>
        </w:rPr>
        <w:t>non-cancellable</w:t>
      </w:r>
      <w:r>
        <w:rPr>
          <w:rFonts w:ascii="Times New Roman" w:hAnsi="Times New Roman"/>
          <w:sz w:val="20"/>
        </w:rPr>
        <w:t xml:space="preserve"> and </w:t>
      </w:r>
      <w:r>
        <w:rPr>
          <w:rFonts w:ascii="Times New Roman" w:hAnsi="Times New Roman"/>
          <w:spacing w:val="0"/>
          <w:sz w:val="20"/>
        </w:rPr>
        <w:t>non-refundable</w:t>
      </w:r>
      <w:r>
        <w:rPr>
          <w:rFonts w:ascii="Times New Roman" w:hAnsi="Times New Roman"/>
          <w:sz w:val="20"/>
        </w:rPr>
        <w:t xml:space="preserve"> obligations incurred by the counterparty prior to the notice date or effective time of the termination, and do not contain any minimum purchase commitments. </w:t>
      </w:r>
    </w:p>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because of their status or service as officers or directors. The maximum potential future payments the Company could be required to make under these indemnification arrangements is, in many cases, unlimited. To date, the Company has not incurred any material costs because of these indemnifications. The Company has not accrued any liabilities related to such indemnification arrangements in its financial statements as of December 31, 2025 or 2024 because it determined the likelihood of incurring a payment obligation pursuant to such arrangements was not probable.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2025 and 2024. </w:t>
      </w:r>
    </w:p>
    <w:p>
      <w:pPr>
        <w:pStyle w:val="TextBody"/>
        <w:bidi w:val="0"/>
        <w:spacing w:before="0" w:after="0"/>
        <w:jc w:val="left"/>
        <w:rPr>
          <w:spacing w:val="0"/>
        </w:rPr>
      </w:pPr>
      <w:r>
        <w:rPr>
          <w:spacing w:val="0"/>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283"/>
              <w:jc w:val="left"/>
              <w:rPr>
                <w:b/>
                <w:spacing w:val="0"/>
              </w:rPr>
            </w:pPr>
            <w:r>
              <w:rPr>
                <w:b/>
                <w:spacing w:val="0"/>
              </w:rPr>
              <w:t>9.</w:t>
            </w:r>
          </w:p>
        </w:tc>
        <w:tc>
          <w:tcPr>
            <w:tcW w:w="13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Common Stock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t>
      </w:r>
      <w:r>
        <w:rPr>
          <w:rFonts w:ascii="Times New Roman" w:hAnsi="Times New Roman"/>
          <w:spacing w:val="0"/>
          <w:sz w:val="20"/>
        </w:rPr>
        <w:t>winding-up,</w:t>
      </w:r>
      <w:r>
        <w:rPr>
          <w:rFonts w:ascii="Times New Roman" w:hAnsi="Times New Roman"/>
          <w:sz w:val="20"/>
        </w:rPr>
        <w:t xml:space="preserve"> the holders of common stock are entitled to share ratably in the net assets remaining after payment of liabilities and the liquidation value of any class of the Company’s capital stock having any preference or priority over the common stock then outstanding, if any. The common stock has no preemptive rights, conversion rights, redemption rights, preference rights, or exchange rights, or sinking fund provisions, and there are no dividends in arrears or default. All shares of common stock have equal distribution, liquidation and voting rights.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Reserved for Future Issuance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Common stock reserved for future issuance consisted of the following (in thousands): </w:t>
      </w:r>
    </w:p>
    <w:p>
      <w:pPr>
        <w:pStyle w:val="TextBody"/>
        <w:bidi w:val="0"/>
        <w:spacing w:before="0" w:after="0"/>
        <w:jc w:val="left"/>
        <w:rPr>
          <w:spacing w:val="0"/>
        </w:rPr>
      </w:pPr>
      <w:r>
        <w:rPr>
          <w:spacing w:val="0"/>
        </w:rPr>
        <w:t> </w:t>
      </w:r>
    </w:p>
    <w:tbl>
      <w:tblPr>
        <w:tblW w:w="7717" w:type="dxa"/>
        <w:jc w:val="left"/>
        <w:tblInd w:w="0" w:type="dxa"/>
        <w:tblLayout w:type="fixed"/>
        <w:tblCellMar>
          <w:top w:w="0" w:type="dxa"/>
          <w:left w:w="0" w:type="dxa"/>
          <w:bottom w:w="0" w:type="dxa"/>
          <w:right w:w="0" w:type="dxa"/>
        </w:tblCellMar>
      </w:tblPr>
      <w:tblGrid>
        <w:gridCol w:w="5525"/>
        <w:gridCol w:w="120"/>
        <w:gridCol w:w="83"/>
        <w:gridCol w:w="788"/>
        <w:gridCol w:w="83"/>
        <w:gridCol w:w="168"/>
        <w:gridCol w:w="83"/>
        <w:gridCol w:w="792"/>
        <w:gridCol w:w="75"/>
      </w:tblGrid>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7" w:type="dxa"/>
            <w:gridSpan w:val="6"/>
            <w:tcBorders/>
            <w:vAlign w:val="center"/>
          </w:tcPr>
          <w:p>
            <w:pPr>
              <w:pStyle w:val="TableContents"/>
              <w:bidi w:val="0"/>
              <w:spacing w:before="0" w:after="283"/>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center"/>
              <w:rPr>
                <w:b/>
                <w:spacing w:val="0"/>
              </w:rPr>
            </w:pPr>
            <w:r>
              <w:rPr>
                <w:b/>
                <w:spacing w:val="0"/>
              </w:rPr>
              <w:t>2025</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exercise of stock options issued and outstanding</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4,234</w:t>
            </w:r>
          </w:p>
        </w:tc>
        <w:tc>
          <w:tcPr>
            <w:tcW w:w="83"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3,818</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future issuance under the equity incentive plan</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3,348</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2,648</w:t>
            </w:r>
          </w:p>
        </w:tc>
        <w:tc>
          <w:tcPr>
            <w:tcW w:w="7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future issuance under the ESPP</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303</w:t>
            </w:r>
          </w:p>
        </w:tc>
        <w:tc>
          <w:tcPr>
            <w:tcW w:w="83"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187</w:t>
            </w:r>
          </w:p>
        </w:tc>
        <w:tc>
          <w:tcPr>
            <w:tcW w:w="7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7,885</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6,653</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283"/>
              <w:jc w:val="left"/>
              <w:rPr>
                <w:b/>
                <w:spacing w:val="0"/>
              </w:rPr>
            </w:pPr>
            <w:r>
              <w:rPr>
                <w:b/>
                <w:spacing w:val="0"/>
              </w:rPr>
              <w:t>10.</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March 2024, the Company’s board of directors adopted, and the Company’s stockholders approved, the 2024 Incentive Award Plan (the Plan), which became effective in connection with the IPO and has a term of ten years. The Plan provides for the grant of incentive stock options, nonqualified stock options, restricted stock, dividend equivalents, restricted stock units, stock appreciation rights, and other stock or cash-based awards to the Company’s employees, consultants, and directors. Options granted under the Plan are exercisable at various dates as determined upon grant and will expire no more than 10 years from their date of grant. Stock options generally vest over terms of either 36 or 48 months. The exercise price of awards granted under the Plan shall not be less than 100% of the fair market value of the Company’s common stock on the date of grant. In addition, the Plan includes an “evergreen” provision whereby the number of shares of common stock available for issuance under the Plan will be increased annually on the first day of each calendar year during the term of the Plan, beginning in 2025, by an amount equal to the lesser of (i) 5% of the shares of common stock outstanding on the final day of the immediately preceding calendar year or (ii) such number of shares as determined by the Company’s board of directors or an authorized committee of the board of directors. As of December 31, 2025, a total of 3,947,716 shares of common stock were authorized for issuance under the Plan. On December 31, 2025, 3,347,667 of these shares were available for grant under the Plan. On January 1, 2026, pursuant to the evergreen provision of the Plan, the aggregate number of shares that may be issued under the Plan was automatically increased by 1,120,362 shares to 5,068,078.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Repricing of Outstanding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the Repricing Effective Date, the exercise price of each of the Repriced Options was reduced to $3.56 per share, which was the closing price of the Company’s common stock on the Repricing Effective Date; provided, however, that if prior to the Premium End Date (as defined below), a Repriced Option is exercised or an employee’s employment or service with the Company terminates for any reason other than due to a Qualifying Termination (as defined below), the exercise price per share that applied to the Repriced Option immediately prior to the Repricing Effective Date will apply in lieu of the reduced exercise price. The “Premium End Date” means the earliest of: (1) August 19, 2026, (2) the date immediately prior to the closing of a Change in Control (as defined in the Plan), or (3) the date of the employee’s Qualifying Termination. A “Qualifying Termination” means (a) the involuntary termination of the employee’s employment by the Company due to a reduction in force (and other than for Cause (as defined in the Plan)), subject to the employee’s execution of an effective general release of claims in favor of the Company, (b) the employee’s death, or (c) termination of the employee’s employment by the Company following the employee’s Disability (as defined in the Plan). Except for the reduction in the exercise prices of the Repriced Options as described above, the Repriced Options retain their existing terms, including their respective original vesting schedules. </w:t>
      </w:r>
    </w:p>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repricing resulted in a total incremental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0" w:after="0"/>
        <w:jc w:val="left"/>
        <w:rPr>
          <w:rFonts w:ascii="Times New Roman" w:hAnsi="Times New Roman"/>
          <w:sz w:val="20"/>
        </w:rPr>
      </w:pPr>
      <w:r>
        <w:rPr>
          <w:rFonts w:ascii="Times New Roman" w:hAnsi="Times New Roman"/>
          <w:sz w:val="20"/>
        </w:rPr>
        <w:t xml:space="preserve">stock-based compensation expense of $0.9 million, which was calculated using the Black-Scholes option-pricing model, of which $0.2 million is associated with vested Repriced Options and will be recognized on a straight-line basis through the Premium End Date. The remaining $0.7 million of the incremental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0" w:after="0"/>
        <w:jc w:val="left"/>
        <w:rPr>
          <w:rFonts w:ascii="Times New Roman" w:hAnsi="Times New Roman"/>
          <w:sz w:val="20"/>
        </w:rPr>
      </w:pPr>
      <w:r>
        <w:rPr>
          <w:rFonts w:ascii="Times New Roman" w:hAnsi="Times New Roman"/>
          <w:sz w:val="20"/>
        </w:rPr>
        <w:t xml:space="preserve">stock-based compensation expense is associated with unvested Repriced Options and will be recognized as follows: (i) if the Premium End Date occurs later than the end of the remaining vesting period of the Repriced Option, the incremental cost will be amortized on a straight-line basis through the Premium End Date, or (ii) if the Premium End Date occurs earlier than the end of the remaining vesting period of the Repriced Option, the incremental cost will be amortized on a straight-line basis over the remaining vesting period. The Company recognized incremental stock-based compensation expense totaling $0.2 million and $0.1 million associated with the 2024 Repricing for the years ended December 31, 2025 and 2024,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 option activity under the Plan and the Predecessor Plan and certain other related information is as follows (in thousands except weighted-average exercise price and remaining term): </w:t>
      </w:r>
    </w:p>
    <w:p>
      <w:pPr>
        <w:pStyle w:val="TextBody"/>
        <w:bidi w:val="0"/>
        <w:spacing w:before="0" w:after="0"/>
        <w:jc w:val="left"/>
        <w:rPr>
          <w:spacing w:val="0"/>
        </w:rPr>
      </w:pPr>
      <w:r>
        <w:rPr>
          <w:spacing w:val="0"/>
        </w:rPr>
        <w:t> </w:t>
      </w:r>
    </w:p>
    <w:tbl>
      <w:tblPr>
        <w:tblW w:w="9165" w:type="dxa"/>
        <w:jc w:val="left"/>
        <w:tblInd w:w="0" w:type="dxa"/>
        <w:tblLayout w:type="fixed"/>
        <w:tblCellMar>
          <w:top w:w="0" w:type="dxa"/>
          <w:left w:w="0" w:type="dxa"/>
          <w:bottom w:w="0" w:type="dxa"/>
          <w:right w:w="0" w:type="dxa"/>
        </w:tblCellMar>
      </w:tblPr>
      <w:tblGrid>
        <w:gridCol w:w="4115"/>
        <w:gridCol w:w="120"/>
        <w:gridCol w:w="75"/>
        <w:gridCol w:w="800"/>
        <w:gridCol w:w="155"/>
        <w:gridCol w:w="120"/>
        <w:gridCol w:w="258"/>
        <w:gridCol w:w="812"/>
        <w:gridCol w:w="60"/>
        <w:gridCol w:w="120"/>
        <w:gridCol w:w="178"/>
        <w:gridCol w:w="952"/>
        <w:gridCol w:w="60"/>
        <w:gridCol w:w="120"/>
        <w:gridCol w:w="400"/>
        <w:gridCol w:w="745"/>
        <w:gridCol w:w="75"/>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pacing w:val="0"/>
              </w:rPr>
            </w:pPr>
            <w:r>
              <w:rPr>
                <w:b/>
                <w:spacing w:val="0"/>
              </w:rPr>
              <w:t>Number</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Weighted-</w:t>
              <w:br/>
              <w:t>Average</w:t>
              <w:br/>
              <w:t>Remaining</w:t>
              <w:br/>
              <w:t>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and expired</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5.22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at December 31, 2025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December 31, 2025</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Aggregate intrinsic value in the above table is the difference between the estimated fair value of the Company’s common stock as of either December 31, 2025 or 2024, and the exercise price of stock options that had exercise prices below that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Repriced Options, the calculation of the weighted-average prices and intrinsic value information in the table above is based on the exercise price per share that applied immediately prior to the Repricing Effective Date pending satisfaction of the requisite service requirement.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options exercised during the year ended December 31, 2025; the options exercised during the year ended December 31, 2024 had an insignificant intrinsic value at exercise.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Company’s board of directors adopted, and the Company’s stockholders approved, the Company’s 2024 Employee Stock Purchase Plan, which became effective in connection with the IPO. The ESPP permits participants to contribute up to a specified percentage of their eligible compensation during a series of offering periods of 24 months, each comprised of four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120" w:after="0"/>
        <w:jc w:val="left"/>
        <w:rPr>
          <w:rFonts w:ascii="Times New Roman" w:hAnsi="Times New Roman"/>
          <w:sz w:val="20"/>
        </w:rPr>
      </w:pPr>
      <w:r>
        <w:rPr>
          <w:rFonts w:ascii="Times New Roman" w:hAnsi="Times New Roman"/>
          <w:sz w:val="20"/>
        </w:rPr>
        <w:t xml:space="preserve">purchase periods, to purchase shares of the Company’s common stock. The purchase price of the shares will be 85% of the fair market value of the </w:t>
      </w:r>
    </w:p>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Company’s common stock on the first day of trading of the applicable offering period or on the applicable purchase date, whichever is lower. In addition, the ESPP includes an “evergreen” provision whereby the number of shares of common stock available for issuance under the ESPP will be increased annually on the first day of each calendar year during the term of the ESPP by an amount equal to the lesser of (i) 1% of the shares of common stock outstanding on the final day of the immediately preceding calendar year or (ii) such number of shares as determined by the Company’s board of directors or an authorized committee of the board of directors. On January 1, 2026, pursuant to the evergreen provision of the ESPP, the aggregate number of shares authorized for issuance under the ESPP automatically increased by 224,072 shares to 678,991.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recognized stock-based compensation expense related to the ESPP of $0.4 million and $0.5 million for the years ended December 31, 2025 and 2024,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issued and sold 107,208 and 44,532 shares under the ESPP during the years ended December 31, 2025 and 2024,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Stock-based compensation expense, including the expense related to the ESPP, as recorded in the accompanying statements of operations and comprehensive loss was as follows (in thousands): </w:t>
      </w:r>
    </w:p>
    <w:p>
      <w:pPr>
        <w:pStyle w:val="TextBody"/>
        <w:bidi w:val="0"/>
        <w:spacing w:before="0" w:after="0"/>
        <w:jc w:val="left"/>
        <w:rPr>
          <w:spacing w:val="0"/>
        </w:rPr>
      </w:pPr>
      <w:r>
        <w:rPr>
          <w:spacing w:val="0"/>
        </w:rPr>
        <w:t> </w:t>
      </w:r>
    </w:p>
    <w:tbl>
      <w:tblPr>
        <w:tblW w:w="5571" w:type="dxa"/>
        <w:jc w:val="left"/>
        <w:tblInd w:w="0" w:type="dxa"/>
        <w:tblLayout w:type="fixed"/>
        <w:tblCellMar>
          <w:top w:w="0" w:type="dxa"/>
          <w:left w:w="0" w:type="dxa"/>
          <w:bottom w:w="0" w:type="dxa"/>
          <w:right w:w="0" w:type="dxa"/>
        </w:tblCellMar>
      </w:tblPr>
      <w:tblGrid>
        <w:gridCol w:w="2660"/>
        <w:gridCol w:w="120"/>
        <w:gridCol w:w="208"/>
        <w:gridCol w:w="836"/>
        <w:gridCol w:w="88"/>
        <w:gridCol w:w="178"/>
        <w:gridCol w:w="208"/>
        <w:gridCol w:w="1198"/>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283"/>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center"/>
              <w:rPr>
                <w:b/>
                <w:spacing w:val="0"/>
              </w:rPr>
            </w:pPr>
            <w:r>
              <w:rPr>
                <w:b/>
                <w:spacing w:val="0"/>
              </w:rPr>
              <w:t>2025</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spacing w:val="0"/>
              </w:rPr>
            </w:pPr>
            <w:r>
              <w:rPr>
                <w:b/>
                <w:spacing w:val="0"/>
              </w:rPr>
              <w:t>2024 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2,136</w:t>
            </w:r>
          </w:p>
        </w:tc>
        <w:tc>
          <w:tcPr>
            <w:tcW w:w="8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3,050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3,989</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r>
              <w:rPr/>
              <w:t>4,466</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6,125</w:t>
            </w:r>
          </w:p>
        </w:tc>
        <w:tc>
          <w:tcPr>
            <w:tcW w:w="8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7,516</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unrecognized compensation cost related to outstanding stock options (all of which have time-based vesting) was $9.2 million, which is expected to be recognized over a weighted-average period of 2.2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unrecognized compensation cost related to the ESPP was $0.6 million, which is expected to be recognized as expense over approximately 1.3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Excluding any effect of the Repriced Options, except for Repriced Options held by employees who experienced a Qualifying Termination, the weighted-average assumptions used in the Black-Scholes option pricing model to determine the fair value of the stock options granted during the periods indicated in the table were as follows: </w:t>
      </w:r>
    </w:p>
    <w:p>
      <w:pPr>
        <w:pStyle w:val="TextBody"/>
        <w:bidi w:val="0"/>
        <w:spacing w:before="0" w:after="0"/>
        <w:jc w:val="left"/>
        <w:rPr>
          <w:spacing w:val="0"/>
        </w:rPr>
      </w:pPr>
      <w:r>
        <w:rPr>
          <w:spacing w:val="0"/>
        </w:rPr>
        <w:t> </w:t>
      </w:r>
    </w:p>
    <w:tbl>
      <w:tblPr>
        <w:tblW w:w="5623" w:type="dxa"/>
        <w:jc w:val="left"/>
        <w:tblInd w:w="0" w:type="dxa"/>
        <w:tblLayout w:type="fixed"/>
        <w:tblCellMar>
          <w:top w:w="0" w:type="dxa"/>
          <w:left w:w="0" w:type="dxa"/>
          <w:bottom w:w="0" w:type="dxa"/>
          <w:right w:w="0" w:type="dxa"/>
        </w:tblCellMar>
      </w:tblPr>
      <w:tblGrid>
        <w:gridCol w:w="2495"/>
        <w:gridCol w:w="120"/>
        <w:gridCol w:w="111"/>
        <w:gridCol w:w="1046"/>
        <w:gridCol w:w="513"/>
        <w:gridCol w:w="111"/>
        <w:gridCol w:w="111"/>
        <w:gridCol w:w="826"/>
        <w:gridCol w:w="29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283"/>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b/>
                <w:spacing w:val="0"/>
              </w:rPr>
            </w:pPr>
            <w:r>
              <w:rPr>
                <w:b/>
                <w:spacing w:val="0"/>
              </w:rPr>
              <w:t>2025</w:t>
            </w:r>
          </w:p>
        </w:tc>
        <w:tc>
          <w:tcPr>
            <w:tcW w:w="513"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center"/>
              <w:rPr>
                <w:b/>
                <w:spacing w:val="0"/>
              </w:rPr>
            </w:pPr>
            <w:r>
              <w:rPr>
                <w:b/>
                <w:spacing w:val="0"/>
              </w:rPr>
              <w:t>2024  </w:t>
            </w:r>
          </w:p>
        </w:tc>
        <w:tc>
          <w:tcPr>
            <w:tcW w:w="29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life (in years)</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5.9</w:t>
            </w:r>
          </w:p>
        </w:tc>
        <w:tc>
          <w:tcPr>
            <w:tcW w:w="513"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Assumed volatility</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105.2</w:t>
            </w:r>
          </w:p>
        </w:tc>
        <w:tc>
          <w:tcPr>
            <w:tcW w:w="513"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90.8</w:t>
            </w:r>
          </w:p>
        </w:tc>
        <w:tc>
          <w:tcPr>
            <w:tcW w:w="29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Assumed risk-free interest rate</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4.4</w:t>
            </w:r>
          </w:p>
        </w:tc>
        <w:tc>
          <w:tcPr>
            <w:tcW w:w="513"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3.9</w:t>
            </w:r>
          </w:p>
        </w:tc>
        <w:tc>
          <w:tcPr>
            <w:tcW w:w="29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w:t>
            </w:r>
          </w:p>
        </w:tc>
        <w:tc>
          <w:tcPr>
            <w:tcW w:w="513"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Excluding any effect due to the Repriced Options, except for Repriced Options held by employees who experienced a Qualifying Termination, the weighted-average grant date per share fair value of options granted during the years ended December 31, 2025 and 2024 were $1.88 and $7.19,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tbl>
      <w:tblPr>
        <w:tblW w:w="1600" w:type="dxa"/>
        <w:jc w:val="left"/>
        <w:tblInd w:w="0" w:type="dxa"/>
        <w:tblLayout w:type="fixed"/>
        <w:tblCellMar>
          <w:top w:w="0" w:type="dxa"/>
          <w:left w:w="0" w:type="dxa"/>
          <w:bottom w:w="0" w:type="dxa"/>
          <w:right w:w="0" w:type="dxa"/>
        </w:tblCellMar>
      </w:tblPr>
      <w:tblGrid>
        <w:gridCol w:w="335"/>
        <w:gridCol w:w="1265"/>
      </w:tblGrid>
      <w:tr>
        <w:trPr/>
        <w:tc>
          <w:tcPr>
            <w:tcW w:w="335" w:type="dxa"/>
            <w:tcBorders/>
            <w:vAlign w:val="center"/>
          </w:tcPr>
          <w:p>
            <w:pPr>
              <w:pStyle w:val="TableContents"/>
              <w:bidi w:val="0"/>
              <w:spacing w:before="0" w:after="283"/>
              <w:jc w:val="left"/>
              <w:rPr>
                <w:b/>
                <w:spacing w:val="0"/>
              </w:rPr>
            </w:pPr>
            <w:r>
              <w:rPr>
                <w:b/>
                <w:spacing w:val="0"/>
              </w:rPr>
              <w:t>11.</w:t>
            </w:r>
          </w:p>
        </w:tc>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2025 and 2024, the Company’s </w:t>
      </w:r>
      <w:r>
        <w:rPr>
          <w:rFonts w:ascii="Times New Roman" w:hAnsi="Times New Roman"/>
          <w:spacing w:val="0"/>
          <w:sz w:val="20"/>
        </w:rPr>
        <w:t>pre-tax</w:t>
      </w:r>
      <w:r>
        <w:rPr>
          <w:rFonts w:ascii="Times New Roman" w:hAnsi="Times New Roman"/>
          <w:sz w:val="20"/>
        </w:rPr>
        <w:t xml:space="preserve"> loss was entirely domestic. The Company adopted ASU </w:t>
      </w:r>
      <w:r>
        <w:rPr>
          <w:rFonts w:ascii="Times New Roman" w:hAnsi="Times New Roman"/>
          <w:spacing w:val="0"/>
          <w:sz w:val="20"/>
        </w:rPr>
        <w:t>2023-09,</w:t>
      </w:r>
      <w:r>
        <w:rPr>
          <w:rFonts w:ascii="Times New Roman" w:hAnsi="Times New Roman"/>
          <w:sz w:val="20"/>
        </w:rPr>
        <w:t xml:space="preserve"> </w:t>
      </w:r>
      <w:r>
        <w:rPr>
          <w:rFonts w:ascii="Times New Roman" w:hAnsi="Times New Roman"/>
          <w:i/>
          <w:caps w:val="false"/>
          <w:smallCaps w:val="false"/>
          <w:spacing w:val="0"/>
          <w:sz w:val="20"/>
        </w:rPr>
        <w:t>Income Taxes (Topic 740): Improvements to Income Tax Disclosures</w:t>
      </w:r>
      <w:r>
        <w:rPr>
          <w:rFonts w:ascii="Times New Roman" w:hAnsi="Times New Roman"/>
          <w:sz w:val="20"/>
        </w:rPr>
        <w:t xml:space="preserve">, effective January 1, 2025. See Note 1 for additional information regarding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of income taxes computed at the federal statutory rate to the Company’s effective income tax rate for the year ended December 31, 2025, prepared in accordance with ASC 740 as amended by ASU </w:t>
      </w:r>
      <w:r>
        <w:rPr>
          <w:rFonts w:ascii="Times New Roman" w:hAnsi="Times New Roman"/>
          <w:spacing w:val="0"/>
          <w:sz w:val="20"/>
        </w:rPr>
        <w:t>2023-09,</w:t>
      </w:r>
      <w:r>
        <w:rPr>
          <w:rFonts w:ascii="Times New Roman" w:hAnsi="Times New Roman"/>
          <w:sz w:val="20"/>
        </w:rPr>
        <w:t xml:space="preserve"> is as follows (in thousands, except percentages): </w:t>
      </w:r>
    </w:p>
    <w:p>
      <w:pPr>
        <w:pStyle w:val="TextBody"/>
        <w:bidi w:val="0"/>
        <w:spacing w:before="0" w:after="0"/>
        <w:jc w:val="left"/>
        <w:rPr>
          <w:spacing w:val="0"/>
        </w:rPr>
      </w:pPr>
      <w:r>
        <w:rPr>
          <w:spacing w:val="0"/>
        </w:rPr>
        <w:t> </w:t>
      </w:r>
    </w:p>
    <w:tbl>
      <w:tblPr>
        <w:tblW w:w="8348" w:type="dxa"/>
        <w:jc w:val="left"/>
        <w:tblInd w:w="0" w:type="dxa"/>
        <w:tblLayout w:type="fixed"/>
        <w:tblCellMar>
          <w:top w:w="0" w:type="dxa"/>
          <w:left w:w="0" w:type="dxa"/>
          <w:bottom w:w="0" w:type="dxa"/>
          <w:right w:w="0" w:type="dxa"/>
        </w:tblCellMar>
      </w:tblPr>
      <w:tblGrid>
        <w:gridCol w:w="4295"/>
        <w:gridCol w:w="120"/>
        <w:gridCol w:w="261"/>
        <w:gridCol w:w="1410"/>
        <w:gridCol w:w="289"/>
        <w:gridCol w:w="224"/>
        <w:gridCol w:w="151"/>
        <w:gridCol w:w="1308"/>
        <w:gridCol w:w="290"/>
      </w:tblGrid>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43" w:type="dxa"/>
            <w:gridSpan w:val="6"/>
            <w:tcBorders/>
            <w:vAlign w:val="center"/>
          </w:tcPr>
          <w:p>
            <w:pPr>
              <w:pStyle w:val="TableContents"/>
              <w:bidi w:val="0"/>
              <w:spacing w:before="0" w:after="283"/>
              <w:jc w:val="center"/>
              <w:rPr>
                <w:b/>
                <w:spacing w:val="0"/>
              </w:rPr>
            </w:pPr>
            <w:r>
              <w:rPr>
                <w:b/>
                <w:spacing w:val="0"/>
              </w:rPr>
              <w:t>Year Ended December 31, 2025</w:t>
            </w:r>
          </w:p>
        </w:tc>
        <w:tc>
          <w:tcPr>
            <w:tcW w:w="29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1" w:type="dxa"/>
            <w:gridSpan w:val="2"/>
            <w:tcBorders/>
            <w:vAlign w:val="center"/>
          </w:tcPr>
          <w:p>
            <w:pPr>
              <w:pStyle w:val="TableContents"/>
              <w:bidi w:val="0"/>
              <w:spacing w:before="0" w:after="283"/>
              <w:jc w:val="center"/>
              <w:rPr>
                <w:b/>
                <w:spacing w:val="0"/>
              </w:rPr>
            </w:pPr>
            <w:r>
              <w:rPr>
                <w:b/>
                <w:spacing w:val="0"/>
              </w:rPr>
              <w:t>Amount</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spacing w:val="0"/>
              </w:rPr>
            </w:pPr>
            <w:r>
              <w:rPr>
                <w:spacing w:val="0"/>
              </w:rPr>
              <w:t>  </w:t>
            </w:r>
            <w:r>
              <w:rPr>
                <w:b/>
                <w:spacing w:val="0"/>
              </w:rPr>
              <w:t>%   </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computed at the federal statutory tax rate</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(12,221</w:t>
            </w:r>
          </w:p>
        </w:tc>
        <w:tc>
          <w:tcPr>
            <w:tcW w:w="28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(1,220</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2.1</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11,966</w:t>
            </w:r>
          </w:p>
        </w:tc>
        <w:tc>
          <w:tcPr>
            <w:tcW w:w="28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(20.6</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Nontaxable or nondeductible items</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r>
              <w:rPr>
                <w:rFonts w:ascii="Times New Roman" w:hAnsi="Times New Roman"/>
                <w:spacing w:val="0"/>
                <w:sz w:val="20"/>
              </w:rPr>
              <w:t>non-deductible</w:t>
            </w:r>
            <w:r>
              <w:rPr>
                <w:rFonts w:ascii="Times New Roman" w:hAnsi="Times New Roman"/>
                <w:sz w:val="20"/>
              </w:rPr>
              <w:t xml:space="preserve"> permanent items</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(93</w:t>
            </w:r>
          </w:p>
        </w:tc>
        <w:tc>
          <w:tcPr>
            <w:tcW w:w="28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0.2</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Limitation on officer compensation</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425</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(0.7</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compensation</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1,142</w:t>
            </w:r>
          </w:p>
        </w:tc>
        <w:tc>
          <w:tcPr>
            <w:tcW w:w="28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1</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— </w:t>
            </w:r>
          </w:p>
        </w:tc>
        <w:tc>
          <w:tcPr>
            <w:tcW w:w="28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8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income taxes computed at the federal statutory rate to the Company’s effective income tax rate for the year ended December 31, 2024 (prior to adoption of ASU </w:t>
      </w:r>
      <w:r>
        <w:rPr>
          <w:rFonts w:ascii="Times New Roman" w:hAnsi="Times New Roman"/>
          <w:spacing w:val="0"/>
          <w:sz w:val="20"/>
        </w:rPr>
        <w:t>2023-09)</w:t>
      </w:r>
      <w:r>
        <w:rPr>
          <w:rFonts w:ascii="Times New Roman" w:hAnsi="Times New Roman"/>
          <w:sz w:val="20"/>
        </w:rPr>
        <w:t xml:space="preserve"> was as follows (in thousands, except percentages): </w:t>
      </w:r>
    </w:p>
    <w:p>
      <w:pPr>
        <w:pStyle w:val="TextBody"/>
        <w:bidi w:val="0"/>
        <w:spacing w:before="0" w:after="0"/>
        <w:jc w:val="left"/>
        <w:rPr>
          <w:spacing w:val="0"/>
        </w:rPr>
      </w:pPr>
      <w:r>
        <w:rPr>
          <w:spacing w:val="0"/>
        </w:rPr>
        <w:t> </w:t>
      </w:r>
    </w:p>
    <w:tbl>
      <w:tblPr>
        <w:tblW w:w="7965" w:type="dxa"/>
        <w:jc w:val="left"/>
        <w:tblInd w:w="0" w:type="dxa"/>
        <w:tblLayout w:type="fixed"/>
        <w:tblCellMar>
          <w:top w:w="0" w:type="dxa"/>
          <w:left w:w="0" w:type="dxa"/>
          <w:bottom w:w="0" w:type="dxa"/>
          <w:right w:w="0" w:type="dxa"/>
        </w:tblCellMar>
      </w:tblPr>
      <w:tblGrid>
        <w:gridCol w:w="4295"/>
        <w:gridCol w:w="120"/>
        <w:gridCol w:w="238"/>
        <w:gridCol w:w="1570"/>
        <w:gridCol w:w="264"/>
        <w:gridCol w:w="204"/>
        <w:gridCol w:w="102"/>
        <w:gridCol w:w="882"/>
        <w:gridCol w:w="290"/>
      </w:tblGrid>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0" w:type="dxa"/>
            <w:gridSpan w:val="6"/>
            <w:tcBorders/>
            <w:vAlign w:val="center"/>
          </w:tcPr>
          <w:p>
            <w:pPr>
              <w:pStyle w:val="TableContents"/>
              <w:bidi w:val="0"/>
              <w:spacing w:before="0" w:after="283"/>
              <w:jc w:val="center"/>
              <w:rPr>
                <w:b/>
                <w:spacing w:val="0"/>
              </w:rPr>
            </w:pPr>
            <w:r>
              <w:rPr>
                <w:b/>
                <w:spacing w:val="0"/>
              </w:rPr>
              <w:t>Year Ended December 31, 2024</w:t>
            </w:r>
          </w:p>
        </w:tc>
        <w:tc>
          <w:tcPr>
            <w:tcW w:w="29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8" w:type="dxa"/>
            <w:gridSpan w:val="2"/>
            <w:tcBorders/>
            <w:vAlign w:val="center"/>
          </w:tcPr>
          <w:p>
            <w:pPr>
              <w:pStyle w:val="TableContents"/>
              <w:bidi w:val="0"/>
              <w:spacing w:before="0" w:after="283"/>
              <w:jc w:val="center"/>
              <w:rPr>
                <w:b/>
                <w:spacing w:val="0"/>
              </w:rPr>
            </w:pPr>
            <w:r>
              <w:rPr>
                <w:b/>
                <w:spacing w:val="0"/>
              </w:rPr>
              <w:t>Amount  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84" w:type="dxa"/>
            <w:gridSpan w:val="2"/>
            <w:tcBorders/>
            <w:vAlign w:val="center"/>
          </w:tcPr>
          <w:p>
            <w:pPr>
              <w:pStyle w:val="TableContents"/>
              <w:bidi w:val="0"/>
              <w:spacing w:before="0" w:after="283"/>
              <w:jc w:val="center"/>
              <w:rPr>
                <w:b/>
                <w:spacing w:val="0"/>
              </w:rPr>
            </w:pPr>
            <w:r>
              <w:rPr>
                <w:b/>
                <w:spacing w:val="0"/>
              </w:rPr>
              <w:t>%  </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computed at the federal statutory tax rate</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570" w:type="dxa"/>
            <w:tcBorders/>
            <w:shd w:fill="CCEEFF" w:val="clear"/>
            <w:vAlign w:val="center"/>
          </w:tcPr>
          <w:p>
            <w:pPr>
              <w:pStyle w:val="TableContents"/>
              <w:bidi w:val="0"/>
              <w:spacing w:before="0" w:after="283"/>
              <w:jc w:val="right"/>
              <w:rPr/>
            </w:pPr>
            <w:r>
              <w:rPr/>
              <w:t>(13,726</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and local income taxes, net of federal benefit</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(4,126</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6.3</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(4,347</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6.7</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 </w:t>
            </w:r>
            <w:r>
              <w:rPr/>
              <w:t>20,544</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(31.5</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permanent differences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(31</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compensation</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607</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(0.9</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Uncertain tax position</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1,065</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14</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570"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pacing w:val="0"/>
          <w:sz w:val="20"/>
        </w:rPr>
        <w:t xml:space="preserve">The majority of the Company’s domestic operations are located in the state of California. The Company paid </w:t>
      </w:r>
      <w:r>
        <w:rPr>
          <w:rFonts w:ascii="Times New Roman" w:hAnsi="Times New Roman"/>
          <w:sz w:val="20"/>
        </w:rPr>
        <w:t>no</w:t>
      </w:r>
      <w:r>
        <w:rPr>
          <w:rFonts w:ascii="Times New Roman" w:hAnsi="Times New Roman"/>
          <w:spacing w:val="0"/>
          <w:sz w:val="20"/>
        </w:rPr>
        <w:t xml:space="preserve"> federal, state, or foreign income taxes, net of refunds received, during the years ended December 31, 2025 and 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 Company has not recorded any current or deferred federal, state, or foreign income tax expense or benefit due to its full valuation allowance against deferred tax assets.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Tax Assets and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Significant components of deferred tax assets and liabilities as of December 31, 2025 and 2024 were as follows (in thousands): </w:t>
      </w:r>
    </w:p>
    <w:p>
      <w:pPr>
        <w:pStyle w:val="TextBody"/>
        <w:bidi w:val="0"/>
        <w:spacing w:before="0" w:after="0"/>
        <w:jc w:val="left"/>
        <w:rPr>
          <w:spacing w:val="0"/>
        </w:rPr>
      </w:pPr>
      <w:r>
        <w:rPr>
          <w:spacing w:val="0"/>
        </w:rPr>
        <w:t> </w:t>
      </w:r>
    </w:p>
    <w:tbl>
      <w:tblPr>
        <w:tblW w:w="5000" w:type="dxa"/>
        <w:jc w:val="left"/>
        <w:tblInd w:w="0" w:type="dxa"/>
        <w:tblLayout w:type="fixed"/>
        <w:tblCellMar>
          <w:top w:w="0" w:type="dxa"/>
          <w:left w:w="0" w:type="dxa"/>
          <w:bottom w:w="0" w:type="dxa"/>
          <w:right w:w="0" w:type="dxa"/>
        </w:tblCellMar>
      </w:tblPr>
      <w:tblGrid>
        <w:gridCol w:w="2645"/>
        <w:gridCol w:w="120"/>
        <w:gridCol w:w="140"/>
        <w:gridCol w:w="755"/>
        <w:gridCol w:w="155"/>
        <w:gridCol w:w="120"/>
        <w:gridCol w:w="140"/>
        <w:gridCol w:w="755"/>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283"/>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45,574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27,618</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tax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8,313</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13,769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13,335</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R&amp;D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20,155</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2,637</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72,102</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(58,844</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12,350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13,258</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ROU 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(13,169</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(12,350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(13,258</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Valuation Allowance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Activity in the valuation allowance for the years ended December 31, 2025 and 2024 was as follows (in thousands): </w:t>
      </w:r>
    </w:p>
    <w:p>
      <w:pPr>
        <w:pStyle w:val="TextBody"/>
        <w:bidi w:val="0"/>
        <w:spacing w:before="0" w:after="0"/>
        <w:jc w:val="left"/>
        <w:rPr>
          <w:spacing w:val="0"/>
        </w:rPr>
      </w:pPr>
      <w:r>
        <w:rPr>
          <w:spacing w:val="0"/>
        </w:rPr>
        <w:t> </w:t>
      </w:r>
    </w:p>
    <w:tbl>
      <w:tblPr>
        <w:tblW w:w="6874" w:type="dxa"/>
        <w:jc w:val="left"/>
        <w:tblInd w:w="0" w:type="dxa"/>
        <w:tblLayout w:type="fixed"/>
        <w:tblCellMar>
          <w:top w:w="0" w:type="dxa"/>
          <w:left w:w="0" w:type="dxa"/>
          <w:bottom w:w="0" w:type="dxa"/>
          <w:right w:w="0" w:type="dxa"/>
        </w:tblCellMar>
      </w:tblPr>
      <w:tblGrid>
        <w:gridCol w:w="3860"/>
        <w:gridCol w:w="120"/>
        <w:gridCol w:w="98"/>
        <w:gridCol w:w="1113"/>
        <w:gridCol w:w="98"/>
        <w:gridCol w:w="196"/>
        <w:gridCol w:w="98"/>
        <w:gridCol w:w="1121"/>
        <w:gridCol w:w="17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4" w:type="dxa"/>
            <w:gridSpan w:val="6"/>
            <w:tcBorders/>
            <w:vAlign w:val="center"/>
          </w:tcPr>
          <w:p>
            <w:pPr>
              <w:pStyle w:val="TableContents"/>
              <w:bidi w:val="0"/>
              <w:spacing w:before="0" w:after="283"/>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b/>
                <w:spacing w:val="0"/>
              </w:rPr>
            </w:pPr>
            <w:r>
              <w:rPr>
                <w:b/>
                <w:spacing w:val="0"/>
              </w:rPr>
              <w:t>2025</w:t>
            </w:r>
          </w:p>
        </w:tc>
        <w:tc>
          <w:tcPr>
            <w:tcW w:w="98"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spacing w:val="0"/>
              </w:rPr>
            </w:pPr>
            <w:r>
              <w:rPr>
                <w:spacing w:val="0"/>
              </w:rPr>
              <w:t> </w:t>
            </w:r>
            <w:r>
              <w:rPr>
                <w:b/>
                <w:spacing w:val="0"/>
              </w:rPr>
              <w:t>2024  </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beginning of period</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58,844</w:t>
            </w:r>
          </w:p>
        </w:tc>
        <w:tc>
          <w:tcPr>
            <w:tcW w:w="9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38,323</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Charged to federal income tax expense</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11,966</w:t>
            </w:r>
          </w:p>
        </w:tc>
        <w:tc>
          <w:tcPr>
            <w:tcW w:w="98"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14,047</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Charged to state income tax expense</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4,324</w:t>
            </w:r>
          </w:p>
        </w:tc>
        <w:tc>
          <w:tcPr>
            <w:tcW w:w="9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6,497</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Charged (credited) to other comprehensive loss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16</w:t>
            </w:r>
          </w:p>
        </w:tc>
        <w:tc>
          <w:tcPr>
            <w:tcW w:w="98"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end of period</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75,150</w:t>
            </w:r>
          </w:p>
        </w:tc>
        <w:tc>
          <w:tcPr>
            <w:tcW w:w="9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58,844</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Operating Loss and Credit Carryforwards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established a full valuation allowance against its net deferred tax assets due to uncertainty regarding realization. In assessing the need for a valuation allowance, management considered the Company’s history of cumulative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losses, the lack of sufficient taxable income in prior carryback periods, the limited existence of taxable temporary differences, and the uncertainty surrounding future taxable income.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During 2025 and 2024, total deferred tax assets, net of deferred tax liabilities, increased by approximately $16.3 million and $20.5 million, respectively. Due to the full valuation allowance position, the Company’s valuation allowance increased by a corresponding amount in each period.</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F-25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2025 and 2024, federal net operating loss (“NOL”) carryforwards, state NOL carryforwards, and research and development tax credit carryforwards consisted of the following (in thousands): </w:t>
      </w:r>
    </w:p>
    <w:p>
      <w:pPr>
        <w:pStyle w:val="TextBody"/>
        <w:bidi w:val="0"/>
        <w:spacing w:before="0" w:after="0"/>
        <w:jc w:val="left"/>
        <w:rPr>
          <w:spacing w:val="0"/>
        </w:rPr>
      </w:pPr>
      <w:r>
        <w:rPr>
          <w:spacing w:val="0"/>
        </w:rPr>
        <w:t> </w:t>
      </w:r>
    </w:p>
    <w:tbl>
      <w:tblPr>
        <w:tblW w:w="7000" w:type="dxa"/>
        <w:jc w:val="left"/>
        <w:tblInd w:w="0" w:type="dxa"/>
        <w:tblLayout w:type="fixed"/>
        <w:tblCellMar>
          <w:top w:w="0" w:type="dxa"/>
          <w:left w:w="0" w:type="dxa"/>
          <w:bottom w:w="0" w:type="dxa"/>
          <w:right w:w="0" w:type="dxa"/>
        </w:tblCellMar>
      </w:tblPr>
      <w:tblGrid>
        <w:gridCol w:w="4745"/>
        <w:gridCol w:w="120"/>
        <w:gridCol w:w="140"/>
        <w:gridCol w:w="800"/>
        <w:gridCol w:w="60"/>
        <w:gridCol w:w="120"/>
        <w:gridCol w:w="140"/>
        <w:gridCol w:w="800"/>
        <w:gridCol w:w="75"/>
      </w:tblGrid>
      <w:tr>
        <w:trPr/>
        <w:tc>
          <w:tcPr>
            <w:tcW w:w="4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283"/>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 NOL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161,402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91,864</w:t>
            </w:r>
          </w:p>
        </w:tc>
        <w:tc>
          <w:tcPr>
            <w:tcW w:w="7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NOL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231,270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183,313</w:t>
            </w:r>
          </w:p>
        </w:tc>
        <w:tc>
          <w:tcPr>
            <w:tcW w:w="7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 research and development tax credit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9,294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7,667</w:t>
            </w:r>
          </w:p>
        </w:tc>
        <w:tc>
          <w:tcPr>
            <w:tcW w:w="7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research tax credit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4,853</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Federal net operating loss carryforwards are subject to potential limitations under Section 382 of the Internal Revenue Code of 1986, as amended (“IRC”). Certain state NOL carryforwards begin to expire in 2038. Federal research tax credits begin to expire in 2040, while unused state credits carry forward indefinitely.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Section 382 Limitations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Pursuant to IRC Sections 382 and 383, the Company’s ability to use its NOL and research tax credit carryforwards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Tax Legislation </w:t>
      </w:r>
    </w:p>
    <w:p>
      <w:pPr>
        <w:pStyle w:val="TextBody"/>
        <w:bidi w:val="0"/>
        <w:spacing w:before="120" w:after="0"/>
        <w:jc w:val="left"/>
        <w:rPr>
          <w:rFonts w:ascii="Times New Roman" w:hAnsi="Times New Roman"/>
          <w:sz w:val="20"/>
        </w:rPr>
      </w:pPr>
      <w:r>
        <w:rPr>
          <w:rFonts w:ascii="Times New Roman" w:hAnsi="Times New Roman"/>
          <w:sz w:val="20"/>
        </w:rPr>
        <w:t xml:space="preserve">On July 4, 2025, the reconciliation bill commonly referred to as the One Big Beautiful Bill Act (“OBBBA”) was signed into law in the United States. The OBBBA includes a broad range of tax reform provisions affecting U.S. corporate income taxation. Certain provisions became effective beginning in 2025, including an elective deduction for domestic research and development expenditures, reinstatement of 100% first-year bonus depreciation, and repeal of the fiscal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year-end</w:t>
      </w:r>
    </w:p>
    <w:p>
      <w:pPr>
        <w:pStyle w:val="TextBody"/>
        <w:bidi w:val="0"/>
        <w:spacing w:before="120" w:after="0"/>
        <w:jc w:val="left"/>
        <w:rPr>
          <w:rFonts w:ascii="Times New Roman" w:hAnsi="Times New Roman"/>
          <w:sz w:val="20"/>
        </w:rPr>
      </w:pPr>
      <w:r>
        <w:rPr>
          <w:rFonts w:ascii="Times New Roman" w:hAnsi="Times New Roman"/>
          <w:sz w:val="20"/>
        </w:rPr>
        <w:t xml:space="preserve">requirement for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corporations. Other provisions of the OBBBA will become effective in 2026 and subsequent years, including a more favorable tax rate applicable to Foreign-Derived Deduction Eligible Income and income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subsidiaries (Net CFC Tested Income).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Due to the Company’s full valuation allowance on deferred tax assets, the enactment of the OBBBA did not have a material impact on the Company’s financial statements for the year ended December 31, 2025, other than the reclassification of certain deferred tax assets and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There are no accruals for interest or tax penalties in the accompanying balance sheets, and the Company has not recognized any such interest or tax penalties in the accompanying statements of operations and comprehensive loss. Although it is not currently under a tax examination, all of the Company’s tax years remain open to audit in all of the tax jurisdictions in which it operates due to the Company’s net operating losses carryforwards.</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F-26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Uncertain Tax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Activity related to the Company’s gross unrecognized tax benefits for the years ended December 31, 2025 and 2024 was as follows (in thousands): </w:t>
      </w:r>
    </w:p>
    <w:p>
      <w:pPr>
        <w:pStyle w:val="TextBody"/>
        <w:bidi w:val="0"/>
        <w:spacing w:before="0" w:after="0"/>
        <w:jc w:val="left"/>
        <w:rPr>
          <w:spacing w:val="0"/>
        </w:rPr>
      </w:pPr>
      <w:r>
        <w:rPr>
          <w:spacing w:val="0"/>
        </w:rPr>
        <w:t> </w:t>
      </w:r>
    </w:p>
    <w:tbl>
      <w:tblPr>
        <w:tblW w:w="6217" w:type="dxa"/>
        <w:jc w:val="left"/>
        <w:tblInd w:w="0" w:type="dxa"/>
        <w:tblLayout w:type="fixed"/>
        <w:tblCellMar>
          <w:top w:w="0" w:type="dxa"/>
          <w:left w:w="0" w:type="dxa"/>
          <w:bottom w:w="0" w:type="dxa"/>
          <w:right w:w="0" w:type="dxa"/>
        </w:tblCellMar>
      </w:tblPr>
      <w:tblGrid>
        <w:gridCol w:w="3305"/>
        <w:gridCol w:w="120"/>
        <w:gridCol w:w="223"/>
        <w:gridCol w:w="895"/>
        <w:gridCol w:w="95"/>
        <w:gridCol w:w="191"/>
        <w:gridCol w:w="223"/>
        <w:gridCol w:w="1090"/>
        <w:gridCol w:w="75"/>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spacing w:val="0"/>
              </w:rPr>
            </w:pPr>
            <w:r>
              <w:rPr>
                <w:spacing w:val="0"/>
              </w:rPr>
              <w:t> </w:t>
            </w:r>
            <w:r>
              <w:rPr>
                <w:b/>
                <w:spacing w:val="0"/>
              </w:rPr>
              <w:t>2025 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313" w:type="dxa"/>
            <w:gridSpan w:val="2"/>
            <w:tcBorders/>
            <w:vAlign w:val="center"/>
          </w:tcPr>
          <w:p>
            <w:pPr>
              <w:pStyle w:val="TableContents"/>
              <w:bidi w:val="0"/>
              <w:spacing w:before="0" w:after="283"/>
              <w:jc w:val="center"/>
              <w:rPr>
                <w:spacing w:val="0"/>
              </w:rPr>
            </w:pPr>
            <w:r>
              <w:rPr>
                <w:spacing w:val="0"/>
              </w:rPr>
              <w:t> </w:t>
            </w:r>
            <w:r>
              <w:rPr>
                <w:b/>
                <w:spacing w:val="0"/>
              </w:rPr>
              <w:t>2024 </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at beginning of period</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9,212</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8,048</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Increase related to current year positions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656</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r>
              <w:rPr/>
              <w:t>1,164</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at the end of the year</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9,868</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9,212</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recognizes interest and penalties related to uncertain tax positions as a component of income tax expense. As of December 31, 2025 and 2024, the Company had no accrued interest or penalties.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not currently under examination by any taxing authority. Due to the existence of net operating loss carryforwards, all tax years remain open to examination in the jurisdictions in which the Company operates. </w:t>
      </w:r>
    </w:p>
    <w:p>
      <w:pPr>
        <w:pStyle w:val="TextBody"/>
        <w:bidi w:val="0"/>
        <w:spacing w:before="0" w:after="0"/>
        <w:jc w:val="left"/>
        <w:rPr>
          <w:spacing w:val="0"/>
        </w:rPr>
      </w:pPr>
      <w:r>
        <w:rPr>
          <w:spacing w:val="0"/>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b/>
                <w:spacing w:val="0"/>
              </w:rPr>
            </w:pPr>
            <w:r>
              <w:rPr>
                <w:b/>
                <w:spacing w:val="0"/>
              </w:rPr>
              <w:t>12.</w:t>
            </w:r>
          </w:p>
        </w:tc>
        <w:tc>
          <w:tcPr>
            <w:tcW w:w="25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Net Loss Per Common Share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calculation of basic and diluted net loss per common share attributable to common stockholders (in thousands, except per share data):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04"/>
        <w:gridCol w:w="120"/>
        <w:gridCol w:w="183"/>
        <w:gridCol w:w="990"/>
        <w:gridCol w:w="202"/>
        <w:gridCol w:w="156"/>
        <w:gridCol w:w="183"/>
        <w:gridCol w:w="993"/>
        <w:gridCol w:w="174"/>
      </w:tblGrid>
      <w:tr>
        <w:trPr/>
        <w:tc>
          <w:tcPr>
            <w:tcW w:w="7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7" w:type="dxa"/>
            <w:gridSpan w:val="6"/>
            <w:tcBorders/>
            <w:vAlign w:val="center"/>
          </w:tcPr>
          <w:p>
            <w:pPr>
              <w:pStyle w:val="TableContents"/>
              <w:bidi w:val="0"/>
              <w:spacing w:before="0" w:after="283"/>
              <w:jc w:val="center"/>
              <w:rPr>
                <w:b/>
                <w:spacing w:val="0"/>
              </w:rPr>
            </w:pPr>
            <w:r>
              <w:rPr>
                <w:b/>
                <w:spacing w:val="0"/>
              </w:rPr>
              <w:t>Year Ended December 31,</w:t>
            </w:r>
          </w:p>
        </w:tc>
        <w:tc>
          <w:tcPr>
            <w:tcW w:w="174" w:type="dxa"/>
            <w:tcBorders/>
            <w:vAlign w:val="center"/>
          </w:tcPr>
          <w:p>
            <w:pPr>
              <w:pStyle w:val="TableContents"/>
              <w:bidi w:val="0"/>
              <w:spacing w:before="0" w:after="283"/>
              <w:jc w:val="left"/>
              <w:rPr/>
            </w:pPr>
            <w:r>
              <w:rPr/>
              <w:t> </w:t>
            </w:r>
          </w:p>
        </w:tc>
      </w:tr>
      <w:tr>
        <w:trPr/>
        <w:tc>
          <w:tcPr>
            <w:tcW w:w="72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center"/>
              <w:rPr>
                <w:b/>
                <w:spacing w:val="0"/>
              </w:rPr>
            </w:pPr>
            <w:r>
              <w:rPr>
                <w:b/>
                <w:spacing w:val="0"/>
              </w:rPr>
              <w:t>2025</w:t>
            </w:r>
          </w:p>
        </w:tc>
        <w:tc>
          <w:tcPr>
            <w:tcW w:w="202"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center"/>
              <w:rPr>
                <w:b/>
                <w:spacing w:val="0"/>
              </w:rPr>
            </w:pPr>
            <w:r>
              <w:rPr>
                <w:b/>
                <w:spacing w:val="0"/>
              </w:rPr>
              <w:t>2024</w:t>
            </w:r>
          </w:p>
        </w:tc>
        <w:tc>
          <w:tcPr>
            <w:tcW w:w="174" w:type="dxa"/>
            <w:tcBorders/>
            <w:vAlign w:val="center"/>
          </w:tcPr>
          <w:p>
            <w:pPr>
              <w:pStyle w:val="TableContents"/>
              <w:bidi w:val="0"/>
              <w:spacing w:before="0" w:after="283"/>
              <w:jc w:val="left"/>
              <w:rPr/>
            </w:pPr>
            <w:r>
              <w:rPr/>
              <w:t> </w:t>
            </w:r>
          </w:p>
        </w:tc>
      </w:tr>
      <w:tr>
        <w:trPr/>
        <w:tc>
          <w:tcPr>
            <w:tcW w:w="720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(58,197</w:t>
            </w:r>
          </w:p>
        </w:tc>
        <w:tc>
          <w:tcPr>
            <w:tcW w:w="20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(65,363</w:t>
            </w:r>
          </w:p>
        </w:tc>
        <w:tc>
          <w:tcPr>
            <w:tcW w:w="174" w:type="dxa"/>
            <w:tcBorders/>
            <w:shd w:fill="CCEEFF" w:val="clear"/>
            <w:vAlign w:val="center"/>
          </w:tcPr>
          <w:p>
            <w:pPr>
              <w:pStyle w:val="TableContents"/>
              <w:bidi w:val="0"/>
              <w:spacing w:before="0" w:after="283"/>
              <w:jc w:val="left"/>
              <w:rPr/>
            </w:pPr>
            <w:r>
              <w:rPr/>
              <w:t>) </w:t>
            </w:r>
          </w:p>
        </w:tc>
      </w:tr>
      <w:tr>
        <w:trPr/>
        <w:tc>
          <w:tcPr>
            <w:tcW w:w="72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shares of common stock used in computing net loss per share, basic and diluted</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22,360</w:t>
            </w:r>
          </w:p>
        </w:tc>
        <w:tc>
          <w:tcPr>
            <w:tcW w:w="202"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16,984</w:t>
            </w:r>
          </w:p>
        </w:tc>
        <w:tc>
          <w:tcPr>
            <w:tcW w:w="174" w:type="dxa"/>
            <w:tcBorders/>
            <w:vAlign w:val="center"/>
          </w:tcPr>
          <w:p>
            <w:pPr>
              <w:pStyle w:val="TableContents"/>
              <w:bidi w:val="0"/>
              <w:spacing w:before="0" w:after="283"/>
              <w:jc w:val="left"/>
              <w:rPr/>
            </w:pPr>
            <w:r>
              <w:rPr/>
              <w:t> </w:t>
            </w:r>
          </w:p>
        </w:tc>
      </w:tr>
      <w:tr>
        <w:trPr/>
        <w:tc>
          <w:tcPr>
            <w:tcW w:w="7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2"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20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(2.60</w:t>
            </w:r>
          </w:p>
        </w:tc>
        <w:tc>
          <w:tcPr>
            <w:tcW w:w="202"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(3.85</w:t>
            </w:r>
          </w:p>
        </w:tc>
        <w:tc>
          <w:tcPr>
            <w:tcW w:w="174" w:type="dxa"/>
            <w:tcBorders/>
            <w:shd w:fill="CCEEFF" w:val="clear"/>
            <w:vAlign w:val="center"/>
          </w:tcPr>
          <w:p>
            <w:pPr>
              <w:pStyle w:val="TableContents"/>
              <w:bidi w:val="0"/>
              <w:spacing w:before="0" w:after="283"/>
              <w:jc w:val="left"/>
              <w:rPr/>
            </w:pPr>
            <w:r>
              <w:rPr/>
              <w:t>) </w:t>
            </w:r>
          </w:p>
        </w:tc>
      </w:tr>
      <w:tr>
        <w:trPr/>
        <w:tc>
          <w:tcPr>
            <w:tcW w:w="7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2"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excluded approximately 4,234,000 and 3,818,000 shares of common stock underlying outstanding stock options from the calculation of diluted net loss per share for the years ended December 31, 2025 and 2024, respectively, because their inclusion would have been anti-dilutive.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ind w:left="0" w:right="0" w:hanging="0"/>
        <w:jc w:val="left"/>
        <w:rPr>
          <w:spacing w:val="0"/>
        </w:rPr>
      </w:pPr>
      <w:r>
        <w:rPr>
          <w:spacing w:val="0"/>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b/>
                <w:spacing w:val="0"/>
              </w:rPr>
            </w:pPr>
            <w:r>
              <w:rPr>
                <w:b/>
                <w:spacing w:val="0"/>
              </w:rPr>
              <w:t>13.</w:t>
            </w:r>
          </w:p>
        </w:tc>
        <w:tc>
          <w:tcPr>
            <w:tcW w:w="18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CODM reviews the budget versus actual expense by nature of expense. The following table sets forth the Company’s segment loss disclosure for the years ended December 31, 2025 and 2024 (in thousands): </w:t>
      </w:r>
    </w:p>
    <w:p>
      <w:pPr>
        <w:pStyle w:val="TextBody"/>
        <w:bidi w:val="0"/>
        <w:spacing w:before="0" w:after="0"/>
        <w:ind w:left="0" w:right="0" w:hanging="0"/>
        <w:jc w:val="left"/>
        <w:rPr>
          <w:spacing w:val="0"/>
        </w:rPr>
      </w:pPr>
      <w:r>
        <w:rPr>
          <w:spacing w:val="0"/>
        </w:rPr>
        <w:t> </w:t>
      </w:r>
    </w:p>
    <w:tbl>
      <w:tblPr>
        <w:tblW w:w="9072" w:type="dxa"/>
        <w:jc w:val="left"/>
        <w:tblInd w:w="0" w:type="dxa"/>
        <w:tblLayout w:type="fixed"/>
        <w:tblCellMar>
          <w:top w:w="0" w:type="dxa"/>
          <w:left w:w="0" w:type="dxa"/>
          <w:bottom w:w="0" w:type="dxa"/>
          <w:right w:w="0" w:type="dxa"/>
        </w:tblCellMar>
      </w:tblPr>
      <w:tblGrid>
        <w:gridCol w:w="5945"/>
        <w:gridCol w:w="120"/>
        <w:gridCol w:w="192"/>
        <w:gridCol w:w="1037"/>
        <w:gridCol w:w="212"/>
        <w:gridCol w:w="164"/>
        <w:gridCol w:w="192"/>
        <w:gridCol w:w="1040"/>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7" w:type="dxa"/>
            <w:gridSpan w:val="6"/>
            <w:tcBorders/>
            <w:vAlign w:val="center"/>
          </w:tcPr>
          <w:p>
            <w:pPr>
              <w:pStyle w:val="TableContents"/>
              <w:bidi w:val="0"/>
              <w:spacing w:before="0" w:after="283"/>
              <w:jc w:val="center"/>
              <w:rPr>
                <w:b/>
                <w:spacing w:val="0"/>
              </w:rPr>
            </w:pPr>
            <w:r>
              <w:rPr>
                <w:b/>
                <w:spacing w:val="0"/>
              </w:rPr>
              <w:t>Year Ended December 31, 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center"/>
              <w:rPr>
                <w:b/>
                <w:spacing w:val="0"/>
              </w:rPr>
            </w:pPr>
            <w:r>
              <w:rPr>
                <w:b/>
                <w:spacing w:val="0"/>
              </w:rPr>
              <w:t>2025</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Compensation and benefits (excludes stock-based compensation)</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10,601</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13,758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Clinical trial costs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9,850</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11,507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Outsourced services &amp; Consulting</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11,826</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19,022</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Lab and pharmacology supplies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754</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2,295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Other costs (1)</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1,879</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1,818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Compensation and benefits (excludes stock-based compensation)</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5,744</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6,438</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Professional service fees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2,669</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2,866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Insurance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821</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678</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Other costs (2)</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2,413</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2,333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Facilities related</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9,619</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3,951</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and depreciation</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7,376</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8,601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63,552</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73,267</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(63,552</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(73,267</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other income, net</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5,355</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7,904</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Segment net loss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(58,197</w:t>
            </w:r>
          </w:p>
        </w:tc>
        <w:tc>
          <w:tcPr>
            <w:tcW w:w="21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(65,363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ind w:left="0" w:right="0" w:hanging="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(1)</w:t>
            </w:r>
          </w:p>
        </w:tc>
        <w:tc>
          <w:tcPr>
            <w:tcW w:w="9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expenses such as software licenses, database subscriptions, lab service contracts, travel, and other costs.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expenses such as travel, investor relations services, software licenses, employee training and development, and other costs.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Balance Sheets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par value data)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127"/>
        <w:gridCol w:w="120"/>
        <w:gridCol w:w="158"/>
        <w:gridCol w:w="998"/>
        <w:gridCol w:w="155"/>
        <w:gridCol w:w="60"/>
        <w:gridCol w:w="195"/>
        <w:gridCol w:w="1220"/>
        <w:gridCol w:w="172"/>
      </w:tblGrid>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June 30,</w:t>
              <w:b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20,213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17,868</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52,413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89,713</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2,030</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73,647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109,611</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3,216</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 net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43,659</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560</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73,744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157,059</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4,995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6,727</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2,773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2,643</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 current portion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3,167</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12,537</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45,868</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7,768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58,405</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8)</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$0.0001 par value; 70,000 shares authorized and no shares issued and outstanding as of June 30, 2026 and December 31, 2025</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700,000 shares authorized, 22,475 shares issued and outstanding as of June 30, 2026; 700,000 shares authorized, 22,407 shares issued and outstanding as of December 31, 2025</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362,923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358,257</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(296,917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(259,669</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65,976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98,654</w:t>
            </w:r>
          </w:p>
        </w:tc>
        <w:tc>
          <w:tcPr>
            <w:tcW w:w="172" w:type="dxa"/>
            <w:tcBorders/>
            <w:shd w:fill="CCEEFF" w:val="clear"/>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73,744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157,059</w:t>
            </w:r>
          </w:p>
        </w:tc>
        <w:tc>
          <w:tcPr>
            <w:tcW w:w="172" w:type="dxa"/>
            <w:tcBorders/>
            <w:vAlign w:val="center"/>
          </w:tcPr>
          <w:p>
            <w:pPr>
              <w:pStyle w:val="TableContents"/>
              <w:bidi w:val="0"/>
              <w:spacing w:before="0" w:after="283"/>
              <w:jc w:val="left"/>
              <w:rPr/>
            </w:pPr>
            <w:r>
              <w:rPr/>
              <w:t> </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Statements of Operations and Comprehensive Loss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per share data) </w:t>
      </w:r>
    </w:p>
    <w:p>
      <w:pPr>
        <w:pStyle w:val="TextBody"/>
        <w:bidi w:val="0"/>
        <w:spacing w:before="0" w:after="0"/>
        <w:jc w:val="left"/>
        <w:rPr>
          <w:spacing w:val="0"/>
        </w:rPr>
      </w:pPr>
      <w:r>
        <w:rPr>
          <w:spacing w:val="0"/>
        </w:rPr>
        <w:t> </w:t>
      </w:r>
    </w:p>
    <w:tbl>
      <w:tblPr>
        <w:tblW w:w="8143" w:type="dxa"/>
        <w:jc w:val="left"/>
        <w:tblInd w:w="0" w:type="dxa"/>
        <w:tblLayout w:type="fixed"/>
        <w:tblCellMar>
          <w:top w:w="0" w:type="dxa"/>
          <w:left w:w="0" w:type="dxa"/>
          <w:bottom w:w="0" w:type="dxa"/>
          <w:right w:w="0" w:type="dxa"/>
        </w:tblCellMar>
      </w:tblPr>
      <w:tblGrid>
        <w:gridCol w:w="3425"/>
        <w:gridCol w:w="120"/>
        <w:gridCol w:w="154"/>
        <w:gridCol w:w="832"/>
        <w:gridCol w:w="170"/>
        <w:gridCol w:w="66"/>
        <w:gridCol w:w="154"/>
        <w:gridCol w:w="832"/>
        <w:gridCol w:w="155"/>
        <w:gridCol w:w="60"/>
        <w:gridCol w:w="140"/>
        <w:gridCol w:w="755"/>
        <w:gridCol w:w="155"/>
        <w:gridCol w:w="60"/>
        <w:gridCol w:w="140"/>
        <w:gridCol w:w="755"/>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0"/>
              <w:jc w:val="center"/>
              <w:rPr>
                <w:b/>
                <w:spacing w:val="0"/>
              </w:rPr>
            </w:pPr>
            <w:r>
              <w:rPr>
                <w:b/>
                <w:spacing w:val="0"/>
              </w:rPr>
              <w:t>Three Months Ended</w:t>
              <w:b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5" w:type="dxa"/>
            <w:gridSpan w:val="6"/>
            <w:tcBorders/>
            <w:vAlign w:val="center"/>
          </w:tcPr>
          <w:p>
            <w:pPr>
              <w:pStyle w:val="TableContents"/>
              <w:bidi w:val="0"/>
              <w:spacing w:before="0" w:after="0"/>
              <w:jc w:val="center"/>
              <w:rPr>
                <w:b/>
                <w:spacing w:val="0"/>
              </w:rPr>
            </w:pPr>
            <w:r>
              <w:rPr>
                <w:b/>
                <w:spacing w:val="0"/>
              </w:rPr>
              <w:t>Six Months Ended</w:t>
              <w:br/>
              <w:t>June 30,</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6" w:type="dxa"/>
            <w:gridSpan w:val="2"/>
            <w:tcBorders/>
            <w:vAlign w:val="center"/>
          </w:tcPr>
          <w:p>
            <w:pPr>
              <w:pStyle w:val="TableContents"/>
              <w:bidi w:val="0"/>
              <w:spacing w:before="0" w:after="0"/>
              <w:jc w:val="center"/>
              <w:rPr>
                <w:b/>
                <w:spacing w:val="0"/>
              </w:rPr>
            </w:pPr>
            <w:r>
              <w:rPr>
                <w:b/>
                <w:spacing w:val="0"/>
              </w:rPr>
              <w:t>2026</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86"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13,973</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12,218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23,707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24,355</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10,411</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4,843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10,047</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24,384</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17,061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34,402</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(24,384</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(17,061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(34,402</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 net: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690</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2,971</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691</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2,969</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(23,693</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(15,675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(31,433</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(23,693</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(15,675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(31,433</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loss on short-term investments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(23,702</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(15,711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(31,558</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(1.06</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(1.41</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used in calculation</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22,450</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22,356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22,429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22,328</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Statements of Stockholders’ Equity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235"/>
        <w:gridCol w:w="60"/>
        <w:gridCol w:w="62"/>
        <w:gridCol w:w="705"/>
        <w:gridCol w:w="62"/>
        <w:gridCol w:w="62"/>
        <w:gridCol w:w="301"/>
        <w:gridCol w:w="559"/>
        <w:gridCol w:w="60"/>
        <w:gridCol w:w="60"/>
        <w:gridCol w:w="163"/>
        <w:gridCol w:w="937"/>
        <w:gridCol w:w="60"/>
        <w:gridCol w:w="60"/>
        <w:gridCol w:w="413"/>
        <w:gridCol w:w="1122"/>
        <w:gridCol w:w="155"/>
        <w:gridCol w:w="60"/>
        <w:gridCol w:w="188"/>
        <w:gridCol w:w="1182"/>
        <w:gridCol w:w="155"/>
        <w:gridCol w:w="60"/>
        <w:gridCol w:w="194"/>
        <w:gridCol w:w="1118"/>
        <w:gridCol w:w="172"/>
      </w:tblGrid>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1"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35" w:type="dxa"/>
            <w:gridSpan w:val="2"/>
            <w:vMerge w:val="restart"/>
            <w:tcBorders/>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12"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vMerge w:val="restart"/>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0"/>
              <w:jc w:val="center"/>
              <w:rPr>
                <w:b/>
                <w:spacing w:val="0"/>
              </w:rPr>
            </w:pPr>
            <w:r>
              <w:rPr>
                <w:b/>
                <w:spacing w:val="0"/>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12" w:type="dxa"/>
            <w:gridSpan w:val="2"/>
            <w:vMerge w:val="continue"/>
            <w:tcBorders/>
            <w:vAlign w:val="center"/>
          </w:tcPr>
          <w:p>
            <w:pPr>
              <w:pStyle w:val="Normal"/>
              <w:bidi w:val="0"/>
              <w:jc w:val="left"/>
              <w:rPr/>
            </w:pPr>
            <w:r>
              <w:rPr/>
            </w:r>
          </w:p>
        </w:tc>
        <w:tc>
          <w:tcPr>
            <w:tcW w:w="172" w:type="dxa"/>
            <w:vMerge w:val="continue"/>
            <w:tcBorders/>
            <w:vAlign w:val="center"/>
          </w:tcPr>
          <w:p>
            <w:pPr>
              <w:pStyle w:val="Normal"/>
              <w:bidi w:val="0"/>
              <w:jc w:val="left"/>
              <w:rPr/>
            </w:pPr>
            <w:r>
              <w:rPr/>
            </w:r>
          </w:p>
        </w:tc>
      </w:tr>
      <w:tr>
        <w:trPr/>
        <w:tc>
          <w:tcPr>
            <w:tcW w:w="22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22,407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358,257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(259,669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98,654</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1,371</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loss on short-term investments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(87</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(13,555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(13,555</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22,407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(273,224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86,383</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3,222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3,222</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under the Employee Stock Purchase Plan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37</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stock options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33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36</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loss on short-term investments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(9</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(23,693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(23,693</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22,475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362,923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(296,917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65,976</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2024</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22,300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351,991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(201,472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150,642</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1,797</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loss on short-term investments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(89</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(15,758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(15,758</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2025</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22,300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353,788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(217,230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136,592</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1,693</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under the Employee Stock Purchase Plan</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86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117</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loss on short-term investments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(36</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(15,675</w:t>
            </w:r>
          </w:p>
        </w:tc>
        <w:tc>
          <w:tcPr>
            <w:tcW w:w="172"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22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22,386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355,598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(232,905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122,691</w:t>
            </w:r>
          </w:p>
        </w:tc>
        <w:tc>
          <w:tcPr>
            <w:tcW w:w="172" w:type="dxa"/>
            <w:tcBorders/>
            <w:shd w:fill="CCEEFF" w:val="clear"/>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Statements of Cash Flows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bidi w:val="0"/>
        <w:spacing w:before="0" w:after="0"/>
        <w:jc w:val="left"/>
        <w:rPr>
          <w:spacing w:val="0"/>
        </w:rPr>
      </w:pPr>
      <w:r>
        <w:rPr>
          <w:spacing w:val="0"/>
        </w:rPr>
        <w:t> </w:t>
      </w:r>
    </w:p>
    <w:tbl>
      <w:tblPr>
        <w:tblW w:w="9050" w:type="dxa"/>
        <w:jc w:val="left"/>
        <w:tblInd w:w="0" w:type="dxa"/>
        <w:tblLayout w:type="fixed"/>
        <w:tblCellMar>
          <w:top w:w="0" w:type="dxa"/>
          <w:left w:w="0" w:type="dxa"/>
          <w:bottom w:w="0" w:type="dxa"/>
          <w:right w:w="0" w:type="dxa"/>
        </w:tblCellMar>
      </w:tblPr>
      <w:tblGrid>
        <w:gridCol w:w="6710"/>
        <w:gridCol w:w="120"/>
        <w:gridCol w:w="140"/>
        <w:gridCol w:w="755"/>
        <w:gridCol w:w="155"/>
        <w:gridCol w:w="60"/>
        <w:gridCol w:w="140"/>
        <w:gridCol w:w="800"/>
        <w:gridCol w:w="170"/>
      </w:tblGrid>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0"/>
              <w:jc w:val="center"/>
              <w:rPr>
                <w:b/>
                <w:spacing w:val="0"/>
              </w:rPr>
            </w:pPr>
            <w:r>
              <w:rPr>
                <w:b/>
                <w:spacing w:val="0"/>
              </w:rPr>
              <w:t>Six Months Ended</w:t>
              <w:br/>
              <w:t>June 30,</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(31,433</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3,490</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Accretion of investments,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(1,508</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7,062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1,674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(210</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(884</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(12,438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1,878</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(26,359</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(96,285</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Maturities of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110,744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14,352</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exercise of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common stock under the Employee Stock Purchase Plan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(11,890</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27,147</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15,257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Components of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14,697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560</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15,257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 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due to remeasurement of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36,597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Boundless 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ind w:left="0" w:right="0" w:hanging="0"/>
        <w:jc w:val="left"/>
        <w:rPr>
          <w:spacing w:val="0"/>
        </w:rPr>
      </w:pPr>
      <w:r>
        <w:rPr>
          <w:spacing w:val="0"/>
        </w:rPr>
        <w:t> </w:t>
      </w:r>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left"/>
              <w:rPr>
                <w:b/>
                <w:spacing w:val="0"/>
              </w:rPr>
            </w:pPr>
            <w:r>
              <w:rPr>
                <w:b/>
                <w:spacing w:val="0"/>
              </w:rPr>
              <w:t>1.</w:t>
            </w:r>
          </w:p>
        </w:tc>
        <w:tc>
          <w:tcPr>
            <w:tcW w:w="33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Basis of Presentation </w:t>
            </w:r>
          </w:p>
        </w:tc>
      </w:tr>
    </w:tbl>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Business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Boundless Bio, Inc. (Boundless Bio or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was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was incorporated in the state of Delaware on April 10, 2018 and is headquartered in La Jolla, California.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with Serapha Bio, Inc.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June 22, 2026, Boundless Bio entered into an Agreement and Plan of Merger and Reorganization (the Merger Agreement) with Serapha Bio, Inc. (Serapha) and Boulder Merger Sub Corp., a wholly owned subsidiary of Boundless Bio (Merger Sub). Upon the terms and subject to the satisfaction of the conditions described in the Merger Agreement, Merger Sub will be merged with and into Serapha, with Serapha surviving as a wholly owned subsidiary of Boundless Bio (the Merger). The transaction is intended to qualify for federal income tax purposes as (1) a “reorganization” within the meaning of Section 368(a) of the Internal Revenue Code of 1986, as amended (the Code), and/or (2) an exchange of shares of Serapha capital stock for Boundless Bio common stock under Section 351(a) of the Code.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Upon closing, Serapha’s existing stockholders are expected to own approximately 96.2% of the combined company, and Boundless Bio’s existing stockholders are expected to own approximately 3.8%, in each case on a fully diluted basis. Prior to closing, Boundless Bio may declare a special cash dividend to its current stockholders to the extent its net cash is estimated, based on a reasonable, good faith approximation, to exceed zero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requires approval from stockholders of both companies, as well as continued Nasdaq listing of Boundless Bio’s common stock, effectiveness of a Form </w:t>
      </w:r>
      <w:r>
        <w:rPr>
          <w:rFonts w:ascii="Times New Roman" w:hAnsi="Times New Roman"/>
          <w:spacing w:val="0"/>
          <w:sz w:val="20"/>
        </w:rPr>
        <w:t>S-4</w:t>
      </w:r>
      <w:r>
        <w:rPr>
          <w:rFonts w:ascii="Times New Roman" w:hAnsi="Times New Roman"/>
          <w:sz w:val="20"/>
        </w:rPr>
        <w:t xml:space="preserve"> registration statement, and receipt of at least $200 million in gross proceeds from related financings by Serapha, among other closing conditions. In connection with the Merger, Boundless Bio stockholders will also be asked to approve a reverse stock split and an increase in authorized shares. Either party may terminate the agreement under certain circumstances, in which case a termination fee of $1.0 million may be payable by the terminating party.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June 23, 2026, the Company committed to a reduction in workforce of approximately 75% and communicated the plan to affected employees. The Company recognized a charge of approximately $2.8 million for the three and six months ended June 30, 2026, of which approximately $1.5 million was recorded in research and development expense and approximately $1.3 million was recorded in general and administrative expense. The Company had no associated liability as of December 31, 2025. During the six months ended June 30, 2026, the Company charged $2.8 million to expense and made no cash payments, resulting in a liability of $2.8 million recorded in accrued compensation as of June 30, 2026. The Company estimates aggregate </w:t>
      </w:r>
      <w:r>
        <w:rPr>
          <w:rFonts w:ascii="Times New Roman" w:hAnsi="Times New Roman"/>
          <w:spacing w:val="0"/>
          <w:sz w:val="20"/>
        </w:rPr>
        <w:t>one-time</w:t>
      </w:r>
      <w:r>
        <w:rPr>
          <w:rFonts w:ascii="Times New Roman" w:hAnsi="Times New Roman"/>
          <w:sz w:val="20"/>
        </w:rPr>
        <w:t xml:space="preserve"> charges of approximately $3.0 million to $5.0 million, with the remainder to be recognized as the related services are rendered or the applicable conditions are met, in the second half of 2026.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transaction is expected to close in the fourth quarter of 2026. Following completion of the Merger, the combined company plans to focus on advancing </w:t>
      </w:r>
    </w:p>
    <w:p>
      <w:pPr>
        <w:pStyle w:val="TextBody"/>
        <w:bidi w:val="0"/>
        <w:spacing w:before="0" w:after="0"/>
        <w:jc w:val="left"/>
        <w:rPr>
          <w:rFonts w:ascii="Times New Roman" w:hAnsi="Times New Roman"/>
          <w:spacing w:val="0"/>
          <w:sz w:val="20"/>
        </w:rPr>
      </w:pPr>
      <w:r>
        <w:rPr>
          <w:rFonts w:ascii="Times New Roman" w:hAnsi="Times New Roman"/>
          <w:spacing w:val="0"/>
          <w:sz w:val="20"/>
        </w:rPr>
        <w:t>SERP-01,</w:t>
      </w:r>
    </w:p>
    <w:p>
      <w:pPr>
        <w:pStyle w:val="TextBody"/>
        <w:bidi w:val="0"/>
        <w:spacing w:before="0" w:after="0"/>
        <w:jc w:val="left"/>
        <w:rPr>
          <w:rFonts w:ascii="Times New Roman" w:hAnsi="Times New Roman"/>
          <w:sz w:val="20"/>
        </w:rPr>
      </w:pPr>
      <w:r>
        <w:rPr>
          <w:rFonts w:ascii="Times New Roman" w:hAnsi="Times New Roman"/>
          <w:sz w:val="20"/>
        </w:rPr>
        <w:t xml:space="preserve">an investigational in vivo base editing therapy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Alpha-1</w:t>
      </w:r>
    </w:p>
    <w:p>
      <w:pPr>
        <w:pStyle w:val="TextBody"/>
        <w:bidi w:val="0"/>
        <w:spacing w:before="0" w:after="0"/>
        <w:jc w:val="left"/>
        <w:rPr>
          <w:rFonts w:ascii="Times New Roman" w:hAnsi="Times New Roman"/>
          <w:sz w:val="20"/>
        </w:rPr>
      </w:pPr>
      <w:r>
        <w:rPr>
          <w:rFonts w:ascii="Times New Roman" w:hAnsi="Times New Roman"/>
          <w:sz w:val="20"/>
        </w:rPr>
        <w:t xml:space="preserve">Antitrypsin Deficiency, and does not intend to continue development of any of Boundless Bio’s legacy product candidates.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the Merger is not completed, Boundless Bio may continue to explore development opportunities for its ecDTx and pursue other strategic alternatives, including collaborations, financing opportunities or a transaction similar to the proposed Merger, or liquidation.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ATM Offering </w:t>
      </w:r>
    </w:p>
    <w:p>
      <w:pPr>
        <w:pStyle w:val="TextBody"/>
        <w:bidi w:val="0"/>
        <w:spacing w:before="120" w:after="0"/>
        <w:jc w:val="left"/>
        <w:rPr>
          <w:rFonts w:ascii="Times New Roman" w:hAnsi="Times New Roman"/>
          <w:sz w:val="20"/>
        </w:rPr>
      </w:pPr>
      <w:r>
        <w:rPr>
          <w:rFonts w:ascii="Times New Roman" w:hAnsi="Times New Roman"/>
          <w:sz w:val="20"/>
        </w:rPr>
        <w:t>On April 1, 2025, the Company entered into an Open Market Sale Agreement</w:t>
      </w:r>
    </w:p>
    <w:p>
      <w:pPr>
        <w:pStyle w:val="TextBody"/>
        <w:bidi w:val="0"/>
        <w:spacing w:before="120" w:after="0"/>
        <w:jc w:val="left"/>
        <w:rPr>
          <w:rFonts w:ascii="Times New Roman" w:hAnsi="Times New Roman"/>
          <w:sz w:val="12"/>
        </w:rPr>
      </w:pPr>
      <w:r>
        <w:rPr>
          <w:rFonts w:ascii="Times New Roman" w:hAnsi="Times New Roman"/>
          <w:sz w:val="12"/>
        </w:rPr>
        <w:t>SM</w:t>
      </w:r>
    </w:p>
    <w:p>
      <w:pPr>
        <w:pStyle w:val="TextBody"/>
        <w:bidi w:val="0"/>
        <w:spacing w:before="120" w:after="0"/>
        <w:jc w:val="left"/>
        <w:rPr>
          <w:rFonts w:ascii="Times New Roman" w:hAnsi="Times New Roman"/>
          <w:sz w:val="20"/>
        </w:rPr>
      </w:pPr>
      <w:r>
        <w:rPr>
          <w:rFonts w:ascii="Times New Roman" w:hAnsi="Times New Roman"/>
          <w:sz w:val="20"/>
        </w:rPr>
        <w:t xml:space="preserve">(the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z w:val="20"/>
        </w:rPr>
      </w:pPr>
      <w:r>
        <w:rPr>
          <w:rFonts w:ascii="Times New Roman" w:hAnsi="Times New Roman"/>
          <w:sz w:val="20"/>
        </w:rPr>
        <w:t xml:space="preserve">(File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333-286302),</w:t>
      </w:r>
    </w:p>
    <w:p>
      <w:pPr>
        <w:pStyle w:val="TextBody"/>
        <w:bidi w:val="0"/>
        <w:spacing w:before="120" w:after="0"/>
        <w:jc w:val="left"/>
        <w:rPr>
          <w:rFonts w:ascii="Times New Roman" w:hAnsi="Times New Roman"/>
          <w:sz w:val="20"/>
        </w:rPr>
      </w:pPr>
      <w:r>
        <w:rPr>
          <w:rFonts w:ascii="Times New Roman" w:hAnsi="Times New Roman"/>
          <w:sz w:val="20"/>
        </w:rPr>
        <w:t xml:space="preserve">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As of June 30, 2026, no shares had been sold under the Sales Agreement.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and common stock, including the net proceeds from the initial public offering (IPO) of its common stock completed on April 2, 2024. </w:t>
      </w:r>
    </w:p>
    <w:p>
      <w:pPr>
        <w:pStyle w:val="TextBody"/>
        <w:bidi w:val="0"/>
        <w:spacing w:before="240" w:after="0"/>
        <w:jc w:val="left"/>
        <w:rPr>
          <w:rFonts w:ascii="Times New Roman" w:hAnsi="Times New Roman"/>
          <w:sz w:val="20"/>
        </w:rPr>
      </w:pPr>
      <w:r>
        <w:rPr>
          <w:rFonts w:ascii="Times New Roman" w:hAnsi="Times New Roman"/>
          <w:sz w:val="20"/>
        </w:rPr>
        <w:t>As of June 30, 2026, the Company had cash, cash equivalents, and short-term investments of $72.6 million. During the six months ended June 30, 2026, the Company terminated its long-term headquarters lease effective May 31, 2026, involving a cash payment of approximately $10.0 million to the landlord, with the landlord separately retaining the Company’s security deposit of approximately $0.5 million. See Note 7—</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 Agreements</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regarding the lease termination. Based on its current operating plan, and without giving effect to the anticipated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cash dividend or the proposed Merger, the Company believes that its existing cash, cash equivalents, and short-term investments will be sufficient to fund its operations for at least twelve months from the issuance date of these unaudited condensed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inception, the Company has incurred significant operating losses and negative cash flows from its operations and expects that it will continue to do so into the foreseeable future as it assesses potential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In May 2025, Boundless Bio announced that it discontinued the monotherapy arm and combination arms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BBI-355</w:t>
      </w:r>
    </w:p>
    <w:p>
      <w:pPr>
        <w:pStyle w:val="TextBody"/>
        <w:bidi w:val="0"/>
        <w:spacing w:before="0" w:after="0"/>
        <w:jc w:val="left"/>
        <w:rPr>
          <w:rFonts w:ascii="Times New Roman" w:hAnsi="Times New Roman"/>
          <w:sz w:val="20"/>
        </w:rPr>
      </w:pPr>
      <w:r>
        <w:rPr>
          <w:rFonts w:ascii="Times New Roman" w:hAnsi="Times New Roman"/>
          <w:sz w:val="20"/>
        </w:rPr>
        <w:t xml:space="preserve">with third-party targeted therapies in the POTENTIATE trial based on initial trial data. Boundless Bio had been continuing to investigate </w:t>
      </w:r>
    </w:p>
    <w:p>
      <w:pPr>
        <w:pStyle w:val="TextBody"/>
        <w:bidi w:val="0"/>
        <w:spacing w:before="0" w:after="0"/>
        <w:jc w:val="left"/>
        <w:rPr>
          <w:rFonts w:ascii="Times New Roman" w:hAnsi="Times New Roman"/>
          <w:spacing w:val="0"/>
          <w:sz w:val="20"/>
        </w:rPr>
      </w:pPr>
      <w:r>
        <w:rPr>
          <w:rFonts w:ascii="Times New Roman" w:hAnsi="Times New Roman"/>
          <w:spacing w:val="0"/>
          <w:sz w:val="20"/>
        </w:rPr>
        <w:t>BBI-355</w:t>
      </w:r>
    </w:p>
    <w:p>
      <w:pPr>
        <w:pStyle w:val="TextBody"/>
        <w:bidi w:val="0"/>
        <w:spacing w:before="0" w:after="0"/>
        <w:jc w:val="left"/>
        <w:rPr>
          <w:rFonts w:ascii="Times New Roman" w:hAnsi="Times New Roman"/>
          <w:sz w:val="20"/>
        </w:rPr>
      </w:pPr>
      <w:r>
        <w:rPr>
          <w:rFonts w:ascii="Times New Roman" w:hAnsi="Times New Roman"/>
          <w:sz w:val="20"/>
        </w:rPr>
        <w:t xml:space="preserve">in combination with </w:t>
      </w:r>
    </w:p>
    <w:p>
      <w:pPr>
        <w:pStyle w:val="TextBody"/>
        <w:bidi w:val="0"/>
        <w:spacing w:before="0" w:after="0"/>
        <w:jc w:val="left"/>
        <w:rPr>
          <w:rFonts w:ascii="Times New Roman" w:hAnsi="Times New Roman"/>
          <w:spacing w:val="0"/>
          <w:sz w:val="20"/>
        </w:rPr>
      </w:pPr>
      <w:r>
        <w:rPr>
          <w:rFonts w:ascii="Times New Roman" w:hAnsi="Times New Roman"/>
          <w:spacing w:val="0"/>
          <w:sz w:val="20"/>
        </w:rPr>
        <w:t>BBI-825;</w:t>
      </w:r>
    </w:p>
    <w:p>
      <w:pPr>
        <w:pStyle w:val="TextBody"/>
        <w:bidi w:val="0"/>
        <w:spacing w:before="0" w:after="0"/>
        <w:jc w:val="left"/>
        <w:rPr>
          <w:rFonts w:ascii="Times New Roman" w:hAnsi="Times New Roman"/>
          <w:sz w:val="20"/>
        </w:rPr>
      </w:pPr>
      <w:r>
        <w:rPr>
          <w:rFonts w:ascii="Times New Roman" w:hAnsi="Times New Roman"/>
          <w:sz w:val="20"/>
        </w:rPr>
        <w:t xml:space="preserve">however, in January 2026, following a strategic portfolio review, Boundless Bio elected to cease enrollment of the POTENTIATE trial due to market considerations, clinical data, and prioritization of its </w:t>
      </w:r>
    </w:p>
    <w:p>
      <w:pPr>
        <w:pStyle w:val="TextBody"/>
        <w:bidi w:val="0"/>
        <w:spacing w:before="0" w:after="0"/>
        <w:jc w:val="left"/>
        <w:rPr>
          <w:rFonts w:ascii="Times New Roman" w:hAnsi="Times New Roman"/>
          <w:spacing w:val="0"/>
          <w:sz w:val="20"/>
        </w:rPr>
      </w:pPr>
      <w:r>
        <w:rPr>
          <w:rFonts w:ascii="Times New Roman" w:hAnsi="Times New Roman"/>
          <w:spacing w:val="0"/>
          <w:sz w:val="20"/>
        </w:rPr>
        <w:t>BBI-940</w:t>
      </w:r>
    </w:p>
    <w:p>
      <w:pPr>
        <w:pStyle w:val="TextBody"/>
        <w:bidi w:val="0"/>
        <w:spacing w:before="0" w:after="0"/>
        <w:jc w:val="left"/>
        <w:rPr>
          <w:rFonts w:ascii="Times New Roman" w:hAnsi="Times New Roman"/>
          <w:sz w:val="20"/>
        </w:rPr>
      </w:pPr>
      <w:r>
        <w:rPr>
          <w:rFonts w:ascii="Times New Roman" w:hAnsi="Times New Roman"/>
          <w:sz w:val="20"/>
        </w:rPr>
        <w:t xml:space="preserve">program. In June 2026, Boundless Bio announced that based on preliminary exposure data obtained in the early dose escalation cohorts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KOMODO-1</w:t>
      </w:r>
    </w:p>
    <w:p>
      <w:pPr>
        <w:pStyle w:val="TextBody"/>
        <w:bidi w:val="0"/>
        <w:spacing w:before="0" w:after="0"/>
        <w:jc w:val="left"/>
        <w:rPr>
          <w:rFonts w:ascii="Times New Roman" w:hAnsi="Times New Roman"/>
          <w:sz w:val="20"/>
        </w:rPr>
      </w:pPr>
      <w:r>
        <w:rPr>
          <w:rFonts w:ascii="Times New Roman" w:hAnsi="Times New Roman"/>
          <w:sz w:val="20"/>
        </w:rPr>
        <w:t xml:space="preserve">clinical trial, Boundless Bio believed that the observed pharmacokinetic exposure data did not support continued clinical development of </w:t>
      </w:r>
    </w:p>
    <w:p>
      <w:pPr>
        <w:pStyle w:val="TextBody"/>
        <w:bidi w:val="0"/>
        <w:spacing w:before="0" w:after="0"/>
        <w:jc w:val="left"/>
        <w:rPr>
          <w:rFonts w:ascii="Times New Roman" w:hAnsi="Times New Roman"/>
          <w:spacing w:val="0"/>
          <w:sz w:val="20"/>
        </w:rPr>
      </w:pPr>
      <w:r>
        <w:rPr>
          <w:rFonts w:ascii="Times New Roman" w:hAnsi="Times New Roman"/>
          <w:spacing w:val="0"/>
          <w:sz w:val="20"/>
        </w:rPr>
        <w:t>BBI-940.</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an accumulated deficit of $296.9 million, and, during the six months ended June 30, 2026, the Company incurred a net loss of $37.2 million and had negative cash flows from operations of $35.9 million. If the Merger is not completed and the Company decides to develop any current or future ecDTx,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unaudited condensed financial statements have been prepared in accordance with United States generally accepted accounting principles (U.S. GAAP) and the requirements of the SEC for interim reporting. As permitted under those rules, certain footnote disclosures or other financial information that are normally required by U.S. GAAP have been condensed or omitted. The condensed financial statements are presented in U.S. dollars.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condensed balance sheet as of June 30, 2026, the condensed statements of operations and comprehensive loss for the six months ended June 30, 2026 and 2025, the condensed statements of stockholders’ equity for the six months ended June 30, 2026 and 2025, and the condensed statements of cash flows for the six months ended June 30, 2026 and 2025 are unaudited. These unaudited condensed financial statements have been prepared on the same basis as the annual financial statements and, in the opinion of management, reflect all adjustments, consisting of normal recurring adjustments and the effects of the transactions described herein, necessary to present fairly the Company’s financial position, results of operations, and cash flows for the interim period presented. The financial data and the other financial information contained in these notes to the condensed financial statements are also unaudited. The results of operations for the six months ended June 30, 2026 are not necessarily indicative of the results to be expected for the year ending December 31, 2026 or for any other future annual or interim period. The condensed balance sheet as of December 31, 2025 included herein was derived from the audited financial statements as of that date. The unaudited condensed financial statements and these notes thereto should be read in conjunction with the Company’s audited financial statements and the notes thereto included in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filed with the SEC on March 9, 2026 (the Company’s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283"/>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the audited financial statements included in the Company’s 2025 </w:t>
      </w:r>
      <w:r>
        <w:rPr>
          <w:rFonts w:ascii="Times New Roman" w:hAnsi="Times New Roman"/>
          <w:spacing w:val="0"/>
          <w:sz w:val="20"/>
        </w:rPr>
        <w:t>10-K.</w:t>
      </w:r>
      <w:r>
        <w:rPr>
          <w:rFonts w:ascii="Times New Roman" w:hAnsi="Times New Roman"/>
          <w:sz w:val="20"/>
        </w:rPr>
        <w:t xml:space="preserve"> There were no material changes to the Company’s significant accounting policies during the six months ended June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qualifies as an “emerging growth company” (EGC) as defined in the Jumpstart Our Business Startups Act of 2012, as amended (JOBS Act). The JOBS Act permits EGCs such as the Company to take advantage of an extended transition period to comply with new or revised financial accounting standards applicable to public companies until those standards would otherwise apply to nonpublic companies. The Company has elected not to “opt out” of such extended transition period, which means that when an accounting standard is issued or revised and it has different application dates for public or nonpublic companies, the Company can adopt the new or revised standard at the time nonpublic companies adopt the new or revised standard and can do so until such time that it either (i) irrevocably elects to “opt out” of such extended transition period or (ii) no longer qualifies as an EGC.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identified as components of an enterprise about which discrete financial information is available for evaluation by the chief operating decision-maker (CODM) in making decisions regarding 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r>
        <w:rPr>
          <w:rFonts w:ascii="Times New Roman" w:hAnsi="Times New Roman"/>
          <w:spacing w:val="0"/>
          <w:sz w:val="20"/>
        </w:rPr>
        <w:t>No. 2024-03,</w:t>
      </w:r>
      <w:r>
        <w:rPr>
          <w:rFonts w:ascii="Times New Roman" w:hAnsi="Times New Roman"/>
          <w:sz w:val="20"/>
        </w:rPr>
        <w:t xml:space="preserve"> </w:t>
      </w:r>
      <w:r>
        <w:rPr>
          <w:rFonts w:ascii="Times New Roman" w:hAnsi="Times New Roman"/>
          <w:i/>
          <w:caps w:val="false"/>
          <w:smallCaps w:val="false"/>
          <w:spacing w:val="0"/>
          <w:sz w:val="20"/>
        </w:rPr>
        <w:t>Income Statement—Reporting Comprehensive Income—Expense Disaggregation Disclosures (Subtopic 220-40): Disaggregation of Income Statement Expenses</w:t>
      </w:r>
      <w:r>
        <w:rPr>
          <w:rFonts w:ascii="Times New Roman" w:hAnsi="Times New Roman"/>
          <w:sz w:val="20"/>
        </w:rPr>
        <w:t xml:space="preserve">. The new guidance requires more detailed information about specified types of expenses (including purchases of inventory, employee compensation, depreciation, amortization, and depletion) in commonly presented expense captions on the face of the statement of operations on an annual and interim basis. This guidance is effective for the Company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 </w:t>
      </w:r>
    </w:p>
    <w:p>
      <w:pPr>
        <w:pStyle w:val="TextBody"/>
        <w:bidi w:val="0"/>
        <w:spacing w:before="0" w:after="0"/>
        <w:jc w:val="left"/>
        <w:rPr>
          <w:spacing w:val="0"/>
        </w:rPr>
      </w:pPr>
      <w:r>
        <w:rPr>
          <w:spacing w:val="0"/>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b/>
                <w:spacing w:val="0"/>
              </w:rPr>
            </w:pPr>
            <w:r>
              <w:rPr>
                <w:b/>
                <w:spacing w:val="0"/>
              </w:rPr>
              <w:t>3.</w:t>
            </w:r>
          </w:p>
        </w:tc>
        <w:tc>
          <w:tcPr>
            <w:tcW w:w="22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measured at fair value on a recurring basis and their respective input levels based on the fair value hierarchy described in Note 2 to the audited financial statements included in the Company’s 2025 </w:t>
      </w:r>
      <w:r>
        <w:rPr>
          <w:rFonts w:ascii="Times New Roman" w:hAnsi="Times New Roman"/>
          <w:spacing w:val="0"/>
          <w:sz w:val="20"/>
        </w:rPr>
        <w:t>10-K</w:t>
      </w:r>
      <w:r>
        <w:rPr>
          <w:rFonts w:ascii="Times New Roman" w:hAnsi="Times New Roman"/>
          <w:sz w:val="20"/>
        </w:rPr>
        <w:t xml:space="preserve"> (in thousands): </w:t>
      </w:r>
    </w:p>
    <w:p>
      <w:pPr>
        <w:pStyle w:val="TextBody"/>
        <w:bidi w:val="0"/>
        <w:spacing w:before="0" w:after="0"/>
        <w:jc w:val="left"/>
        <w:rPr>
          <w:spacing w:val="0"/>
        </w:rPr>
      </w:pPr>
      <w:r>
        <w:rPr>
          <w:spacing w:val="0"/>
        </w:rPr>
        <w:t> </w:t>
      </w:r>
    </w:p>
    <w:tbl>
      <w:tblPr>
        <w:tblW w:w="7245" w:type="dxa"/>
        <w:jc w:val="left"/>
        <w:tblInd w:w="0" w:type="dxa"/>
        <w:tblLayout w:type="fixed"/>
        <w:tblCellMar>
          <w:top w:w="0" w:type="dxa"/>
          <w:left w:w="0" w:type="dxa"/>
          <w:bottom w:w="0" w:type="dxa"/>
          <w:right w:w="0" w:type="dxa"/>
        </w:tblCellMar>
      </w:tblPr>
      <w:tblGrid>
        <w:gridCol w:w="2630"/>
        <w:gridCol w:w="120"/>
        <w:gridCol w:w="146"/>
        <w:gridCol w:w="714"/>
        <w:gridCol w:w="60"/>
        <w:gridCol w:w="120"/>
        <w:gridCol w:w="183"/>
        <w:gridCol w:w="891"/>
        <w:gridCol w:w="78"/>
        <w:gridCol w:w="157"/>
        <w:gridCol w:w="183"/>
        <w:gridCol w:w="891"/>
        <w:gridCol w:w="78"/>
        <w:gridCol w:w="157"/>
        <w:gridCol w:w="264"/>
        <w:gridCol w:w="498"/>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860" w:type="dxa"/>
            <w:gridSpan w:val="2"/>
            <w:vMerge w:val="restart"/>
            <w:tcBorders/>
            <w:vAlign w:val="center"/>
          </w:tcPr>
          <w:p>
            <w:pPr>
              <w:pStyle w:val="TableContents"/>
              <w:bidi w:val="0"/>
              <w:spacing w:before="0" w:after="283"/>
              <w:jc w:val="center"/>
              <w:rPr>
                <w:b/>
                <w:spacing w:val="0"/>
              </w:rPr>
            </w:pPr>
            <w:r>
              <w:rPr>
                <w:b/>
                <w:spacing w:val="0"/>
              </w:rPr>
              <w:t>Amount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0" w:type="dxa"/>
            <w:gridSpan w:val="10"/>
            <w:tcBorders/>
            <w:vAlign w:val="center"/>
          </w:tcPr>
          <w:p>
            <w:pPr>
              <w:pStyle w:val="TableContents"/>
              <w:bidi w:val="0"/>
              <w:spacing w:before="0" w:after="283"/>
              <w:jc w:val="center"/>
              <w:rPr>
                <w:b/>
                <w:spacing w:val="0"/>
              </w:rPr>
            </w:pPr>
            <w:r>
              <w:rPr>
                <w:b/>
                <w:spacing w:val="0"/>
              </w:rPr>
              <w:t>Fair Value Measurements Using</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June 30, 2026</w:t>
            </w:r>
          </w:p>
        </w:tc>
        <w:tc>
          <w:tcPr>
            <w:tcW w:w="120" w:type="dxa"/>
            <w:vMerge w:val="continue"/>
            <w:tcBorders/>
            <w:vAlign w:val="center"/>
          </w:tcPr>
          <w:p>
            <w:pPr>
              <w:pStyle w:val="Normal"/>
              <w:bidi w:val="0"/>
              <w:jc w:val="left"/>
              <w:rPr/>
            </w:pPr>
            <w:r>
              <w:rPr/>
            </w:r>
          </w:p>
        </w:tc>
        <w:tc>
          <w:tcPr>
            <w:tcW w:w="86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center"/>
              <w:rPr>
                <w:b/>
                <w:spacing w:val="0"/>
              </w:rPr>
            </w:pPr>
            <w:r>
              <w:rPr>
                <w:b/>
                <w:spacing w:val="0"/>
              </w:rPr>
              <w:t>Level 1</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center"/>
              <w:rPr>
                <w:b/>
                <w:spacing w:val="0"/>
              </w:rPr>
            </w:pPr>
            <w:r>
              <w:rPr>
                <w:b/>
                <w:spacing w:val="0"/>
              </w:rPr>
              <w:t>Level 2</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283"/>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 (1)</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16,304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16,304</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 (2)</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52,413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52,413</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fair value of assets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68,717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16,304</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52,413</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lineRule="atLeast" w:line="160" w:before="0" w:after="40"/>
        <w:jc w:val="left"/>
        <w:rPr/>
      </w:pPr>
      <w:r>
        <w:rPr/>
        <w:t> </w:t>
      </w:r>
    </w:p>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(1)</w:t>
            </w:r>
          </w:p>
        </w:tc>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cash and cash equivalents on the balance sheets. </w:t>
            </w:r>
          </w:p>
        </w:tc>
      </w:tr>
    </w:tbl>
    <w:tbl>
      <w:tblPr>
        <w:tblW w:w="5020" w:type="dxa"/>
        <w:jc w:val="left"/>
        <w:tblInd w:w="0" w:type="dxa"/>
        <w:tblLayout w:type="fixed"/>
        <w:tblCellMar>
          <w:top w:w="0" w:type="dxa"/>
          <w:left w:w="0" w:type="dxa"/>
          <w:bottom w:w="0" w:type="dxa"/>
          <w:right w:w="0" w:type="dxa"/>
        </w:tblCellMar>
      </w:tblPr>
      <w:tblGrid>
        <w:gridCol w:w="305"/>
        <w:gridCol w:w="4715"/>
      </w:tblGrid>
      <w:tr>
        <w:trPr/>
        <w:tc>
          <w:tcPr>
            <w:tcW w:w="305" w:type="dxa"/>
            <w:tcBorders/>
            <w:vAlign w:val="center"/>
          </w:tcPr>
          <w:p>
            <w:pPr>
              <w:pStyle w:val="TableContents"/>
              <w:bidi w:val="0"/>
              <w:spacing w:before="0" w:after="283"/>
              <w:jc w:val="left"/>
              <w:rPr/>
            </w:pPr>
            <w:r>
              <w:rPr/>
              <w:t>(2)</w:t>
            </w:r>
          </w:p>
        </w:tc>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short-term investments on the balance sheets. </w:t>
            </w:r>
          </w:p>
        </w:tc>
      </w:tr>
    </w:tbl>
    <w:p>
      <w:pPr>
        <w:pStyle w:val="TextBody"/>
        <w:bidi w:val="0"/>
        <w:spacing w:before="0" w:after="0"/>
        <w:jc w:val="left"/>
        <w:rPr>
          <w:spacing w:val="0"/>
        </w:rPr>
      </w:pPr>
      <w:r>
        <w:rPr>
          <w:spacing w:val="0"/>
        </w:rPr>
        <w:t> </w:t>
      </w:r>
    </w:p>
    <w:tbl>
      <w:tblPr>
        <w:tblW w:w="7325" w:type="dxa"/>
        <w:jc w:val="left"/>
        <w:tblInd w:w="0" w:type="dxa"/>
        <w:tblLayout w:type="fixed"/>
        <w:tblCellMar>
          <w:top w:w="0" w:type="dxa"/>
          <w:left w:w="0" w:type="dxa"/>
          <w:bottom w:w="0" w:type="dxa"/>
          <w:right w:w="0" w:type="dxa"/>
        </w:tblCellMar>
      </w:tblPr>
      <w:tblGrid>
        <w:gridCol w:w="2630"/>
        <w:gridCol w:w="120"/>
        <w:gridCol w:w="140"/>
        <w:gridCol w:w="800"/>
        <w:gridCol w:w="60"/>
        <w:gridCol w:w="120"/>
        <w:gridCol w:w="183"/>
        <w:gridCol w:w="891"/>
        <w:gridCol w:w="78"/>
        <w:gridCol w:w="157"/>
        <w:gridCol w:w="183"/>
        <w:gridCol w:w="891"/>
        <w:gridCol w:w="78"/>
        <w:gridCol w:w="157"/>
        <w:gridCol w:w="264"/>
        <w:gridCol w:w="498"/>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0" w:type="dxa"/>
            <w:gridSpan w:val="10"/>
            <w:tcBorders/>
            <w:vAlign w:val="center"/>
          </w:tcPr>
          <w:p>
            <w:pPr>
              <w:pStyle w:val="TableContents"/>
              <w:bidi w:val="0"/>
              <w:spacing w:before="0" w:after="0"/>
              <w:jc w:val="center"/>
              <w:rPr>
                <w:b/>
                <w:spacing w:val="0"/>
              </w:rPr>
            </w:pPr>
            <w:r>
              <w:rPr>
                <w:b/>
                <w:spacing w:val="0"/>
              </w:rPr>
              <w:t>Fair Value Measurements Using</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 2025</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0"/>
              <w:jc w:val="center"/>
              <w:rPr>
                <w:b/>
                <w:spacing w:val="0"/>
              </w:rPr>
            </w:pPr>
            <w:r>
              <w:rPr>
                <w:b/>
                <w:spacing w:val="0"/>
              </w:rPr>
              <w:t>Level 1</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0"/>
              <w:jc w:val="center"/>
              <w:rPr>
                <w:b/>
                <w:spacing w:val="0"/>
              </w:rPr>
            </w:pPr>
            <w:r>
              <w:rPr>
                <w:b/>
                <w:spacing w:val="0"/>
              </w:rPr>
              <w:t>Level 2</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16,100</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 (2)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89,713</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fair value of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105,813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16,100</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89,713</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(1)</w:t>
            </w:r>
          </w:p>
        </w:tc>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cash and cash equivalents on the balance sheets. </w:t>
            </w:r>
          </w:p>
        </w:tc>
      </w:tr>
    </w:tbl>
    <w:tbl>
      <w:tblPr>
        <w:tblW w:w="5020" w:type="dxa"/>
        <w:jc w:val="left"/>
        <w:tblInd w:w="0" w:type="dxa"/>
        <w:tblLayout w:type="fixed"/>
        <w:tblCellMar>
          <w:top w:w="0" w:type="dxa"/>
          <w:left w:w="0" w:type="dxa"/>
          <w:bottom w:w="0" w:type="dxa"/>
          <w:right w:w="0" w:type="dxa"/>
        </w:tblCellMar>
      </w:tblPr>
      <w:tblGrid>
        <w:gridCol w:w="305"/>
        <w:gridCol w:w="4715"/>
      </w:tblGrid>
      <w:tr>
        <w:trPr/>
        <w:tc>
          <w:tcPr>
            <w:tcW w:w="305" w:type="dxa"/>
            <w:tcBorders/>
            <w:vAlign w:val="center"/>
          </w:tcPr>
          <w:p>
            <w:pPr>
              <w:pStyle w:val="TableContents"/>
              <w:bidi w:val="0"/>
              <w:spacing w:before="0" w:after="283"/>
              <w:jc w:val="left"/>
              <w:rPr/>
            </w:pPr>
            <w:r>
              <w:rPr/>
              <w:t>(2)</w:t>
            </w:r>
          </w:p>
        </w:tc>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short-term investments on the balance sheets.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money market funds are classified as Level 1 because they are valued using quoted market prices. The Company’s investments consist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securities and are classified as Level 2 because their value is based on valuations using significant inputs derived from or corroborated by observable market data. No Level 3 assets were held during the periods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transfers of assets between fair value levels for any period presented. </w:t>
      </w:r>
    </w:p>
    <w:p>
      <w:pPr>
        <w:pStyle w:val="TextBody"/>
        <w:bidi w:val="0"/>
        <w:spacing w:before="0" w:after="0"/>
        <w:jc w:val="left"/>
        <w:rPr>
          <w:spacing w:val="0"/>
        </w:rPr>
      </w:pPr>
      <w:r>
        <w:rPr>
          <w:spacing w:val="0"/>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spacing w:val="0"/>
              </w:rPr>
            </w:pPr>
            <w:r>
              <w:rPr>
                <w:b/>
                <w:spacing w:val="0"/>
              </w:rPr>
              <w:t>4.</w:t>
            </w:r>
          </w:p>
        </w:tc>
        <w:tc>
          <w:tcPr>
            <w:tcW w:w="10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investments accounted for as </w:t>
      </w:r>
      <w:r>
        <w:rPr>
          <w:rFonts w:ascii="Times New Roman" w:hAnsi="Times New Roman"/>
          <w:spacing w:val="0"/>
          <w:sz w:val="20"/>
        </w:rPr>
        <w:t>available-for-sale</w:t>
      </w:r>
      <w:r>
        <w:rPr>
          <w:rFonts w:ascii="Times New Roman" w:hAnsi="Times New Roman"/>
          <w:sz w:val="20"/>
        </w:rPr>
        <w:t xml:space="preserve"> securities (in thousands): </w:t>
      </w:r>
    </w:p>
    <w:p>
      <w:pPr>
        <w:pStyle w:val="TextBody"/>
        <w:bidi w:val="0"/>
        <w:spacing w:before="0" w:after="0"/>
        <w:jc w:val="left"/>
        <w:rPr>
          <w:spacing w:val="0"/>
        </w:rPr>
      </w:pPr>
      <w:r>
        <w:rPr>
          <w:spacing w:val="0"/>
        </w:rPr>
        <w:t> </w:t>
      </w:r>
    </w:p>
    <w:tbl>
      <w:tblPr>
        <w:tblW w:w="9030" w:type="dxa"/>
        <w:jc w:val="left"/>
        <w:tblInd w:w="0" w:type="dxa"/>
        <w:tblLayout w:type="fixed"/>
        <w:tblCellMar>
          <w:top w:w="0" w:type="dxa"/>
          <w:left w:w="0" w:type="dxa"/>
          <w:bottom w:w="0" w:type="dxa"/>
          <w:right w:w="0" w:type="dxa"/>
        </w:tblCellMar>
      </w:tblPr>
      <w:tblGrid>
        <w:gridCol w:w="3230"/>
        <w:gridCol w:w="120"/>
        <w:gridCol w:w="200"/>
        <w:gridCol w:w="975"/>
        <w:gridCol w:w="60"/>
        <w:gridCol w:w="120"/>
        <w:gridCol w:w="395"/>
        <w:gridCol w:w="735"/>
        <w:gridCol w:w="60"/>
        <w:gridCol w:w="120"/>
        <w:gridCol w:w="333"/>
        <w:gridCol w:w="797"/>
        <w:gridCol w:w="155"/>
        <w:gridCol w:w="120"/>
        <w:gridCol w:w="262"/>
        <w:gridCol w:w="1273"/>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5" w:type="dxa"/>
            <w:gridSpan w:val="14"/>
            <w:tcBorders/>
            <w:vAlign w:val="center"/>
          </w:tcPr>
          <w:p>
            <w:pPr>
              <w:pStyle w:val="TableContents"/>
              <w:bidi w:val="0"/>
              <w:spacing w:before="0" w:after="283"/>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spacing w:val="0"/>
              </w:rPr>
            </w:pPr>
            <w:r>
              <w:rPr>
                <w:b/>
                <w:spacing w:val="0"/>
              </w:rPr>
              <w:t>Acquisition</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Gain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Loss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pacing w:val="0"/>
              </w:rPr>
            </w:pPr>
            <w:r>
              <w:rPr>
                <w:b/>
                <w:spacing w:val="0"/>
              </w:rPr>
              <w:t>Estimated Fair</w:t>
              <w:br/>
              <w:t>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16,304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16,304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52,445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52,413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68,749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68,717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Classified as: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16,304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52,413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68,717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935" w:type="dxa"/>
        <w:jc w:val="left"/>
        <w:tblInd w:w="0" w:type="dxa"/>
        <w:tblLayout w:type="fixed"/>
        <w:tblCellMar>
          <w:top w:w="0" w:type="dxa"/>
          <w:left w:w="0" w:type="dxa"/>
          <w:bottom w:w="0" w:type="dxa"/>
          <w:right w:w="0" w:type="dxa"/>
        </w:tblCellMar>
      </w:tblPr>
      <w:tblGrid>
        <w:gridCol w:w="3230"/>
        <w:gridCol w:w="120"/>
        <w:gridCol w:w="175"/>
        <w:gridCol w:w="1000"/>
        <w:gridCol w:w="60"/>
        <w:gridCol w:w="120"/>
        <w:gridCol w:w="395"/>
        <w:gridCol w:w="735"/>
        <w:gridCol w:w="60"/>
        <w:gridCol w:w="120"/>
        <w:gridCol w:w="395"/>
        <w:gridCol w:w="735"/>
        <w:gridCol w:w="60"/>
        <w:gridCol w:w="120"/>
        <w:gridCol w:w="228"/>
        <w:gridCol w:w="130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10" w:type="dxa"/>
            <w:gridSpan w:val="14"/>
            <w:tcBorders/>
            <w:vAlign w:val="center"/>
          </w:tcPr>
          <w:p>
            <w:pPr>
              <w:pStyle w:val="TableContents"/>
              <w:bidi w:val="0"/>
              <w:spacing w:before="0" w:after="283"/>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spacing w:val="0"/>
              </w:rPr>
            </w:pPr>
            <w:r>
              <w:rPr>
                <w:b/>
                <w:spacing w:val="0"/>
              </w:rPr>
              <w:t>Acquisition</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Gain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pacing w:val="0"/>
              </w:rPr>
            </w:pPr>
            <w:r>
              <w:rPr>
                <w:b/>
                <w:spacing w:val="0"/>
              </w:rPr>
              <w:t>Unrealized</w:t>
              <w:br/>
              <w:t>Loss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pacing w:val="0"/>
              </w:rPr>
            </w:pPr>
            <w:r>
              <w:rPr>
                <w:b/>
                <w:spacing w:val="0"/>
              </w:rPr>
              <w:t>Estimated Fair</w:t>
              <w:br/>
              <w:t>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16,100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16,100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obligations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89,649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89,713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105,749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105,813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Classified as: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16,100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89,713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equivalents and investments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105,813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On June 30, 2026 and December 31, 2025, the remaining contractual maturities of all the Company’s </w:t>
      </w:r>
    </w:p>
    <w:p>
      <w:pPr>
        <w:pStyle w:val="TextBody"/>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0" w:after="0"/>
        <w:jc w:val="left"/>
        <w:rPr>
          <w:rFonts w:ascii="Times New Roman" w:hAnsi="Times New Roman"/>
          <w:sz w:val="20"/>
        </w:rPr>
      </w:pPr>
      <w:r>
        <w:rPr>
          <w:rFonts w:ascii="Times New Roman" w:hAnsi="Times New Roman"/>
          <w:sz w:val="20"/>
        </w:rPr>
        <w:t xml:space="preserve">investments were less than 12 months. As of June 30, 2026 and December 31, 2025, the Company has not established an allowance for credit losses for any of its </w:t>
      </w:r>
    </w:p>
    <w:p>
      <w:pPr>
        <w:pStyle w:val="TextBody"/>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0" w:after="0"/>
        <w:jc w:val="left"/>
        <w:rPr>
          <w:rFonts w:ascii="Times New Roman" w:hAnsi="Times New Roman"/>
          <w:sz w:val="20"/>
        </w:rPr>
      </w:pPr>
      <w:r>
        <w:rPr>
          <w:rFonts w:ascii="Times New Roman" w:hAnsi="Times New Roman"/>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there were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eighteen 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securities with an estimated fair value of $49.4 million in gross unrealized loss positions. As of December 31, 2025, there were 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securities in a gross unrealized loss position. Based on its review of these investments, the Company believes that the unrealized losses are attributable to changes in market interest rates and not to credit-related factors and therefore were not other-than-temporary in nature. </w:t>
      </w:r>
    </w:p>
    <w:p>
      <w:pPr>
        <w:pStyle w:val="TextBody"/>
        <w:bidi w:val="0"/>
        <w:spacing w:before="0" w:after="0"/>
        <w:jc w:val="left"/>
        <w:rPr>
          <w:spacing w:val="0"/>
        </w:rPr>
      </w:pPr>
      <w:r>
        <w:rPr>
          <w:spacing w:val="0"/>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b/>
                <w:spacing w:val="0"/>
              </w:rPr>
            </w:pPr>
            <w:r>
              <w:rPr>
                <w:b/>
                <w:spacing w:val="0"/>
              </w:rPr>
              <w:t>5.</w:t>
            </w:r>
          </w:p>
        </w:tc>
        <w:tc>
          <w:tcPr>
            <w:tcW w:w="21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Property and Equipment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consisted of the following (in thousands): </w:t>
      </w:r>
    </w:p>
    <w:p>
      <w:pPr>
        <w:pStyle w:val="TextBody"/>
        <w:bidi w:val="0"/>
        <w:spacing w:before="0" w:after="0"/>
        <w:jc w:val="left"/>
        <w:rPr>
          <w:spacing w:val="0"/>
        </w:rPr>
      </w:pPr>
      <w:r>
        <w:rPr>
          <w:spacing w:val="0"/>
        </w:rPr>
        <w:t> </w:t>
      </w:r>
    </w:p>
    <w:tbl>
      <w:tblPr>
        <w:tblW w:w="6630" w:type="dxa"/>
        <w:jc w:val="left"/>
        <w:tblInd w:w="0" w:type="dxa"/>
        <w:tblLayout w:type="fixed"/>
        <w:tblCellMar>
          <w:top w:w="0" w:type="dxa"/>
          <w:left w:w="0" w:type="dxa"/>
          <w:bottom w:w="0" w:type="dxa"/>
          <w:right w:w="0" w:type="dxa"/>
        </w:tblCellMar>
      </w:tblPr>
      <w:tblGrid>
        <w:gridCol w:w="3965"/>
        <w:gridCol w:w="120"/>
        <w:gridCol w:w="175"/>
        <w:gridCol w:w="700"/>
        <w:gridCol w:w="60"/>
        <w:gridCol w:w="120"/>
        <w:gridCol w:w="283"/>
        <w:gridCol w:w="1132"/>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b/>
                <w:spacing w:val="0"/>
              </w:rPr>
              <w:t>As of</w:t>
            </w:r>
            <w:r>
              <w:rPr/>
              <w:br/>
            </w:r>
            <w:r>
              <w:rPr>
                <w:b/>
                <w:spacing w:val="0"/>
              </w:rPr>
              <w:t>June 30,</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b/>
                <w:spacing w:val="0"/>
              </w:rPr>
              <w:t>As of</w:t>
            </w:r>
            <w:r>
              <w:rPr/>
              <w:br/>
            </w: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 equipment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4,373</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Computers and software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903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896</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1,853</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property and equipment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3,595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8,176</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 and amortization</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3,498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4,960</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3,216</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Depreciation and amortization expense related to property and equipment was $1.3 million and $1.5 million for the three and six months ended June 30, 2026, respectively, and $0.3 million and $0.6 million for the three and six months ended June 30, 2025, respectively. </w:t>
      </w:r>
    </w:p>
    <w:p>
      <w:pPr>
        <w:pStyle w:val="TextBody"/>
        <w:bidi w:val="0"/>
        <w:spacing w:before="240" w:after="0"/>
        <w:jc w:val="left"/>
        <w:rPr>
          <w:rFonts w:ascii="Times New Roman" w:hAnsi="Times New Roman"/>
          <w:sz w:val="20"/>
        </w:rPr>
      </w:pPr>
      <w:r>
        <w:rPr>
          <w:rFonts w:ascii="Times New Roman" w:hAnsi="Times New Roman"/>
          <w:sz w:val="20"/>
        </w:rPr>
        <w:t>In connection with the termination of the Company’s headquarters lease effective May 31, 2026 (see Note 7—</w:t>
      </w:r>
      <w:r>
        <w:rPr>
          <w:rFonts w:ascii="Times New Roman" w:hAnsi="Times New Roman"/>
          <w:i/>
          <w:caps w:val="false"/>
          <w:smallCaps w:val="false"/>
          <w:spacing w:val="0"/>
          <w:sz w:val="20"/>
        </w:rPr>
        <w:t>Lease Agreements</w:t>
      </w:r>
      <w:r>
        <w:rPr>
          <w:rFonts w:ascii="Times New Roman" w:hAnsi="Times New Roman"/>
          <w:sz w:val="20"/>
        </w:rPr>
        <w:t xml:space="preserve">), the Company shortened the estimated useful lives of the leasehold improvements at that facility to coincide with the termination date. This change in estimate resulted in additional depreciation expense of approximately $0.8 million during the three and six months ended June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Separately, in connection with the Merger and the Company’s decision to wind down its research and development activities, the Company reassessed the estimated useful lives of certain property and equipment that are no longer expected to be used over their previously estimated service periods. As a result of shortening these useful lives, the Company recognized additional accelerated depreciation of approximately $0.3 million during the three and six months ended June 30, 2026, which is included in operating expenses in the condensed statements of operations and comprehensive loss.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same facility exit, the Company determined that certain furniture and fixtures and laboratory equipment located at the facility would not be relocated and would be disposed of. The Company concluded these circumstances indicated that the carrying amounts of the affected assets may not be recoverable and, as the assets were not expected to generate future cash flows, wrote them down to their estimated fair value. The Company recognized impairment losses of $1.4 million on furniture and fixtures and $0.2 million on laboratory equipment, totaling $1.6 million, for the three and six months ended June 30, 2026, of which approximately $1.1 million was recorded in research and development expense and approximately $0.5 million was recorded in general and administrative expense in the condensed statements of operations and comprehensive loss. No impairment losses were recognized for the three and six months ended June 30,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tbl>
      <w:tblPr>
        <w:tblW w:w="3820" w:type="dxa"/>
        <w:jc w:val="left"/>
        <w:tblInd w:w="0" w:type="dxa"/>
        <w:tblLayout w:type="fixed"/>
        <w:tblCellMar>
          <w:top w:w="0" w:type="dxa"/>
          <w:left w:w="0" w:type="dxa"/>
          <w:bottom w:w="0" w:type="dxa"/>
          <w:right w:w="0" w:type="dxa"/>
        </w:tblCellMar>
      </w:tblPr>
      <w:tblGrid>
        <w:gridCol w:w="215"/>
        <w:gridCol w:w="3605"/>
      </w:tblGrid>
      <w:tr>
        <w:trPr/>
        <w:tc>
          <w:tcPr>
            <w:tcW w:w="215" w:type="dxa"/>
            <w:tcBorders/>
            <w:vAlign w:val="center"/>
          </w:tcPr>
          <w:p>
            <w:pPr>
              <w:pStyle w:val="TableContents"/>
              <w:bidi w:val="0"/>
              <w:spacing w:before="0" w:after="283"/>
              <w:jc w:val="left"/>
              <w:rPr>
                <w:b/>
                <w:spacing w:val="0"/>
              </w:rPr>
            </w:pPr>
            <w:r>
              <w:rPr>
                <w:b/>
                <w:spacing w:val="0"/>
              </w:rPr>
              <w:t>6.</w:t>
            </w:r>
          </w:p>
        </w:tc>
        <w:tc>
          <w:tcPr>
            <w:tcW w:w="36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Accounts Payable and Accrued Liabilities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Accounts payable and accrued liabilities consisted of the following (in thousands): </w:t>
      </w:r>
    </w:p>
    <w:p>
      <w:pPr>
        <w:pStyle w:val="TextBody"/>
        <w:bidi w:val="0"/>
        <w:spacing w:before="0" w:after="0"/>
        <w:jc w:val="left"/>
        <w:rPr>
          <w:spacing w:val="0"/>
        </w:rPr>
      </w:pPr>
      <w:r>
        <w:rPr>
          <w:spacing w:val="0"/>
        </w:rPr>
        <w:t> </w:t>
      </w:r>
    </w:p>
    <w:tbl>
      <w:tblPr>
        <w:tblW w:w="6435" w:type="dxa"/>
        <w:jc w:val="left"/>
        <w:tblInd w:w="0" w:type="dxa"/>
        <w:tblLayout w:type="fixed"/>
        <w:tblCellMar>
          <w:top w:w="0" w:type="dxa"/>
          <w:left w:w="0" w:type="dxa"/>
          <w:bottom w:w="0" w:type="dxa"/>
          <w:right w:w="0" w:type="dxa"/>
        </w:tblCellMar>
      </w:tblPr>
      <w:tblGrid>
        <w:gridCol w:w="3770"/>
        <w:gridCol w:w="120"/>
        <w:gridCol w:w="175"/>
        <w:gridCol w:w="700"/>
        <w:gridCol w:w="60"/>
        <w:gridCol w:w="120"/>
        <w:gridCol w:w="283"/>
        <w:gridCol w:w="1132"/>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b/>
                <w:spacing w:val="0"/>
              </w:rPr>
              <w:t>As of</w:t>
            </w:r>
            <w:r>
              <w:rPr/>
              <w:br/>
            </w:r>
            <w:r>
              <w:rPr>
                <w:b/>
                <w:spacing w:val="0"/>
              </w:rPr>
              <w:t>June 30,</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b/>
                <w:spacing w:val="0"/>
              </w:rPr>
              <w:t>As of</w:t>
            </w:r>
            <w:r>
              <w:rPr/>
              <w:br/>
            </w: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1,491</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1,878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4,719</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liabilities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517</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accounts payable and accrued liabilities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4,995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6,727</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b/>
                <w:spacing w:val="0"/>
              </w:rPr>
            </w:pPr>
            <w:r>
              <w:rPr>
                <w:b/>
                <w:spacing w:val="0"/>
              </w:rPr>
              <w:t>7.</w:t>
            </w:r>
          </w:p>
        </w:tc>
        <w:tc>
          <w:tcPr>
            <w:tcW w:w="16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 Agreements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2024 Lease </w:t>
      </w:r>
    </w:p>
    <w:p>
      <w:pPr>
        <w:pStyle w:val="TextBody"/>
        <w:bidi w:val="0"/>
        <w:spacing w:before="120" w:after="0"/>
        <w:jc w:val="left"/>
        <w:rPr>
          <w:rFonts w:ascii="Times New Roman" w:hAnsi="Times New Roman"/>
          <w:sz w:val="20"/>
        </w:rPr>
      </w:pPr>
      <w:r>
        <w:rPr>
          <w:rFonts w:ascii="Times New Roman" w:hAnsi="Times New Roman"/>
          <w:sz w:val="20"/>
        </w:rPr>
        <w:t xml:space="preserve">The Company was a party to a </w:t>
      </w:r>
      <w:r>
        <w:rPr>
          <w:rFonts w:ascii="Times New Roman" w:hAnsi="Times New Roman"/>
          <w:spacing w:val="0"/>
          <w:sz w:val="20"/>
        </w:rPr>
        <w:t>non-cancellable</w:t>
      </w:r>
      <w:r>
        <w:rPr>
          <w:rFonts w:ascii="Times New Roman" w:hAnsi="Times New Roman"/>
          <w:sz w:val="20"/>
        </w:rPr>
        <w:t xml:space="preserve"> facility lease for approximately 80,168 square feet of laboratory and office space in San Diego, California (the 2024 Lease). The 2024 Lease had an initial lease term of 120 months, which commenced in November 2024, and provided the Company with the right to extend the term for an additional 60 months at expiry, which was not included in the lease term used for measurement. The 2024 Lease included obligations to make base rent payments and additional variable lease payments for the Company’s allocated share of variable costs associated with the operation and management of the property, which included utilities, property taxes, common area maintenance, and amenities costs. The 2024 Lease provided for a rent abatement period through July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an operating lease liability based on the present value of the lease payments using an estimated incremental borrowing rate of approximately 8.3%, as the 2024 Lease did not have a stated rate and the implicit rate was not readily determinable, and a corresponding </w:t>
      </w:r>
      <w:r>
        <w:rPr>
          <w:rFonts w:ascii="Times New Roman" w:hAnsi="Times New Roman"/>
          <w:spacing w:val="0"/>
          <w:sz w:val="20"/>
        </w:rPr>
        <w:t>right-of-use</w:t>
      </w:r>
      <w:r>
        <w:rPr>
          <w:rFonts w:ascii="Times New Roman" w:hAnsi="Times New Roman"/>
          <w:sz w:val="20"/>
        </w:rPr>
        <w:t xml:space="preserve"> (ROU) asset. Management exercised judgment in estimating the incremental borrowing rate and in determining the lease term. The renewal option was evaluated at lease commencement and excluded from the lease term, as the Company was not reasonably certain to exercise the option.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was required to maintain a security deposit under the 2024 Lease in the form of a standby letter of credit, which was collateralized by a restricted cash deposit of approximately $0.5 million. In April 2026, in connection with the termination described below, the Landlord drew on the letter of credit, and the related restricted cash was released. As of June 30, 2026, the Company had no restricted cash associated with the 2024 Lease.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 Termination and Facility Exit Costs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entered into an Agreement for Termination of Lease and Voluntary Surrender of Premises (the Termination Agreement) with </w:t>
      </w:r>
      <w:r>
        <w:rPr>
          <w:rFonts w:ascii="Times New Roman" w:hAnsi="Times New Roman"/>
          <w:spacing w:val="0"/>
          <w:sz w:val="20"/>
        </w:rPr>
        <w:t>ARE-10933</w:t>
      </w:r>
      <w:r>
        <w:rPr>
          <w:rFonts w:ascii="Times New Roman" w:hAnsi="Times New Roman"/>
          <w:sz w:val="20"/>
        </w:rPr>
        <w:t xml:space="preserve"> North Torrey Pines, LLC (the Landlord), pursuant to which the parties agreed to terminate the 2024 Lease for the Company’s headquarters facility, located at 10955 Alexandria Way, San Diego, California, effective May 31, 2026. The original lease term, which would have run through October 2034, was shortened by approximately 100 months. In connection with the early termination, the Company paid a </w:t>
      </w:r>
      <w:r>
        <w:rPr>
          <w:rFonts w:ascii="Times New Roman" w:hAnsi="Times New Roman"/>
          <w:spacing w:val="0"/>
          <w:sz w:val="20"/>
        </w:rPr>
        <w:t>non-refundable</w:t>
      </w:r>
      <w:r>
        <w:rPr>
          <w:rFonts w:ascii="Times New Roman" w:hAnsi="Times New Roman"/>
          <w:sz w:val="20"/>
        </w:rPr>
        <w:t xml:space="preserve"> termination payment of $10.0 million to the Landlord on April 10, 2026, and the Landlord retained the Company’s security deposit (in the form of a letter of credit) of approximately $0.5 million. Total termination consideration was $10.5 </w:t>
      </w:r>
      <w:r>
        <w:rPr>
          <w:rFonts w:ascii="Times New Roman" w:hAnsi="Times New Roman"/>
          <w:spacing w:val="0"/>
          <w:sz w:val="20"/>
        </w:rPr>
        <w:t xml:space="preserve">million.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early termination was accounted for as a lease modification that shortened the lease term under ASC 842. As of the modification date, the Company remeasured the lease liability to $11.7 million, representing the present value of the remaining lease payments, including the $10.5 million termination consideration, and reduced the ROU asset by an amount equal to the change in the lease liability. Because the ROU asset remained positive after the adjustment, no gain or loss was recognized at the modification date. The termination consideration is recognized as operating lease cost over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two-month</w:t>
      </w:r>
    </w:p>
    <w:p>
      <w:pPr>
        <w:pStyle w:val="TextBody"/>
        <w:bidi w:val="0"/>
        <w:spacing w:before="0" w:after="0"/>
        <w:jc w:val="left"/>
        <w:rPr>
          <w:rFonts w:ascii="Times New Roman" w:hAnsi="Times New Roman"/>
          <w:sz w:val="20"/>
        </w:rPr>
      </w:pPr>
      <w:r>
        <w:rPr>
          <w:rFonts w:ascii="Times New Roman" w:hAnsi="Times New Roman"/>
          <w:sz w:val="20"/>
        </w:rPr>
        <w:t xml:space="preserve">wind-down period ended May 31, 2026 through amortization of the modified ROU asset, resulting in wind-down operating lease cost of $6.2 million included in operating expenses in the condensed statements of operations for the three and six months ended June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early termination, the Company shortened the estimated useful lives of leasehold improvements at the facility to coincide with the May 31, 2026 termination date, resulting in accelerated depreciation of approximately $0.8 million included in operating expenses in the condensed statements of operations. The Company also recognized impairment losses on furniture and fixtures of $1.4 million and laboratory equipment of $0.2 million, as these assets will not be relocated from the facility. These impairment losses, totaling $1.6 million, are included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operating expenses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condensed statements of operations for the three and six months ended June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outflows related to the early termination and wind-down totaled approximately $11.2 million during the six months ended June 30, 2026, consisting of the $10.0 million termination payment and $1.2 million of monthly rent for the April–May wind-down period, and are classified within operating activities in the condensed statements of cash flows. The Landlord’s $0.5 million draw on the letter of credit collateralizing the Company’s security deposit is reflected as a reduction in restricted cash within the reconciliation of cash, cash equivalents, and restricted cash.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By the May 31, 2026 termination date, the modified ROU asset had been fully amortized and the modified operating lease liability had been fully settled. Accordingly, the Company had no ROU asset or operating lease liability related to the 2024 Lease as of June 30,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Headquarters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April 2026, the Company entered into a lease for approximately 10,822 square feet of office and laboratory space in La Jolla, California (the 2026 Lease), to serve as its successor headquarters facility. The 2026 Lease has a term of 12 months and provides for fixed rent of approximately $56,000 per month, with the Company’s allocated share of operating costs (including utilities, property taxes, common area maintenance, and similar charges) treated as variable lease payments. The Company paid a security deposit of approximately $77,000, which is recorded within prepaid expenses and other current assets in the condensed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Because the 2026 Lease has a term of 12 months or less and does not include an option to purchase the underlying asset that the Company is reasonably certain to exercise, the Company elected the short-term lease exception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842-20-25-2.</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did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w:t>
      </w:r>
    </w:p>
    <w:p>
      <w:pPr>
        <w:pStyle w:val="TextBody"/>
        <w:bidi w:val="0"/>
        <w:spacing w:before="240" w:after="0"/>
        <w:jc w:val="left"/>
        <w:rPr>
          <w:rFonts w:ascii="Times New Roman" w:hAnsi="Times New Roman"/>
          <w:sz w:val="20"/>
        </w:rPr>
      </w:pPr>
      <w:r>
        <w:rPr>
          <w:rFonts w:ascii="Times New Roman" w:hAnsi="Times New Roman"/>
          <w:sz w:val="20"/>
        </w:rPr>
        <w:t xml:space="preserve">record a ROU asset or lease liability for the 2026 Lease and recognizes lease payments as short-term lease cost on a straight-line basis over the lease term.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 Cost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Lease expense for the three months ended June 30, 2026 and 2025 totaled approximately $6.7 million and $2.4 million, respectively, consisting of operating lease cost of approximately $6.2 million and $1.8 million,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short-term lease cost of approximately $46,000 and $0, and variable lease cost of approximately $0.4 million and $0.6 million, respectively. Lease expense for the six months ended June 30, 2026 and 2025 totaled approximately $9.2 million and $4.7 million, respectively, consisting of operating lease cost of approximately $8.1 million and $3.7 million, short-term lease cost of approximately $46,000 and $0, and variable lease cost of approximately $1.1 million and $1.0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paid approximately $13.4 million and $0.1 million for amounts included in the measurement of its operating lease liabilities for the six months ended June 30, 2026 and 2025, respectively (2026 consisting of the $10.5 million termination consideration and $2.9 million of monthly rent); all such amounts were included within operating activities in the condensed statements of 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June 30, 2026, the Company had no operating lease ROU assets or operating lease liabilities recorded in its condensed balance sheet, as the 2024 Lease was terminated effective May 31, 2026 and the 2026 Lease qualifies for the short-term lease exception. Accordingly, the Company had no future undiscounted operating lease payment obligations, weighted-average remaining lease term, or weighted-average discount rate to disclose as of June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 2024 Lease was the Company’s only lease. The operating lease liability was $49.0 million, the weighted-average remaining lease term was 8.8 years, and the weighted-average discount rate was 8.3%. </w:t>
      </w:r>
    </w:p>
    <w:p>
      <w:pPr>
        <w:pStyle w:val="TextBody"/>
        <w:bidi w:val="0"/>
        <w:spacing w:before="0" w:after="0"/>
        <w:jc w:val="left"/>
        <w:rPr>
          <w:spacing w:val="0"/>
        </w:rPr>
      </w:pPr>
      <w:r>
        <w:rPr>
          <w:spacing w:val="0"/>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283"/>
              <w:jc w:val="left"/>
              <w:rPr>
                <w:b/>
                <w:spacing w:val="0"/>
              </w:rPr>
            </w:pPr>
            <w:r>
              <w:rPr>
                <w:b/>
                <w:spacing w:val="0"/>
              </w:rPr>
              <w:t>8.</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its officers and members of its board of directors that require the Company, among other things, to indemnify them against certain liabilities that may arise by reason of their status or service as officers or directors. The maximum potential future payments the Company could be required to make under these indemnification agreements is, in many cases, unlimited. To date, the Company has not incurred any material costs because of these indemnification agreements. The Company has not accrued any liabilities related to such indemnification agreements in its financial statements as of June 30, 2026 or December 31, 2025 because it determined the likelihood of incurring a payment obligation pursuant to such agreements was not probable.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six months ended June 30, 2026 or the year ended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283"/>
              <w:jc w:val="left"/>
              <w:rPr>
                <w:b/>
                <w:spacing w:val="0"/>
              </w:rPr>
            </w:pPr>
            <w:r>
              <w:rPr>
                <w:b/>
                <w:spacing w:val="0"/>
              </w:rPr>
              <w:t>9.</w:t>
            </w:r>
          </w:p>
        </w:tc>
        <w:tc>
          <w:tcPr>
            <w:tcW w:w="13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Common Stock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Reserved for Future Issuance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Common stock reserved for future issuance consisted of the following (in thousands): </w:t>
      </w:r>
    </w:p>
    <w:p>
      <w:pPr>
        <w:pStyle w:val="TextBody"/>
        <w:bidi w:val="0"/>
        <w:spacing w:before="0" w:after="0"/>
        <w:jc w:val="left"/>
        <w:rPr>
          <w:spacing w:val="0"/>
        </w:rPr>
      </w:pPr>
      <w:r>
        <w:rPr>
          <w:spacing w:val="0"/>
        </w:rPr>
        <w:t> </w:t>
      </w:r>
    </w:p>
    <w:tbl>
      <w:tblPr>
        <w:tblW w:w="9945" w:type="dxa"/>
        <w:jc w:val="left"/>
        <w:tblInd w:w="0" w:type="dxa"/>
        <w:tblLayout w:type="fixed"/>
        <w:tblCellMar>
          <w:top w:w="0" w:type="dxa"/>
          <w:left w:w="0" w:type="dxa"/>
          <w:bottom w:w="0" w:type="dxa"/>
          <w:right w:w="0" w:type="dxa"/>
        </w:tblCellMar>
      </w:tblPr>
      <w:tblGrid>
        <w:gridCol w:w="6110"/>
        <w:gridCol w:w="120"/>
        <w:gridCol w:w="141"/>
        <w:gridCol w:w="1319"/>
        <w:gridCol w:w="60"/>
        <w:gridCol w:w="120"/>
        <w:gridCol w:w="193"/>
        <w:gridCol w:w="1807"/>
        <w:gridCol w:w="75"/>
      </w:tblGrid>
      <w:tr>
        <w:trPr/>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spacing w:val="0"/>
              </w:rPr>
            </w:pPr>
            <w:r>
              <w:rPr>
                <w:b/>
                <w:spacing w:val="0"/>
              </w:rPr>
              <w:t>As of June 30,</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center"/>
              <w:rPr>
                <w:b/>
                <w:spacing w:val="0"/>
              </w:rPr>
            </w:pPr>
            <w:r>
              <w:rPr>
                <w:b/>
                <w:spacing w:val="0"/>
              </w:rPr>
              <w:t>As of December 31,</w:t>
              <w:br/>
              <w:t>2025</w:t>
            </w:r>
          </w:p>
        </w:tc>
        <w:tc>
          <w:tcPr>
            <w:tcW w:w="75"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exercise of stock options issued and outstanding</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4,234</w:t>
            </w:r>
          </w:p>
        </w:tc>
        <w:tc>
          <w:tcPr>
            <w:tcW w:w="75" w:type="dxa"/>
            <w:tcBorders/>
            <w:shd w:fill="CCEEFF" w:val="clear"/>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future issuance under the equity incentive plan</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3,348</w:t>
            </w:r>
          </w:p>
        </w:tc>
        <w:tc>
          <w:tcPr>
            <w:tcW w:w="75"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future issuance under the employee stock purchase plan</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303</w:t>
            </w:r>
          </w:p>
        </w:tc>
        <w:tc>
          <w:tcPr>
            <w:tcW w:w="75" w:type="dxa"/>
            <w:tcBorders/>
            <w:shd w:fill="CCEEFF" w:val="clear"/>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9,162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7,885</w:t>
            </w:r>
          </w:p>
        </w:tc>
        <w:tc>
          <w:tcPr>
            <w:tcW w:w="75"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283"/>
              <w:jc w:val="left"/>
              <w:rPr>
                <w:b/>
                <w:spacing w:val="0"/>
              </w:rPr>
            </w:pPr>
            <w:r>
              <w:rPr>
                <w:b/>
                <w:spacing w:val="0"/>
              </w:rPr>
              <w:t>10.</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Company’s board of directors adopted, and the Company’s stockholders approved, the 2024 Incentive Award Plan (the Plan), which became effective in connection with the IPO and has a term of ten years. As of June 30, 2026, a total of 5,068,078 shares of common stock were authorized for issuance under the Plan, which includes a January 1, 2026 increase of 1,120,362 shares, pursuant to the evergreen provision of the Plan. See Note 10 to the audited financial statements included in the Company’s 2025 </w:t>
      </w:r>
      <w:r>
        <w:rPr>
          <w:rFonts w:ascii="Times New Roman" w:hAnsi="Times New Roman"/>
          <w:spacing w:val="0"/>
          <w:sz w:val="20"/>
        </w:rPr>
        <w:t>10-K</w:t>
      </w:r>
      <w:r>
        <w:rPr>
          <w:rFonts w:ascii="Times New Roman" w:hAnsi="Times New Roman"/>
          <w:sz w:val="20"/>
        </w:rPr>
        <w:t xml:space="preserve"> for a description of the evergreen provision of the Plan. On June 30, 2026, 2,724,148 of these shares were available for grant under the Plan.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Repricing of Outstanding Options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June 30, 2026, Repriced Options to purchase up to an aggregate of 2,208,476 shares of the Company’s common stock remained outstanding. See Note 10 to the audited financial statements included in the Company’s 2025 </w:t>
      </w:r>
      <w:r>
        <w:rPr>
          <w:rFonts w:ascii="Times New Roman" w:hAnsi="Times New Roman"/>
          <w:spacing w:val="0"/>
          <w:sz w:val="20"/>
        </w:rPr>
        <w:t>10-K</w:t>
      </w:r>
      <w:r>
        <w:rPr>
          <w:rFonts w:ascii="Times New Roman" w:hAnsi="Times New Roman"/>
          <w:sz w:val="20"/>
        </w:rPr>
        <w:t xml:space="preserve"> for a description of the 2024 Repricing.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Option Modifications in Connection with the Merger </w:t>
      </w:r>
    </w:p>
    <w:p>
      <w:pPr>
        <w:pStyle w:val="TextBody"/>
        <w:bidi w:val="0"/>
        <w:spacing w:before="120" w:after="0"/>
        <w:jc w:val="left"/>
        <w:rPr>
          <w:rFonts w:ascii="Times New Roman" w:hAnsi="Times New Roman"/>
          <w:sz w:val="20"/>
        </w:rPr>
      </w:pPr>
      <w:r>
        <w:rPr>
          <w:rFonts w:ascii="Times New Roman" w:hAnsi="Times New Roman"/>
          <w:sz w:val="20"/>
        </w:rPr>
        <w:t>On June 22, 2026, in connection with the entry into the Merger Agreement (see Note 1—</w:t>
      </w:r>
      <w:r>
        <w:rPr>
          <w:rFonts w:ascii="Times New Roman" w:hAnsi="Times New Roman"/>
          <w:i/>
          <w:caps w:val="false"/>
          <w:smallCaps w:val="false"/>
          <w:spacing w:val="0"/>
          <w:sz w:val="20"/>
        </w:rPr>
        <w:t>Organization and Basis of Presentation</w:t>
      </w:r>
      <w:r>
        <w:rPr>
          <w:rFonts w:ascii="Times New Roman" w:hAnsi="Times New Roman"/>
          <w:sz w:val="20"/>
        </w:rPr>
        <w:t xml:space="preserve">), the Company amended all outstanding stock options granted under the Plan and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Predecessor Plan. The amendment (i) accelerated the vesting of all unvested options such that they became fully vested and exercisable as of June 22, 2026, (ii) extended the post-termination exercise period of the options until the later of (A) March 31, 2027 or, if the closing of the Merger occurs prior to that date, the date three months following the closing of the Merger, and (B) such later date provided in the applicable option agreement, and (iii) accelerated the premium end date applicable to the Repriced Options under the 2024 Repricing to June 22, 2026. The amendment affected options to purchase 5,945,008 shares of common stock held by 48 holders.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accounted for the amendment as a modification under ASC 718 and recognized $2.0 million of stock-based compensation expense in connection with the amendment during the three and six months ended June 30, 2026, of which $1.5 million was recorded in general and administrative expense and $0.5 million was recorded in research and development expense. Total incremental compensation cost resulting from the modification was $0.4 million. The remainder consists of previously unrecognized compensation cost accelerated by the amendment, net of compensation cost previously recognized for options that were not expected to vest under their original terms, and of compensation cost measured at the modification-date fair value of those options. Fair values were estimated using a Black-Scholes option-pricing model with the following weighted-average assumptions as of the modification date: expected term of 0.8 years, expected volatility of 98.8%, risk-free interest rate of 4.0%, and expected dividend yield of 0%.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 option activity under the Plan and the Predecessor Plan and certain other related information is as follows (in thousands except weighted-average exercise price and remaining term):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505"/>
        <w:gridCol w:w="120"/>
        <w:gridCol w:w="84"/>
        <w:gridCol w:w="791"/>
        <w:gridCol w:w="155"/>
        <w:gridCol w:w="120"/>
        <w:gridCol w:w="464"/>
        <w:gridCol w:w="1461"/>
        <w:gridCol w:w="60"/>
        <w:gridCol w:w="120"/>
        <w:gridCol w:w="303"/>
        <w:gridCol w:w="1622"/>
        <w:gridCol w:w="60"/>
        <w:gridCol w:w="120"/>
        <w:gridCol w:w="229"/>
        <w:gridCol w:w="916"/>
        <w:gridCol w:w="75"/>
      </w:tblGrid>
      <w:tr>
        <w:trPr/>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pacing w:val="0"/>
              </w:rPr>
            </w:pPr>
            <w:r>
              <w:rPr>
                <w:b/>
                <w:spacing w:val="0"/>
              </w:rPr>
              <w:t>Number</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spacing w:val="0"/>
              </w:rPr>
            </w:pPr>
            <w:r>
              <w:rPr>
                <w:b/>
                <w:spacing w:val="0"/>
              </w:rPr>
              <w:t>Weighted-Average</w:t>
              <w:b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spacing w:val="0"/>
              </w:rPr>
            </w:pPr>
            <w:r>
              <w:rPr>
                <w:b/>
                <w:spacing w:val="0"/>
              </w:rPr>
              <w:t>Weighted-Average</w:t>
              <w:br/>
              <w:t>Remaining</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4,234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w:t>
            </w:r>
          </w:p>
        </w:tc>
        <w:tc>
          <w:tcPr>
            <w:tcW w:w="1461" w:type="dxa"/>
            <w:tcBorders/>
            <w:vAlign w:val="center"/>
          </w:tcPr>
          <w:p>
            <w:pPr>
              <w:pStyle w:val="TableContents"/>
              <w:bidi w:val="0"/>
              <w:spacing w:before="0" w:after="283"/>
              <w:jc w:val="right"/>
              <w:rPr/>
            </w:pPr>
            <w:r>
              <w:rPr/>
              <w:t>1.27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and expired</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w:t>
            </w:r>
          </w:p>
        </w:tc>
        <w:tc>
          <w:tcPr>
            <w:tcW w:w="1461" w:type="dxa"/>
            <w:tcBorders/>
            <w:vAlign w:val="center"/>
          </w:tcPr>
          <w:p>
            <w:pPr>
              <w:pStyle w:val="TableContents"/>
              <w:bidi w:val="0"/>
              <w:spacing w:before="0" w:after="283"/>
              <w:jc w:val="right"/>
              <w:rPr/>
            </w:pPr>
            <w:r>
              <w:rPr/>
              <w:t>5.04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2,740</w:t>
            </w:r>
          </w:p>
        </w:tc>
        <w:tc>
          <w:tcPr>
            <w:tcW w:w="75" w:type="dxa"/>
            <w:tcBorders/>
            <w:shd w:fill="CCEEFF" w:val="clear"/>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at June 30, 2026</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5,945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w:t>
            </w:r>
          </w:p>
        </w:tc>
        <w:tc>
          <w:tcPr>
            <w:tcW w:w="1461" w:type="dxa"/>
            <w:tcBorders/>
            <w:vAlign w:val="center"/>
          </w:tcPr>
          <w:p>
            <w:pPr>
              <w:pStyle w:val="TableContents"/>
              <w:bidi w:val="0"/>
              <w:spacing w:before="0" w:after="283"/>
              <w:jc w:val="right"/>
              <w:rPr/>
            </w:pPr>
            <w:r>
              <w:rPr/>
              <w:t>2.81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right"/>
              <w:rPr/>
            </w:pPr>
            <w:r>
              <w:rPr/>
              <w:t>2,740</w:t>
            </w:r>
          </w:p>
        </w:tc>
        <w:tc>
          <w:tcPr>
            <w:tcW w:w="75" w:type="dxa"/>
            <w:tcBorders/>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June 30, 2026</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2,740</w:t>
            </w:r>
          </w:p>
        </w:tc>
        <w:tc>
          <w:tcPr>
            <w:tcW w:w="75" w:type="dxa"/>
            <w:tcBorders/>
            <w:shd w:fill="CCEEFF" w:val="clear"/>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Aggregate intrinsic value in the above table is the difference between the estimated fair value of the Company’s common stock as of either June 30, 2026 or December 31, 2025, and the exercise price of stock options that had exercise prices below that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Repriced Options, the weighted-average prices and intrinsic value information in the table above is calculated based on the exercise price per share that applied immediately prior to the Repricing Effective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six months ended June 30, 2026, the total intrinsic value of stock options exercised was approximately $14,000. No options were exercised during the six months ended June 30,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Employee Stock Purchase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maintains the 2024 Employee Stock Purchase Plan (the ESPP). As of June 30, 2026, 492,641 shares of common stock were available for issuance under the ESPP. The Company issued and sold 34,610 and 85,568 shares under the ESPP during the six months ended June 30, 2026 and 2025,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June 30, 2026, unrecognized compensation cost related to the ESPP was approximately $0.3 million. In connection with the Merger, the Company has suspended the ESPP and halted participant payroll deductions, and expects that a substantial portion of this cost will not be recognized.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Stock-based compensation expense, including the expense related to the ESPP, as recorded in the accompanying condensed statements of operations and comprehensive loss was as follows (in thousands): </w:t>
      </w:r>
    </w:p>
    <w:p>
      <w:pPr>
        <w:pStyle w:val="TextBody"/>
        <w:bidi w:val="0"/>
        <w:spacing w:before="0" w:after="0"/>
        <w:jc w:val="left"/>
        <w:rPr>
          <w:spacing w:val="0"/>
        </w:rPr>
      </w:pPr>
      <w:r>
        <w:rPr>
          <w:spacing w:val="0"/>
        </w:rPr>
        <w:t> </w:t>
      </w:r>
    </w:p>
    <w:tbl>
      <w:tblPr>
        <w:tblW w:w="7152" w:type="dxa"/>
        <w:jc w:val="left"/>
        <w:tblInd w:w="0" w:type="dxa"/>
        <w:tblLayout w:type="fixed"/>
        <w:tblCellMar>
          <w:top w:w="0" w:type="dxa"/>
          <w:left w:w="0" w:type="dxa"/>
          <w:bottom w:w="0" w:type="dxa"/>
          <w:right w:w="0" w:type="dxa"/>
        </w:tblCellMar>
      </w:tblPr>
      <w:tblGrid>
        <w:gridCol w:w="2660"/>
        <w:gridCol w:w="120"/>
        <w:gridCol w:w="195"/>
        <w:gridCol w:w="783"/>
        <w:gridCol w:w="83"/>
        <w:gridCol w:w="167"/>
        <w:gridCol w:w="195"/>
        <w:gridCol w:w="787"/>
        <w:gridCol w:w="60"/>
        <w:gridCol w:w="120"/>
        <w:gridCol w:w="169"/>
        <w:gridCol w:w="676"/>
        <w:gridCol w:w="72"/>
        <w:gridCol w:w="145"/>
        <w:gridCol w:w="169"/>
        <w:gridCol w:w="676"/>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283"/>
              <w:jc w:val="center"/>
              <w:rPr>
                <w:b/>
                <w:spacing w:val="0"/>
              </w:rPr>
            </w:pPr>
            <w:r>
              <w:rPr>
                <w:b/>
                <w:spacing w:val="0"/>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spacing w:val="0"/>
              </w:rPr>
            </w:pPr>
            <w:r>
              <w:rPr>
                <w:b/>
                <w:spacing w:val="0"/>
              </w:rPr>
              <w:t>Six Months Ended</w:t>
              <w:br/>
              <w:t>June 30,</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283"/>
              <w:jc w:val="center"/>
              <w:rPr>
                <w:b/>
                <w:spacing w:val="0"/>
              </w:rPr>
            </w:pPr>
            <w:r>
              <w:rPr>
                <w:b/>
                <w:spacing w:val="0"/>
              </w:rPr>
              <w:t>2026</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spacing w:val="0"/>
              </w:rPr>
            </w:pPr>
            <w:r>
              <w:rPr>
                <w:b/>
                <w:spacing w:val="0"/>
              </w:rPr>
              <w:t>2026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926</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1,317</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1,357</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2,296</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1,051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right"/>
              <w:rPr/>
            </w:pPr>
            <w:r>
              <w:rPr/>
              <w:t>3,276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right"/>
              <w:rPr/>
            </w:pPr>
            <w:r>
              <w:rPr/>
              <w:t>2,133</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3,222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1,693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4,593</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3,490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June 30, 2026, there was no unrecognized compensation cost related to outstanding stock options, as the vesting of all outstanding options was accelerated in full on June 22, 2026 in connection with the Merger.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weighted-average assumptions used in the Black-Scholes option-pricing model to determine the grant-date fair value of stock options granted during the periods indicated were as follows: </w:t>
      </w:r>
    </w:p>
    <w:p>
      <w:pPr>
        <w:pStyle w:val="TextBody"/>
        <w:bidi w:val="0"/>
        <w:spacing w:before="0" w:after="0"/>
        <w:jc w:val="left"/>
        <w:rPr>
          <w:spacing w:val="0"/>
        </w:rPr>
      </w:pPr>
      <w:r>
        <w:rPr>
          <w:spacing w:val="0"/>
        </w:rPr>
        <w:t> </w:t>
      </w:r>
    </w:p>
    <w:tbl>
      <w:tblPr>
        <w:tblW w:w="8030" w:type="dxa"/>
        <w:jc w:val="left"/>
        <w:tblInd w:w="0" w:type="dxa"/>
        <w:tblLayout w:type="fixed"/>
        <w:tblCellMar>
          <w:top w:w="0" w:type="dxa"/>
          <w:left w:w="0" w:type="dxa"/>
          <w:bottom w:w="0" w:type="dxa"/>
          <w:right w:w="0" w:type="dxa"/>
        </w:tblCellMar>
      </w:tblPr>
      <w:tblGrid>
        <w:gridCol w:w="2495"/>
        <w:gridCol w:w="120"/>
        <w:gridCol w:w="94"/>
        <w:gridCol w:w="885"/>
        <w:gridCol w:w="385"/>
        <w:gridCol w:w="84"/>
        <w:gridCol w:w="94"/>
        <w:gridCol w:w="885"/>
        <w:gridCol w:w="275"/>
        <w:gridCol w:w="60"/>
        <w:gridCol w:w="93"/>
        <w:gridCol w:w="886"/>
        <w:gridCol w:w="333"/>
        <w:gridCol w:w="72"/>
        <w:gridCol w:w="93"/>
        <w:gridCol w:w="886"/>
        <w:gridCol w:w="29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7" w:type="dxa"/>
            <w:gridSpan w:val="6"/>
            <w:tcBorders/>
            <w:vAlign w:val="center"/>
          </w:tcPr>
          <w:p>
            <w:pPr>
              <w:pStyle w:val="TableContents"/>
              <w:bidi w:val="0"/>
              <w:spacing w:before="0" w:after="283"/>
              <w:jc w:val="center"/>
              <w:rPr>
                <w:b/>
                <w:spacing w:val="0"/>
              </w:rPr>
            </w:pPr>
            <w:r>
              <w:rPr>
                <w:b/>
                <w:spacing w:val="0"/>
              </w:rPr>
              <w:t>Three Months Ended</w:t>
              <w:br/>
              <w:t>June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3" w:type="dxa"/>
            <w:gridSpan w:val="6"/>
            <w:tcBorders/>
            <w:vAlign w:val="center"/>
          </w:tcPr>
          <w:p>
            <w:pPr>
              <w:pStyle w:val="TableContents"/>
              <w:bidi w:val="0"/>
              <w:spacing w:before="0" w:after="283"/>
              <w:jc w:val="center"/>
              <w:rPr>
                <w:b/>
                <w:spacing w:val="0"/>
              </w:rPr>
            </w:pPr>
            <w:r>
              <w:rPr>
                <w:b/>
                <w:spacing w:val="0"/>
              </w:rPr>
              <w:t>Six Months Ended</w:t>
              <w:br/>
              <w:t>June 30,</w:t>
            </w:r>
          </w:p>
        </w:tc>
        <w:tc>
          <w:tcPr>
            <w:tcW w:w="29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spacing w:val="0"/>
              </w:rPr>
            </w:pPr>
            <w:r>
              <w:rPr>
                <w:spacing w:val="0"/>
              </w:rPr>
              <w:t> </w:t>
            </w:r>
            <w:r>
              <w:rPr>
                <w:b/>
                <w:spacing w:val="0"/>
              </w:rPr>
              <w:t>2026 </w:t>
            </w:r>
          </w:p>
        </w:tc>
        <w:tc>
          <w:tcPr>
            <w:tcW w:w="38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spacing w:val="0"/>
              </w:rPr>
            </w:pPr>
            <w:r>
              <w:rPr>
                <w:spacing w:val="0"/>
              </w:rPr>
              <w:t> </w:t>
            </w:r>
            <w:r>
              <w:rPr>
                <w:b/>
                <w:spacing w:val="0"/>
              </w:rPr>
              <w:t>2025 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spacing w:val="0"/>
              </w:rPr>
            </w:pPr>
            <w:r>
              <w:rPr>
                <w:spacing w:val="0"/>
              </w:rPr>
              <w:t> </w:t>
            </w:r>
            <w:r>
              <w:rPr>
                <w:b/>
                <w:spacing w:val="0"/>
              </w:rPr>
              <w:t>2026 </w:t>
            </w:r>
          </w:p>
        </w:tc>
        <w:tc>
          <w:tcPr>
            <w:tcW w:w="33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spacing w:val="0"/>
              </w:rPr>
            </w:pPr>
            <w:r>
              <w:rPr>
                <w:spacing w:val="0"/>
              </w:rPr>
              <w:t> </w:t>
            </w:r>
            <w:r>
              <w:rPr>
                <w:b/>
                <w:spacing w:val="0"/>
              </w:rPr>
              <w:t>2025 </w:t>
            </w:r>
          </w:p>
        </w:tc>
        <w:tc>
          <w:tcPr>
            <w:tcW w:w="29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life (in years)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5.3</w:t>
            </w:r>
          </w:p>
        </w:tc>
        <w:tc>
          <w:tcPr>
            <w:tcW w:w="38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5.9</w:t>
            </w:r>
          </w:p>
        </w:tc>
        <w:tc>
          <w:tcPr>
            <w:tcW w:w="33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5.9</w:t>
            </w:r>
          </w:p>
        </w:tc>
        <w:tc>
          <w:tcPr>
            <w:tcW w:w="29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Assumed volatility</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105.0</w:t>
            </w:r>
          </w:p>
        </w:tc>
        <w:tc>
          <w:tcPr>
            <w:tcW w:w="38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105.0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107.0</w:t>
            </w:r>
          </w:p>
        </w:tc>
        <w:tc>
          <w:tcPr>
            <w:tcW w:w="33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105.0</w:t>
            </w:r>
          </w:p>
        </w:tc>
        <w:tc>
          <w:tcPr>
            <w:tcW w:w="29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Assumed risk-free interest rate</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4.2</w:t>
            </w:r>
          </w:p>
        </w:tc>
        <w:tc>
          <w:tcPr>
            <w:tcW w:w="38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4.0</w:t>
            </w:r>
          </w:p>
        </w:tc>
        <w:tc>
          <w:tcPr>
            <w:tcW w:w="33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4.4</w:t>
            </w:r>
          </w:p>
        </w:tc>
        <w:tc>
          <w:tcPr>
            <w:tcW w:w="29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— </w:t>
            </w:r>
          </w:p>
        </w:tc>
        <w:tc>
          <w:tcPr>
            <w:tcW w:w="38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33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weighted-average grant date per share fair value of options granted during the three months ended June 30, 2026 and 2025 were $1.12 and $0.89, respectively, and the weighted-average grant date per share fair value of options granted during the six months ended June 30, 2026 and 2025 were $1.05 and $1.89, respectively. </w:t>
      </w:r>
    </w:p>
    <w:p>
      <w:pPr>
        <w:pStyle w:val="TextBody"/>
        <w:bidi w:val="0"/>
        <w:spacing w:before="0" w:after="0"/>
        <w:jc w:val="left"/>
        <w:rPr>
          <w:spacing w:val="0"/>
        </w:rPr>
      </w:pPr>
      <w:r>
        <w:rPr>
          <w:spacing w:val="0"/>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b/>
                <w:spacing w:val="0"/>
              </w:rPr>
            </w:pPr>
            <w:r>
              <w:rPr>
                <w:b/>
                <w:spacing w:val="0"/>
              </w:rPr>
              <w:t>11.</w:t>
            </w:r>
          </w:p>
        </w:tc>
        <w:tc>
          <w:tcPr>
            <w:tcW w:w="25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Net Loss Per Common Share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calculation of basic and diluted net loss per common share attributable to common stockholders (in thousands, except per share data): </w:t>
      </w:r>
    </w:p>
    <w:p>
      <w:pPr>
        <w:pStyle w:val="TextBody"/>
        <w:bidi w:val="0"/>
        <w:spacing w:before="0" w:after="0"/>
        <w:jc w:val="left"/>
        <w:rPr>
          <w:spacing w:val="0"/>
        </w:rPr>
      </w:pPr>
      <w:r>
        <w:rPr>
          <w:spacing w:val="0"/>
        </w:rPr>
        <w:t> </w:t>
      </w:r>
    </w:p>
    <w:tbl>
      <w:tblPr>
        <w:tblW w:w="9012" w:type="dxa"/>
        <w:jc w:val="left"/>
        <w:tblInd w:w="0" w:type="dxa"/>
        <w:tblLayout w:type="fixed"/>
        <w:tblCellMar>
          <w:top w:w="0" w:type="dxa"/>
          <w:left w:w="0" w:type="dxa"/>
          <w:bottom w:w="0" w:type="dxa"/>
          <w:right w:w="0" w:type="dxa"/>
        </w:tblCellMar>
      </w:tblPr>
      <w:tblGrid>
        <w:gridCol w:w="4175"/>
        <w:gridCol w:w="120"/>
        <w:gridCol w:w="149"/>
        <w:gridCol w:w="808"/>
        <w:gridCol w:w="165"/>
        <w:gridCol w:w="128"/>
        <w:gridCol w:w="149"/>
        <w:gridCol w:w="808"/>
        <w:gridCol w:w="155"/>
        <w:gridCol w:w="120"/>
        <w:gridCol w:w="140"/>
        <w:gridCol w:w="755"/>
        <w:gridCol w:w="155"/>
        <w:gridCol w:w="120"/>
        <w:gridCol w:w="140"/>
        <w:gridCol w:w="755"/>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spacing w:val="0"/>
              </w:rPr>
            </w:pPr>
            <w:r>
              <w:rPr>
                <w:b/>
                <w:spacing w:val="0"/>
              </w:rPr>
              <w:t>Three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283"/>
              <w:jc w:val="center"/>
              <w:rPr>
                <w:b/>
                <w:spacing w:val="0"/>
              </w:rPr>
            </w:pPr>
            <w:r>
              <w:rPr>
                <w:b/>
                <w:spacing w:val="0"/>
              </w:rPr>
              <w:t>Six Months Ended</w:t>
              <w:br/>
              <w:t>June 30,</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center"/>
              <w:rPr>
                <w:b/>
                <w:spacing w:val="0"/>
              </w:rPr>
            </w:pPr>
            <w:r>
              <w:rPr>
                <w:b/>
                <w:spacing w:val="0"/>
              </w:rPr>
              <w:t>2026</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(23,693</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(15,675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(37,248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(31,433</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Weighted-average shares of common stock used in </w:t>
              <w:br/>
              <w:t>computing net loss per share, basic and diluted</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22,450</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22,356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22,429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22,328</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(1.06</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(0.70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(1.41</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Boundless Bio,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excluded the following potential shares of its common stock, presented based on amounts outstanding at each period end, from the calculation of diluted net loss per share for the periods indicated because including them would have had an anti-dilutive effect (in thousands): </w:t>
      </w:r>
    </w:p>
    <w:p>
      <w:pPr>
        <w:pStyle w:val="TextBody"/>
        <w:bidi w:val="0"/>
        <w:spacing w:before="0" w:after="0"/>
        <w:ind w:left="0" w:right="0" w:hanging="0"/>
        <w:jc w:val="left"/>
        <w:rPr>
          <w:spacing w:val="0"/>
        </w:rPr>
      </w:pPr>
      <w:r>
        <w:rPr>
          <w:spacing w:val="0"/>
        </w:rPr>
        <w:t> </w:t>
      </w:r>
    </w:p>
    <w:tbl>
      <w:tblPr>
        <w:tblW w:w="4536" w:type="dxa"/>
        <w:jc w:val="left"/>
        <w:tblInd w:w="0" w:type="dxa"/>
        <w:tblLayout w:type="fixed"/>
        <w:tblCellMar>
          <w:top w:w="0" w:type="dxa"/>
          <w:left w:w="0" w:type="dxa"/>
          <w:bottom w:w="0" w:type="dxa"/>
          <w:right w:w="0" w:type="dxa"/>
        </w:tblCellMar>
      </w:tblPr>
      <w:tblGrid>
        <w:gridCol w:w="2885"/>
        <w:gridCol w:w="120"/>
        <w:gridCol w:w="61"/>
        <w:gridCol w:w="575"/>
        <w:gridCol w:w="61"/>
        <w:gridCol w:w="123"/>
        <w:gridCol w:w="61"/>
        <w:gridCol w:w="575"/>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6" w:type="dxa"/>
            <w:gridSpan w:val="6"/>
            <w:tcBorders/>
            <w:vAlign w:val="center"/>
          </w:tcPr>
          <w:p>
            <w:pPr>
              <w:pStyle w:val="TableContents"/>
              <w:bidi w:val="0"/>
              <w:spacing w:before="0" w:after="283"/>
              <w:jc w:val="center"/>
              <w:rPr>
                <w:b/>
                <w:spacing w:val="0"/>
              </w:rPr>
            </w:pPr>
            <w:r>
              <w:rPr>
                <w:b/>
                <w:spacing w:val="0"/>
              </w:rPr>
              <w:t>As of June 30,</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 w:type="dxa"/>
            <w:gridSpan w:val="2"/>
            <w:tcBorders/>
            <w:vAlign w:val="center"/>
          </w:tcPr>
          <w:p>
            <w:pPr>
              <w:pStyle w:val="TableContents"/>
              <w:bidi w:val="0"/>
              <w:spacing w:before="0" w:after="283"/>
              <w:jc w:val="center"/>
              <w:rPr>
                <w:b/>
                <w:spacing w:val="0"/>
              </w:rPr>
            </w:pPr>
            <w:r>
              <w:rPr>
                <w:b/>
                <w:spacing w:val="0"/>
              </w:rPr>
              <w:t>2026</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36" w:type="dxa"/>
            <w:gridSpan w:val="2"/>
            <w:tcBorders/>
            <w:vAlign w:val="center"/>
          </w:tcPr>
          <w:p>
            <w:pPr>
              <w:pStyle w:val="TableContents"/>
              <w:bidi w:val="0"/>
              <w:spacing w:before="0" w:after="283"/>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to purchase common stock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5,945</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4,647</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5,945</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4,647</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b/>
                <w:spacing w:val="0"/>
              </w:rPr>
            </w:pPr>
            <w:r>
              <w:rPr>
                <w:b/>
                <w:spacing w:val="0"/>
              </w:rPr>
              <w:t>12.</w:t>
            </w:r>
          </w:p>
        </w:tc>
        <w:tc>
          <w:tcPr>
            <w:tcW w:w="18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CODM reviews the budget versus actual expense by nature of expense. The following table sets forth the Company’s segment loss disclosure for the three and six months ended June 30, 2026 and 2025 (in thousands):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387"/>
        <w:gridCol w:w="120"/>
        <w:gridCol w:w="147"/>
        <w:gridCol w:w="800"/>
        <w:gridCol w:w="163"/>
        <w:gridCol w:w="126"/>
        <w:gridCol w:w="147"/>
        <w:gridCol w:w="800"/>
        <w:gridCol w:w="155"/>
        <w:gridCol w:w="120"/>
        <w:gridCol w:w="140"/>
        <w:gridCol w:w="755"/>
        <w:gridCol w:w="155"/>
        <w:gridCol w:w="120"/>
        <w:gridCol w:w="140"/>
        <w:gridCol w:w="755"/>
        <w:gridCol w:w="175"/>
      </w:tblGrid>
      <w:tr>
        <w:trPr/>
        <w:tc>
          <w:tcPr>
            <w:tcW w:w="5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3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3" w:type="dxa"/>
            <w:gridSpan w:val="6"/>
            <w:tcBorders/>
            <w:vAlign w:val="center"/>
          </w:tcPr>
          <w:p>
            <w:pPr>
              <w:pStyle w:val="TableContents"/>
              <w:bidi w:val="0"/>
              <w:spacing w:before="0" w:after="283"/>
              <w:jc w:val="center"/>
              <w:rPr>
                <w:b/>
                <w:spacing w:val="0"/>
              </w:rPr>
            </w:pPr>
            <w:r>
              <w:rPr>
                <w:b/>
                <w:spacing w:val="0"/>
              </w:rPr>
              <w:t>Three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283"/>
              <w:jc w:val="center"/>
              <w:rPr>
                <w:b/>
                <w:spacing w:val="0"/>
              </w:rPr>
            </w:pPr>
            <w:r>
              <w:rPr>
                <w:b/>
                <w:spacing w:val="0"/>
              </w:rPr>
              <w:t>Six Months Ended</w:t>
              <w:br/>
              <w:t>June 30,</w:t>
            </w:r>
          </w:p>
        </w:tc>
        <w:tc>
          <w:tcPr>
            <w:tcW w:w="175"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b/>
                <w:spacing w:val="0"/>
              </w:rPr>
            </w:pPr>
            <w:r>
              <w:rPr>
                <w:b/>
                <w:spacing w:val="0"/>
              </w:rPr>
              <w:t>2026</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pacing w:val="0"/>
              </w:rPr>
            </w:pPr>
            <w:r>
              <w:rPr>
                <w:b/>
                <w:spacing w:val="0"/>
              </w:rPr>
              <w:t>2025</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Compensation and benefits (excludes stock-based compensation)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2,495</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6,512</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Clinical trial costs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1,331</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5,298</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Outsourced services &amp; Consulting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5,514</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Lab and pharmacology supplies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546</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 Other costs (1)</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629</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1,036</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Compensation and benefits (excludes stock-based compensation)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1,893</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3,276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3,102</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Professional service fees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2,266</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1,807</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Insurance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136</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420</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G&amp;A – Other costs (2)</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542</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1,344</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Facilities related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6,720</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4,699</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and depreciation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4,480</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4,124</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of property and equipment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1,625</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24,384</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38,859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34,402</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(24,384</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(34,402</w:t>
            </w:r>
          </w:p>
        </w:tc>
        <w:tc>
          <w:tcPr>
            <w:tcW w:w="175"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538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other income, net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691</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2,969</w:t>
            </w:r>
          </w:p>
        </w:tc>
        <w:tc>
          <w:tcPr>
            <w:tcW w:w="175" w:type="dxa"/>
            <w:tcBorders/>
            <w:shd w:fill="CCEEFF" w:val="clear"/>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Segment net loss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(23,693</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(15,675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(37,248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(31,433</w:t>
            </w:r>
          </w:p>
        </w:tc>
        <w:tc>
          <w:tcPr>
            <w:tcW w:w="175" w:type="dxa"/>
            <w:tcBorders/>
            <w:vAlign w:val="center"/>
          </w:tcPr>
          <w:p>
            <w:pPr>
              <w:pStyle w:val="TableContents"/>
              <w:bidi w:val="0"/>
              <w:spacing w:before="0" w:after="283"/>
              <w:jc w:val="left"/>
              <w:rPr/>
            </w:pPr>
            <w:r>
              <w:rPr/>
              <w:t>) </w:t>
            </w:r>
          </w:p>
        </w:tc>
      </w:tr>
      <w:tr>
        <w:trPr/>
        <w:tc>
          <w:tcPr>
            <w:tcW w:w="5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283"/>
              <w:jc w:val="left"/>
              <w:rPr/>
            </w:pPr>
            <w:r>
              <w:rPr/>
              <w:t> </w:t>
            </w:r>
          </w:p>
        </w:tc>
      </w:tr>
    </w:tbl>
    <w:p>
      <w:pPr>
        <w:pStyle w:val="TextBody"/>
        <w:bidi w:val="0"/>
        <w:spacing w:lineRule="atLeast" w:line="160" w:before="0" w:after="40"/>
        <w:ind w:left="0" w:right="0" w:hanging="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(1)</w:t>
            </w:r>
          </w:p>
        </w:tc>
        <w:tc>
          <w:tcPr>
            <w:tcW w:w="9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expenses such as software licenses, database subscriptions, lab service contracts, travel, and other costs.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expenses such as travel, investor relations services, software licenses, employee training and development, and other costs. </w:t>
            </w:r>
          </w:p>
        </w:tc>
      </w:tr>
    </w:tbl>
    <w:p>
      <w:pPr>
        <w:pStyle w:val="TextBody"/>
        <w:bidi w:val="0"/>
        <w:spacing w:before="0" w:after="0"/>
        <w:ind w:left="0" w:right="0" w:hanging="0"/>
        <w:jc w:val="left"/>
        <w:rPr>
          <w:spacing w:val="0"/>
        </w:rPr>
      </w:pPr>
      <w:r>
        <w:rPr>
          <w:spacing w:val="0"/>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b/>
                <w:spacing w:val="0"/>
              </w:rPr>
            </w:pPr>
            <w:r>
              <w:rPr>
                <w:b/>
                <w:spacing w:val="0"/>
              </w:rPr>
              <w:t>13.</w:t>
            </w:r>
          </w:p>
        </w:tc>
        <w:tc>
          <w:tcPr>
            <w:tcW w:w="16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has evaluated subsequent events through August 7, 2026, the date on which these unaudited condensed financial statements were issued. </w:t>
      </w:r>
    </w:p>
    <w:p>
      <w:pPr>
        <w:pStyle w:val="TextBody"/>
        <w:bidi w:val="0"/>
        <w:spacing w:before="240" w:after="0"/>
        <w:jc w:val="left"/>
        <w:rPr>
          <w:rFonts w:ascii="Times New Roman" w:hAnsi="Times New Roman"/>
          <w:sz w:val="20"/>
        </w:rPr>
      </w:pPr>
      <w:r>
        <w:rPr>
          <w:rFonts w:ascii="Times New Roman" w:hAnsi="Times New Roman"/>
          <w:sz w:val="20"/>
        </w:rPr>
        <w:t>See Note 1—</w:t>
      </w:r>
      <w:r>
        <w:rPr>
          <w:rFonts w:ascii="Times New Roman" w:hAnsi="Times New Roman"/>
          <w:i/>
          <w:caps w:val="false"/>
          <w:smallCaps w:val="false"/>
          <w:spacing w:val="0"/>
          <w:sz w:val="20"/>
        </w:rPr>
        <w:t>Organization and Basis of Presentation</w:t>
      </w:r>
      <w:r>
        <w:rPr>
          <w:rFonts w:ascii="Times New Roman" w:hAnsi="Times New Roman"/>
          <w:sz w:val="20"/>
        </w:rPr>
        <w:t xml:space="preserve"> for a description of the Merger Agreement entered into by the Company on June 22,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Other than the events described above and elsewhere in these condensed financial statements, the Company is not aware of any subsequent events requiring recognition or disclosure. </w:t>
      </w:r>
    </w:p>
    <w:p>
      <w:pPr>
        <w:pStyle w:val="TextBody"/>
        <w:bidi w:val="0"/>
        <w:spacing w:before="0" w:after="0"/>
        <w:ind w:left="0" w:right="0" w:hanging="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F-45</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fintoc108148_51"/>
      <w:bookmarkEnd w:id="83"/>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Serapha Bio, Inc.: </w:t>
      </w:r>
    </w:p>
    <w:p>
      <w:pPr>
        <w:pStyle w:val="TextBody"/>
        <w:bidi w:val="0"/>
        <w:spacing w:before="360" w:after="0"/>
        <w:jc w:val="left"/>
        <w:rPr>
          <w:rFonts w:ascii="Times New Roman" w:hAnsi="Times New Roman"/>
          <w:i/>
          <w:sz w:val="20"/>
        </w:rPr>
      </w:pPr>
      <w:r>
        <w:rPr>
          <w:rFonts w:ascii="Times New Roman" w:hAnsi="Times New Roman"/>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financial statements of Serapha Bio, Inc. (the Company), which comprise the balance sheet as of June 30, 2026, and the related statements of operations, convertible preferred stock and stockholders’ deficit, and cash flows for the period April 2, 2026 (inception) to June 30, 2026, and the related notes to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June 30, 2026, and the results of its operations and its cash flows for the period April 2, 2026 (inception) through June 30, 2026 in accordance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Substantial Doubt About the Entity’s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incurred losses from operations since inception and has an accumulated deficit,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i/>
          <w:sz w:val="20"/>
        </w:rPr>
      </w:pPr>
      <w:r>
        <w:rPr>
          <w:rFonts w:ascii="Times New Roman" w:hAnsi="Times New Roman"/>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U.S. generally accepted accounting principles,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 </w:t>
      </w:r>
    </w:p>
    <w:p>
      <w:pPr>
        <w:pStyle w:val="TextBody"/>
        <w:bidi w:val="0"/>
        <w:spacing w:before="360" w:after="0"/>
        <w:jc w:val="left"/>
        <w:rPr>
          <w:rFonts w:ascii="Times New Roman" w:hAnsi="Times New Roman"/>
          <w:i/>
          <w:sz w:val="20"/>
        </w:rPr>
      </w:pPr>
      <w:r>
        <w:rPr>
          <w:rFonts w:ascii="Times New Roman" w:hAnsi="Times New Roman"/>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 related matters that we identified during the audit.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84" w:name="fintoc108148_52"/>
      <w:bookmarkEnd w:id="84"/>
      <w:r>
        <w:rPr>
          <w:rFonts w:ascii="Times New Roman" w:hAnsi="Times New Roman"/>
          <w:b/>
          <w:sz w:val="20"/>
        </w:rPr>
        <w:t xml:space="preserve">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00"/>
        <w:gridCol w:w="120"/>
        <w:gridCol w:w="195"/>
        <w:gridCol w:w="1220"/>
        <w:gridCol w:w="170"/>
      </w:tblGrid>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138,002</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138,006</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transaction costs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316</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138,322</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830</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up-front license payment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85,000</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(related parties of $535 at June 30, 2026)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942</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86,772</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79,365</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166,137</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$0.00001 par value, 35,000,000 shares authorized, 30,668,708 shares issued and outstanding at June 30, 2026; liquidation value of $138,000</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137,589</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A-1 convertible preferred stock, $0.00001 par value, 25,000,000 shares authorized, no shares issued and outstanding at June 30, 2026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$0.00001 par value, 100,000,000 shares authorized, 5,962,334 shares issued and outstanding at June 30, 2026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4,741</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(170,146</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(165,404</w:t>
            </w:r>
          </w:p>
        </w:tc>
        <w:tc>
          <w:tcPr>
            <w:tcW w:w="170" w:type="dxa"/>
            <w:tcBorders/>
            <w:shd w:fill="CCEEFF" w:val="clear"/>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138,322</w:t>
            </w:r>
          </w:p>
        </w:tc>
        <w:tc>
          <w:tcPr>
            <w:tcW w:w="170" w:type="dxa"/>
            <w:tcBorders/>
            <w:vAlign w:val="center"/>
          </w:tcPr>
          <w:p>
            <w:pPr>
              <w:pStyle w:val="TableContents"/>
              <w:bidi w:val="0"/>
              <w:spacing w:before="0" w:after="283"/>
              <w:jc w:val="left"/>
              <w:rPr/>
            </w:pPr>
            <w:r>
              <w:rPr/>
              <w:t> </w:t>
            </w:r>
          </w:p>
        </w:tc>
      </w:tr>
      <w:tr>
        <w:trPr/>
        <w:tc>
          <w:tcPr>
            <w:tcW w:w="8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85" w:name="fintoc108148_53"/>
      <w:bookmarkEnd w:id="85"/>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8280" w:type="dxa"/>
        <w:jc w:val="left"/>
        <w:tblInd w:w="0" w:type="dxa"/>
        <w:tblLayout w:type="fixed"/>
        <w:tblCellMar>
          <w:top w:w="0" w:type="dxa"/>
          <w:left w:w="0" w:type="dxa"/>
          <w:bottom w:w="0" w:type="dxa"/>
          <w:right w:w="0" w:type="dxa"/>
        </w:tblCellMar>
      </w:tblPr>
      <w:tblGrid>
        <w:gridCol w:w="6005"/>
        <w:gridCol w:w="120"/>
        <w:gridCol w:w="248"/>
        <w:gridCol w:w="1737"/>
        <w:gridCol w:w="170"/>
      </w:tblGrid>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2, 2026</w:t>
              <w:br/>
              <w:t>(inception) through</w:t>
              <w:br/>
              <w:t>June 30, 2026</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173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267</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164,617</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right"/>
              <w:rPr/>
            </w:pPr>
            <w:r>
              <w:rPr/>
              <w:t>5,262</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170,146</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pBdr>
                <w:top w:val="single" w:sz="2" w:space="1" w:color="000000"/>
              </w:pBdr>
              <w:bidi w:val="0"/>
              <w:spacing w:before="0" w:after="0"/>
              <w:jc w:val="left"/>
              <w:rPr/>
            </w:pPr>
            <w:r>
              <w:rPr/>
              <w:t> </w:t>
            </w:r>
          </w:p>
        </w:tc>
        <w:tc>
          <w:tcPr>
            <w:tcW w:w="173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(170,146</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2275" w:type="dxa"/>
            <w:gridSpan w:val="4"/>
            <w:tcBorders/>
            <w:vAlign w:val="center"/>
          </w:tcPr>
          <w:p>
            <w:pPr>
              <w:pStyle w:val="TableContents"/>
              <w:bidi w:val="0"/>
              <w:spacing w:before="0" w:after="283"/>
              <w:jc w:val="left"/>
              <w:rPr>
                <w:sz w:val="4"/>
                <w:szCs w:val="4"/>
              </w:rPr>
            </w:pPr>
            <w:r>
              <w:rPr>
                <w:sz w:val="4"/>
                <w:szCs w:val="4"/>
              </w:rPr>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information:</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173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of common stock, basic and diluted</w:t>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737" w:type="dxa"/>
            <w:tcBorders/>
            <w:vAlign w:val="center"/>
          </w:tcPr>
          <w:p>
            <w:pPr>
              <w:pStyle w:val="TableContents"/>
              <w:bidi w:val="0"/>
              <w:spacing w:before="0" w:after="283"/>
              <w:jc w:val="right"/>
              <w:rPr/>
            </w:pPr>
            <w:r>
              <w:rPr/>
              <w:t>(46.01</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3,697,863</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pBdr>
                <w:top w:val="double" w:sz="6" w:space="1" w:color="000000"/>
              </w:pBdr>
              <w:bidi w:val="0"/>
              <w:spacing w:before="0" w:after="0"/>
              <w:jc w:val="left"/>
              <w:rPr/>
            </w:pPr>
            <w:r>
              <w:rPr/>
              <w:t> </w:t>
            </w:r>
          </w:p>
        </w:tc>
        <w:tc>
          <w:tcPr>
            <w:tcW w:w="173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86" w:name="fintoc108148_54"/>
      <w:bookmarkEnd w:id="86"/>
      <w:r>
        <w:rPr>
          <w:rFonts w:ascii="Times New Roman" w:hAnsi="Times New Roman"/>
          <w:b/>
          <w:sz w:val="20"/>
        </w:rPr>
        <w:t xml:space="preserve">STATEMENT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10215" w:type="dxa"/>
        <w:jc w:val="left"/>
        <w:tblInd w:w="0" w:type="dxa"/>
        <w:tblLayout w:type="fixed"/>
        <w:tblCellMar>
          <w:top w:w="0" w:type="dxa"/>
          <w:left w:w="0" w:type="dxa"/>
          <w:bottom w:w="0" w:type="dxa"/>
          <w:right w:w="0" w:type="dxa"/>
        </w:tblCellMar>
      </w:tblPr>
      <w:tblGrid>
        <w:gridCol w:w="1175"/>
        <w:gridCol w:w="60"/>
        <w:gridCol w:w="60"/>
        <w:gridCol w:w="1100"/>
        <w:gridCol w:w="60"/>
        <w:gridCol w:w="60"/>
        <w:gridCol w:w="140"/>
        <w:gridCol w:w="800"/>
        <w:gridCol w:w="60"/>
        <w:gridCol w:w="60"/>
        <w:gridCol w:w="89"/>
        <w:gridCol w:w="1461"/>
        <w:gridCol w:w="60"/>
        <w:gridCol w:w="60"/>
        <w:gridCol w:w="301"/>
        <w:gridCol w:w="559"/>
        <w:gridCol w:w="60"/>
        <w:gridCol w:w="60"/>
        <w:gridCol w:w="220"/>
        <w:gridCol w:w="880"/>
        <w:gridCol w:w="60"/>
        <w:gridCol w:w="60"/>
        <w:gridCol w:w="188"/>
        <w:gridCol w:w="1182"/>
        <w:gridCol w:w="155"/>
        <w:gridCol w:w="60"/>
        <w:gridCol w:w="140"/>
        <w:gridCol w:w="875"/>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Stockholders’ Deficit</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283"/>
              <w:jc w:val="center"/>
              <w:rPr>
                <w:b/>
              </w:rPr>
            </w:pPr>
            <w:r>
              <w:rPr>
                <w:b/>
              </w:rPr>
              <w:t>Series A convertible</w:t>
              <w:br/>
              <w:t>preferred stock</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April 2, 2026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5,962,334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4,734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4,735</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A convertible preferred stock at $4.50 per share, net of issuance costs of $412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30,668,708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137,589</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(170,146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(170,146</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46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single" w:sz="2" w:space="1" w:color="000000"/>
              </w:pBdr>
              <w:bidi w:val="0"/>
              <w:spacing w:before="0" w:after="0"/>
              <w:jc w:val="left"/>
              <w:rPr/>
            </w:pPr>
            <w:r>
              <w:rPr/>
              <w:t> </w:t>
            </w:r>
          </w:p>
        </w:tc>
        <w:tc>
          <w:tcPr>
            <w:tcW w:w="5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8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pBdr>
                <w:top w:val="single" w:sz="2" w:space="1" w:color="000000"/>
              </w:pBdr>
              <w:bidi w:val="0"/>
              <w:spacing w:before="0" w:after="0"/>
              <w:jc w:val="left"/>
              <w:rPr/>
            </w:pPr>
            <w:r>
              <w:rPr/>
              <w:t> </w:t>
            </w:r>
          </w:p>
        </w:tc>
        <w:tc>
          <w:tcPr>
            <w:tcW w:w="118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30,668,708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137,589</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5,962,334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4,741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(170,146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(165,404</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pBdr>
                <w:top w:val="double" w:sz="6" w:space="1" w:color="000000"/>
              </w:pBdr>
              <w:bidi w:val="0"/>
              <w:spacing w:before="0" w:after="0"/>
              <w:jc w:val="left"/>
              <w:rPr/>
            </w:pPr>
            <w:r>
              <w:rPr/>
              <w:t> </w:t>
            </w:r>
          </w:p>
        </w:tc>
        <w:tc>
          <w:tcPr>
            <w:tcW w:w="146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double" w:sz="6" w:space="1" w:color="000000"/>
              </w:pBdr>
              <w:bidi w:val="0"/>
              <w:spacing w:before="0" w:after="0"/>
              <w:jc w:val="left"/>
              <w:rPr/>
            </w:pPr>
            <w:r>
              <w:rPr/>
              <w:t> </w:t>
            </w:r>
          </w:p>
        </w:tc>
        <w:tc>
          <w:tcPr>
            <w:tcW w:w="55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8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pBdr>
                <w:top w:val="double" w:sz="6" w:space="1" w:color="000000"/>
              </w:pBdr>
              <w:bidi w:val="0"/>
              <w:spacing w:before="0" w:after="0"/>
              <w:jc w:val="left"/>
              <w:rPr/>
            </w:pPr>
            <w:r>
              <w:rPr/>
              <w:t> </w:t>
            </w:r>
          </w:p>
        </w:tc>
        <w:tc>
          <w:tcPr>
            <w:tcW w:w="118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b/>
          <w:sz w:val="20"/>
        </w:rPr>
      </w:pPr>
      <w:bookmarkStart w:id="87" w:name="fintoc108148_55"/>
      <w:bookmarkEnd w:id="87"/>
      <w:r>
        <w:rPr>
          <w:rFonts w:ascii="Times New Roman" w:hAnsi="Times New Roman"/>
          <w:b/>
          <w:sz w:val="20"/>
        </w:rPr>
        <w:t xml:space="preserve">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8430" w:type="dxa"/>
        <w:jc w:val="left"/>
        <w:tblInd w:w="0" w:type="dxa"/>
        <w:tblLayout w:type="fixed"/>
        <w:tblCellMar>
          <w:top w:w="0" w:type="dxa"/>
          <w:left w:w="0" w:type="dxa"/>
          <w:bottom w:w="0" w:type="dxa"/>
          <w:right w:w="0" w:type="dxa"/>
        </w:tblCellMar>
      </w:tblPr>
      <w:tblGrid>
        <w:gridCol w:w="6155"/>
        <w:gridCol w:w="120"/>
        <w:gridCol w:w="273"/>
        <w:gridCol w:w="1712"/>
        <w:gridCol w:w="170"/>
      </w:tblGrid>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2, 2026</w:t>
              <w:br/>
              <w:t>(inception) through</w:t>
              <w:br/>
              <w:t>June 30, 2026</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71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w:t>
            </w:r>
          </w:p>
        </w:tc>
        <w:tc>
          <w:tcPr>
            <w:tcW w:w="1712" w:type="dxa"/>
            <w:tcBorders/>
            <w:vAlign w:val="center"/>
          </w:tcPr>
          <w:p>
            <w:pPr>
              <w:pStyle w:val="TableContents"/>
              <w:bidi w:val="0"/>
              <w:spacing w:before="0" w:after="283"/>
              <w:jc w:val="right"/>
              <w:rPr/>
            </w:pPr>
            <w:r>
              <w:rPr/>
              <w:t>(170,146</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71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4,736</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164,617</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213</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580</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Series A convertible preferred stock</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138,000</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138,002</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138,002</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inception</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the period</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w:t>
            </w:r>
          </w:p>
        </w:tc>
        <w:tc>
          <w:tcPr>
            <w:tcW w:w="1712" w:type="dxa"/>
            <w:tcBorders/>
            <w:vAlign w:val="center"/>
          </w:tcPr>
          <w:p>
            <w:pPr>
              <w:pStyle w:val="TableContents"/>
              <w:bidi w:val="0"/>
              <w:spacing w:before="0" w:after="283"/>
              <w:jc w:val="right"/>
              <w:rPr/>
            </w:pPr>
            <w:r>
              <w:rPr/>
              <w:t>138,002</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double" w:sz="6" w:space="1" w:color="000000"/>
              </w:pBdr>
              <w:bidi w:val="0"/>
              <w:spacing w:before="0" w:after="0"/>
              <w:jc w:val="left"/>
              <w:rPr/>
            </w:pPr>
            <w:r>
              <w:rPr/>
              <w:t> </w:t>
            </w:r>
          </w:p>
        </w:tc>
        <w:tc>
          <w:tcPr>
            <w:tcW w:w="171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disclosure of non-cash financing activities:</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71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in prepaid and other current assets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merger transaction costs in accounts payable</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316</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 financing costs in accounts payable and accrued expenses</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w:t>
            </w:r>
          </w:p>
        </w:tc>
        <w:tc>
          <w:tcPr>
            <w:tcW w:w="1712" w:type="dxa"/>
            <w:tcBorders/>
            <w:vAlign w:val="center"/>
          </w:tcPr>
          <w:p>
            <w:pPr>
              <w:pStyle w:val="TableContents"/>
              <w:bidi w:val="0"/>
              <w:spacing w:before="0" w:after="283"/>
              <w:jc w:val="right"/>
              <w:rPr/>
            </w:pPr>
            <w:r>
              <w:rPr/>
              <w:t>412</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bookmarkStart w:id="88" w:name="fintoc108148_56"/>
      <w:bookmarkEnd w:id="88"/>
      <w:r>
        <w:rPr>
          <w:rFonts w:ascii="Times New Roman" w:hAnsi="Times New Roman"/>
          <w:b/>
          <w:sz w:val="20"/>
        </w:rPr>
        <w:t xml:space="preserve">NOTES TO THE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and 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Serapha Bio, Inc. (“Serapha” or the “Company”), a Delaware corporation incorporated on April 2, 2026, is a clinical-stage genetic medicines company committed to transforming the treatment of alpha-1 antitrypsin deficiency (“AATD” or “Alpha-1”), the leading genetic cause of serious, progressive lung and liver disease. Serapha’s only product candidate, SERP-01, is a proprietary base editing therapy currently in a Phase 1 clinical trial for the treatment of AATD with the PiZZ genotype, the most severe genetic mutation responsible for &gt;90% of AATD cases. In May 2026, the U.S. Food and Drug Administration (“FDA”) granted SERP-01 orphan drug designation for the treatment of PiZZ AATD and Regenerative Medicine Advanced Therapy (“RMAT”) designation. In March 2026, the FDA cleared an investigational new drug application (“IND”) submitted by YolTech for SERP-01 in order to initiate a U.S. Phase 2/3 clinical trial, and Serapha intends to pursue development of SERP-01 in alignment with the FDA, including potentially seeking accelerated approval based on AATD biomarkers, such as restoration of serum AAT, as surrogate endpoints that may be reasonably likely to predict clinical benefit, subject to FDA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June 2026, Serapha entered into an exclusive sub-licensable, royalty-bearing license agreement with YolTech Therapeutics Co. Ltd. (“YolTech”) under which Serapha obtained worldwide rights, excluding Greater China, to develop, manufacture and commercialize SERP-01 and other SERPINA1-directed product candidates (see Note 5) (the “YolTech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Company entered into an Agreement and Plan of Merger and Reorganization, as amended by that certain Amendment No. 1 to Agreement and Plan of Merger and Reorganization (as amended, the “Merger Agreement”) with Boundless Bio, Inc., a Delaware corporation (“Boundless Bio”), pursuant to which, among other matters, Boulder Merger Sub Corp., a direct, wholly owned subsidiary of Boundless Bio, will merge with and into the Company, with the Company surviving as a wholly owned subsidiary of Boundless Bio and the surviving corporation of the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“Effective Time”), (a) each then-outstanding share of the Company’s common stock and the Convertible Preferred Stock (defined below) (together the “Company’s Capital Stock”) (including any shares of the Company’s common stock issued in the Company Pre-Closing Financing described below), excluding any shares of the Company’s Capital Stock held as treasury stock immediately prior to the Effective Time and any dissenting shares, will be converted into the right to receive a number of shares of Boundless Bio common stock, par value $0.0001 per share (the “Boundless Bio Common Stock”) and Boundless Bio Pre-Funded Warrants (as defined below) equal to the estimated exchange ratio of 8.6737, (b) each then-outstanding option to purchase shares of the Company’s common stock will be converted into and become an option to purchase shares of Boundless Bio Common Stock on the existing terms and conditions (including with respect to vesting and accelerated vesting), subject to adjustment as set forth in the Merger Agreement, (c) each then-outstanding restricted stock unit award covering shares of the Company’s common stock (each, a “Company RSU”) will be converted into and become a restricted stock unit award covering shares of Boundless Bio Common Stock (an “Assumed RSU”) on the existing terms and conditions (including with respect to vesting and accelerated vesting), subject to adjustment as set forth in the Merger Agreement, and (d) each then-outstanding and unexercised pre-funded warrant to purchase shares of the Company’s common stock (each, a “Company Pre-Funded Warrant”) will be converted into a pre-funded warrant to purchase shares of Boundless Bio Common Stock on the existing terms and conditions (each, a “Boundless Bio Pre-Funded Warrant”), subject to adjustment as set forth in the Merger Agreement and the form of pre-funded warrant. If any shares of the Company’s common stock are unvested or subject to a repurchase option or risk of forfeiture at the Effective Time, then the shares of Boundless Bio Common Stock issued in exchange for such shares will to the same extent be unvested and subject to the same repurchase option or risk of forfeiture. If the aggregate number of shares of Boundless Bio Common Stock that would otherwise be issued to a holder of Company’s Capital Stock at the Effective Time would exceed such holder’s Beneficial Ownership Limitation, Boundless Bio will issue to such holder shares of Boundless 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Common Stock up to such holder’s Beneficial Ownership Limitation and, in lieu of the excess shares, Boundless Bio Pre-Funded Warrants to purchase a number of shares of Boundless Bio Common Stock equal to such holder’s Remaining Entitlement.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Boundless Bio Common Stock that is issued and outstanding at the Effective Time will remain issued and outstanding and such shares, subject to a proposed reverse stock split, will be unaffected by the Merger. Concurrently with the signing of the Merger Agreement, all options to purchase shares of Boundless Bio Common Stock (“Boundless Bio Options”) became fully vested and exercisable. Each Boundless Bio Option outstanding immediately prior to the Effective Time with an exercise price per share greater than $8.00 will be canceled for no consideration. Each other Boundless Bio Option will remain outstanding and exercisable in accordance with its terms (taking into account any equitable adjustment to reflect the Boundless Bio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Company’s and Boundless Bio’s capitalization as of June 22, 2026 and considering Boundless Bio’s current cash position, each share of the Company’s Capital Stock is currently estimated to be entitled to receive approximately 8.6737 shares of Boundless Bio Common Stock. This estimated exchange ratio does not give effect to the proposed Boundless Bio reverse stock split and is subject to adjustment based on Boundless Bio’s estimated net cash calculated in accordance with the Merger Agreement at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and 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losses since inception and has an accumulated deficit of $170.1 million as of June 30, 2026. The Company anticipates incurring additional losses until such time, if ever, that it can generate significant sales from its product candidates currently in development. The Company believes that cash of $138.0 million as of June 30, 2026 ($53.0 million after giving effect to the payment to YolTech for the upfront YolTech License Agreement fee of $85.0 million (see Note 5)), is not sufficient to sustain planned operations through at least twelve months from the issuance date of these financial statements. As a result of these conditions, substantial doubt exists about the Company’s ability to continue as a going concern for one year from the date of these financial statements are issued. The accompanying financial statements have been prepared on a basis which assumes that the Company will continue as a going concern, which contemplates the realization of assets and the satisfaction of liabilities and commitments in the normal course of business. The financial statements do not include any adjustments related to the recoverability and classification of assets or the amount and classification of liabilities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historically financed its operations through the sale of its preferred stock. The Company intends to raise additional capital through sales of its equity. In connection with the execution and delivery of the Merger Agreement, certain investors entered into a securities purchase agreement, pursuant to which such persons have agreed to purchase shares of the Company’s common stock and Company Pre-Funded Warrants for an aggregate purchase price of approximately $92 million (the “Company Pre-Closing Financing”). The closing of the Company Pre-Closing Financing is subject to the satisfaction of customary closing conditions, and there are no assurances that such conditions will be achieved or that such financing or other strategic transactions will be available on acceptable terms, or at all. There can be no assurance that the Company will be able to obtain additional liquidity through the Company Pre-Closing Financing, in the public market, or other strategic transactions on acceptable terms or in an amount sufficient to enable the Company to satisfy its obligations or sustain operations in the future. If the Company is unable to raise sufficient additional funds, it will have to develop and implement a plan to further extend payables and indebtedness, reduce overhead, or scale back its current business plan until sufficient additional capital is raised to support further operations, or the Company will be forced to grant rights to develop and commercialize product candidates that it would otherwise prefer to develop and commercialize on its own. There can be no assurance that such a plan will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subject to those risks associated with any specialty biotechnology company that has substantial expenditures for research and development. There can be no assurance that the Company’s research and development programs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audited interim financial statements have been prepared in accordance with U.S. generally accepted accounting principles (“GAAP”). Any references in these notes to applicable guidance are meant to refer to GAAP as found in Accounting Standards Codifications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operations for the interim period are not necessarily indicative of the results to be expected for the full year, any other interim periods or any future year or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made in the accompanying financial statements include the fair value of the Company’s common stock, warrant to purchase Series A-1 preferred stock, stock-based compensation expense assumptions and accrued research and development expenses. As of June 30, 2026, the Company has not hired any contract research organizations or contract manufacturing organizations. Due to the uncertainty of factors surrounding the estimates or judgments used in the preparation of the financial statements, actual results may vary from these estimates. Estimates and assumptions are periodically reviewed, and the effects of revisions are reflected in the financial statements in the period they are determined to be necessary.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Chief Executive Officer, who is the chief operating decision maker (“CODM”), reviews the Company’s financial information for purposes of evaluating financial performance and allocating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cash in a checking account with federally insured financial institutions in excess of federally insured limits. The Company has not experienced any losses on its cash and cash equivalents and believes it is not exposed to significant risks with respect to its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believes that the carrying amounts of financial instruments, which include accounts payable and accrued expenses, approximate fair value due to the short-term nature of those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significant concentrations of credit risk consist primarily of cash, which is held in checking account deposits in federally insured financial institutions in excess of federally insured limits. The Company has not experienced any losses in such accounts and believes it is not exposed to significant risk on its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level in the fair value hierarchy within which the fair value measurement is categorized is based on the lowest level input that is significant to the fair value measurement. The assessment of the significance of a particular input to the fair value measurement requires judgment and may affect the valuation of the fair value of assets and liabilities and their placement within the fair value hierarchy levels.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Specific incremental legal, accounting and other fees and costs directly attributable to a proposed or actual offering of securities may properly be deferred and charged against the gross proceeds of such an offering. In the event the Merger does not occur or is significantly delayed, all of the costs will be expensed. As of June 30, 2026, there were $0.3 million of transaction costs, primarily consisting of legal fees, that were capitalized in other non-current assets on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the Company’s Series A Convertible Preferred Stock (the “Series A Convertible Preferred Stock”) and the Series A-1 Convertible Preferred Stock (the “Series A-1 Convertible Preferred Stock” and together with the Series A Convertible Preferred Stock, the “Convertible Preferred Stock”) outside of stockholders’ deficit on the Company’s balance sheet because the holders of such stock have certain redemption rights in the event of a Deemed Liquidation Event (as defined in the Company’s Amended and Restated Certificate of Incorporation) (see Note 7) that is not solely within the control of the Company and would require the redemption of the then-outstanding Convertible Preferred Stock. Costs incurred in connection with the issuance of Convertible Preferred Stock were recorded as a reduction of gross proceeds from issuance. </w:t>
      </w:r>
    </w:p>
    <w:p>
      <w:pPr>
        <w:pStyle w:val="TextBody"/>
        <w:bidi w:val="0"/>
        <w:spacing w:before="240" w:after="0"/>
        <w:jc w:val="left"/>
        <w:rPr>
          <w:rFonts w:ascii="Times New Roman" w:hAnsi="Times New Roman"/>
          <w:sz w:val="20"/>
        </w:rPr>
      </w:pPr>
      <w:r>
        <w:rPr>
          <w:rFonts w:ascii="Times New Roman" w:hAnsi="Times New Roman"/>
          <w:sz w:val="20"/>
        </w:rPr>
        <w:t xml:space="preserve">Because the occurrence of a Deemed Liquidation Event is not currently probable, the carrying values of the Convertible Preferred Stock are not being accreted to their redemption values. Subsequent adjustments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Acquire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warrants as either equity classified or liability 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and principally consist of personnel costs as well as amounts paid to third parties for the provision of services for product candidate development and related supply costs. Upfront and milestone payments made to third parties in connection with agreements with third parties to license their technologies are generally expensed as incurred as acquired in-process research and development, up to the point of regulatory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In-process research and development that is associated with a product that has not yet achieved regulatory approval and is acquired in a transaction that does not qualify as a business combination under GAAP is recorded as “Acquired in-process research and development” in the Company’s statement of operations in accordance with ASC Topic 730, Research and Development Expense (“ASC 730”), as the asset acquired does not have an alternative future use. </w:t>
      </w:r>
    </w:p>
    <w:p>
      <w:pPr>
        <w:pStyle w:val="TextBody"/>
        <w:bidi w:val="0"/>
        <w:spacing w:before="240" w:after="0"/>
        <w:jc w:val="left"/>
        <w:rPr>
          <w:rFonts w:ascii="Times New Roman" w:hAnsi="Times New Roman"/>
          <w:sz w:val="20"/>
        </w:rPr>
      </w:pPr>
      <w:r>
        <w:rPr>
          <w:rFonts w:ascii="Times New Roman" w:hAnsi="Times New Roman"/>
          <w:sz w:val="20"/>
        </w:rPr>
        <w:t xml:space="preserve">Development milestones are accounted for as contingencies and will be recorded when payment becomes probable and the amount is estimable. These milestones will be recorded to research and development expense at that time. Regulatory milestones are based on criteria post-completion of the underlying research and development and give rise to a future economic benefit and are capitalized as a definite-lived intangible asset amortized over its economic life. Sales-based milestones are triggered after the first commercial sale, and will be expensed once the milestone is probable. Royalties are recorded as cost of sales in the same period as the sales that generate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employee and non-employee stock-based awards at their grant-date fair value and records compensation expense on a straight-line basis over the requisite service period of the awards. All stock-based compensation costs are recorded in the statement of operations based upon the underlying employees’ or non-employees’ roles within the Company. The Company accounts for forfeitures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common stock is estimated by the Company’s board of directors, with input from management considering the most recently available third-party valuation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the Company adopted the 2026 Equity Incentive Plan (the “Plan”). Awards may be made under the Plan covering up to 10,278,705 shares of common stock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which would result in the issuance of incremental shares of common stock. For diluted net loss per share, the weighted-average number of shares of common stock is the same as for basic net loss per share since when a net loss exists, potentially dilutive securities are not included in the calculation as their impact is anti-dilutive. The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excluded the outstanding securities, summarized below (shown as common stock equivalents), from the computation of diluted weighted-average shares of common stock outstanding, as they would be anti-dilutive.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3065"/>
        <w:gridCol w:w="120"/>
        <w:gridCol w:w="73"/>
        <w:gridCol w:w="1342"/>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Convertible Preferred Stock</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30,668,708</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stock</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137,666</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11,688,455</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pBdr>
                <w:top w:val="single" w:sz="2" w:space="1" w:color="000000"/>
              </w:pBdr>
              <w:bidi w:val="0"/>
              <w:spacing w:before="0" w:after="0"/>
              <w:jc w:val="left"/>
              <w:rPr/>
            </w:pPr>
            <w:r>
              <w:rPr/>
              <w:t> </w:t>
            </w:r>
          </w:p>
        </w:tc>
        <w:tc>
          <w:tcPr>
            <w:tcW w:w="134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42,494,829</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pBdr>
                <w:top w:val="double" w:sz="6" w:space="1" w:color="000000"/>
              </w:pBdr>
              <w:bidi w:val="0"/>
              <w:spacing w:before="0" w:after="0"/>
              <w:jc w:val="left"/>
              <w:rPr/>
            </w:pPr>
            <w:r>
              <w:rPr/>
              <w:t> </w:t>
            </w:r>
          </w:p>
        </w:tc>
        <w:tc>
          <w:tcPr>
            <w:tcW w:w="134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 in stockholders’ deficit of a business enterprise during a period from transactions and other events and circumstances from non-owner sources. Comprehensive loss includes net loss, as well as other changes in stockholders’ deficit that result from transactions and economic events other than those with stockholders. The Company’s comprehensive loss was equal to net loss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accounted for under the asset and liability method. The Company recognizes deferred tax assets and liabilities for temporary differences between the financial reporting basis and the tax basis of the Company’s assets and liabilities and the expected benefits of net operating loss carryforwards. The impact of changes in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rates and laws on deferred taxes, if any, applied during the period in which temporary differences are expected to be settled, is reflected in the Company’s financial statements in the period of enactment. The measurement of deferred tax assets is reduced, if necessary, when based on the weight of the evidence, it is more likely than not that some, or all, of the deferred tax assets will not be realized. As of June 30, 2026, the Company has concluded that a full valuation allowance was necessary for all of its deferred tax assets. The Company’s policy is to include interest and penalties related to unrecognized income tax benefits as a component of income tax expense. The Company has no accruals for interest or penalties in the balance sheet as of June 30, 2026, and has not recognized interest or penalties in the statement of operations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In September 2025, the FASB issued ASU 2025-07, “</w:t>
      </w:r>
      <w:r>
        <w:rPr>
          <w:rFonts w:ascii="Times New Roman" w:hAnsi="Times New Roman"/>
          <w:i/>
          <w:sz w:val="20"/>
        </w:rPr>
        <w:t>Derivatives and Hedging (Topic 815) and Revenue from Contracts with Customers (Topic 606): Derivatives Scope Refinements and Scope Clarification for Share-Based Non-cash Consideration from a Customer in a Revenue Contract.”</w:t>
      </w:r>
      <w:r>
        <w:rPr>
          <w:rFonts w:ascii="Times New Roman" w:hAnsi="Times New Roman"/>
          <w:sz w:val="20"/>
        </w:rPr>
        <w:t xml:space="preserve"> This ASU excludes from the scope of derivative accounting certain contracts with underlyings that are 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 606. The standard is effective for annual and interim reporting periods beginning after December 16, 2026, with early adoption permitted. The standard may be applied using a prospective or modified retrospective transition approach. The Company adopted this standard effective April 2, 2026 (inception) during the quarter ended June 30, 2026 using the modified retrospective transition approach. The new scope exception in ASC Topic 815 was applied to the evaluation of contingent payments related to the YolTech License Agreement. The new accounting standard had no impact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 xml:space="preserve">Income Taxes (Topic 740): Improvements to Income Tax Disclosures. </w:t>
      </w:r>
      <w:r>
        <w:rPr>
          <w:rFonts w:ascii="Times New Roman" w:hAnsi="Times New Roman"/>
          <w:sz w:val="20"/>
        </w:rPr>
        <w:t xml:space="preserve">The ASU requires the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2025. The Company adopted this standard on April 2,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2024-03, </w:t>
      </w:r>
      <w:r>
        <w:rPr>
          <w:rFonts w:ascii="Times New Roman" w:hAnsi="Times New Roman"/>
          <w:i/>
          <w:sz w:val="20"/>
        </w:rPr>
        <w:t>Income Statement — Reporting Comprehensive Income — Expense Disaggregation Disclosures</w:t>
      </w:r>
      <w:r>
        <w:rPr>
          <w:rFonts w:ascii="Times New Roman" w:hAnsi="Times New Roman"/>
          <w:sz w:val="20"/>
        </w:rPr>
        <w:t xml:space="preserve">. This ASU requires public companies to disclose, on an annual and interim basis, 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transfers among Level 1, Level 2 or Level 3 categories in the period of April 2, 2026 (inception) to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information about the Company’s financial assets and liabilities measured at fair value on a recurring basis and indicates the level of the fair value hierarchy utilized to determine such fair value (in thousands): </w:t>
      </w:r>
    </w:p>
    <w:p>
      <w:pPr>
        <w:pStyle w:val="TextBody"/>
        <w:bidi w:val="0"/>
        <w:spacing w:before="0" w:after="0"/>
        <w:jc w:val="left"/>
        <w:rPr/>
      </w:pPr>
      <w:r>
        <w:rPr/>
        <w:t> </w:t>
      </w:r>
    </w:p>
    <w:tbl>
      <w:tblPr>
        <w:tblW w:w="6995" w:type="dxa"/>
        <w:jc w:val="left"/>
        <w:tblInd w:w="0" w:type="dxa"/>
        <w:tblLayout w:type="fixed"/>
        <w:tblCellMar>
          <w:top w:w="0" w:type="dxa"/>
          <w:left w:w="0" w:type="dxa"/>
          <w:bottom w:w="0" w:type="dxa"/>
          <w:right w:w="0" w:type="dxa"/>
        </w:tblCellMar>
      </w:tblPr>
      <w:tblGrid>
        <w:gridCol w:w="3110"/>
        <w:gridCol w:w="120"/>
        <w:gridCol w:w="264"/>
        <w:gridCol w:w="491"/>
        <w:gridCol w:w="60"/>
        <w:gridCol w:w="120"/>
        <w:gridCol w:w="264"/>
        <w:gridCol w:w="491"/>
        <w:gridCol w:w="60"/>
        <w:gridCol w:w="120"/>
        <w:gridCol w:w="140"/>
        <w:gridCol w:w="680"/>
        <w:gridCol w:w="60"/>
        <w:gridCol w:w="120"/>
        <w:gridCol w:w="140"/>
        <w:gridCol w:w="680"/>
        <w:gridCol w:w="75"/>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79,365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79,365</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79,365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79,365</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12, 2026 the Company issued a pre-funded warrant to purchase 11,688,455 shares of the Series A-1 Convertible Preferred Stock to YolTech as partial consideration for the YolTech License Agreement (the “Warrant”) (see Note 7). The Company evaluated the Warrant and determined whether the Warrant should be an equity-classified or liability-classified instrument. The underlying Series A-1 Convertible Preferred Stock is puttable outside of the Company’s control, and, thus, the Warrant represents an obligation to repurchase the Series A-1 Convertible Preferred Stock by transferring assets. The Company determined that the Warrant should be classified as a non-current warrant liability recognized at its inception date fair value. The resulting aggregate fair value on the Warrant’s issuance date was determined to be $79.4 million. The fair value of the Warrant liability is classified within Level 3 of the fair value hierarchy, as the valuation incorporates significant unobservable inputs. The Company determines the fair value of the warrant liability using a scenario-based valuation method with inputs based on certain subjective assumptions, including (a) potential settlement scenarios and their relative probability weightings, (b) expected terms, (c) volatility and (d) the applicable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There was no significant change in fair value between the initial valuation and the reporting period of June 30, 2026. A summary of quantitative information with respect to the valuation methodology and significant unobservable inputs used for the Company’s warrant liability that is categorized within Level 3 of the fair value hierarchy as of June 12, 2026 and June 30, 2026 is as follows: </w:t>
      </w:r>
    </w:p>
    <w:p>
      <w:pPr>
        <w:pStyle w:val="TextBody"/>
        <w:bidi w:val="0"/>
        <w:spacing w:before="0" w:after="0"/>
        <w:jc w:val="left"/>
        <w:rPr/>
      </w:pPr>
      <w:r>
        <w:rPr/>
        <w:t> </w:t>
      </w:r>
    </w:p>
    <w:tbl>
      <w:tblPr>
        <w:tblW w:w="4005" w:type="dxa"/>
        <w:jc w:val="left"/>
        <w:tblInd w:w="0" w:type="dxa"/>
        <w:tblLayout w:type="fixed"/>
        <w:tblCellMar>
          <w:top w:w="0" w:type="dxa"/>
          <w:left w:w="0" w:type="dxa"/>
          <w:bottom w:w="0" w:type="dxa"/>
          <w:right w:w="0" w:type="dxa"/>
        </w:tblCellMar>
      </w:tblPr>
      <w:tblGrid>
        <w:gridCol w:w="2660"/>
        <w:gridCol w:w="120"/>
        <w:gridCol w:w="60"/>
        <w:gridCol w:w="875"/>
        <w:gridCol w:w="29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Scenarios allocation: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60.0</w:t>
            </w:r>
          </w:p>
        </w:tc>
        <w:tc>
          <w:tcPr>
            <w:tcW w:w="29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40.0</w:t>
            </w:r>
          </w:p>
        </w:tc>
        <w:tc>
          <w:tcPr>
            <w:tcW w:w="29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time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 years</w:t>
            </w:r>
          </w:p>
        </w:tc>
        <w:tc>
          <w:tcPr>
            <w:tcW w:w="29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 years</w:t>
            </w:r>
          </w:p>
        </w:tc>
        <w:tc>
          <w:tcPr>
            <w:tcW w:w="29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82.0</w:t>
            </w:r>
          </w:p>
        </w:tc>
        <w:tc>
          <w:tcPr>
            <w:tcW w:w="29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90.0</w:t>
            </w:r>
          </w:p>
        </w:tc>
        <w:tc>
          <w:tcPr>
            <w:tcW w:w="29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Longer-term trade sale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the changes in fair value of the Level 3 liabilities for the period of April 2, 2026 (inception) to June 30, 2026 (in thousands):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4190"/>
        <w:gridCol w:w="120"/>
        <w:gridCol w:w="295"/>
        <w:gridCol w:w="1435"/>
        <w:gridCol w:w="75"/>
      </w:tblGrid>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b/>
              </w:rPr>
            </w:pPr>
            <w:r>
              <w:rPr>
                <w:b/>
              </w:rPr>
              <w:t>Warrant liability</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April 2, 2026 (inception)</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recognized upon issuance of the Warrant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79,365</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single" w:sz="2" w:space="1" w:color="000000"/>
              </w:pBdr>
              <w:bidi w:val="0"/>
              <w:spacing w:before="0" w:after="0"/>
              <w:jc w:val="left"/>
              <w:rPr/>
            </w:pPr>
            <w:r>
              <w:rPr/>
              <w:t> </w:t>
            </w:r>
          </w:p>
        </w:tc>
        <w:tc>
          <w:tcPr>
            <w:tcW w:w="143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79,365</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pBdr>
                <w:top w:val="double" w:sz="6" w:space="1" w:color="000000"/>
              </w:pBdr>
              <w:bidi w:val="0"/>
              <w:spacing w:before="0" w:after="0"/>
              <w:jc w:val="left"/>
              <w:rPr/>
            </w:pPr>
            <w:r>
              <w:rPr/>
              <w:t> </w:t>
            </w:r>
          </w:p>
        </w:tc>
        <w:tc>
          <w:tcPr>
            <w:tcW w:w="143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(in thousands): </w:t>
      </w:r>
    </w:p>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2780"/>
        <w:gridCol w:w="120"/>
        <w:gridCol w:w="380"/>
        <w:gridCol w:w="1035"/>
        <w:gridCol w:w="75"/>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Reimbursements to related parties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535</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407</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103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942</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103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 9 for further information on the reimbursements to 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5. YolTech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June 2026, Serapha entered into the YolTech License Agreement. The YolTech License Agreement covers YolTech’s patents and know-how that are necessary or reasonably useful for the development, manufacture and commercialization of SERP-01 and other SERPINA1-directed product candidates. YolTech retains the rights in Greater China and continues to conduct the ongoing investigator-initiated trial as a collaboration between clinical sites in China and Germany. </w:t>
      </w:r>
    </w:p>
    <w:p>
      <w:pPr>
        <w:pStyle w:val="TextBody"/>
        <w:bidi w:val="0"/>
        <w:spacing w:before="240" w:after="0"/>
        <w:jc w:val="left"/>
        <w:rPr>
          <w:rFonts w:ascii="Times New Roman" w:hAnsi="Times New Roman"/>
          <w:sz w:val="20"/>
        </w:rPr>
      </w:pPr>
      <w:r>
        <w:rPr>
          <w:rFonts w:ascii="Times New Roman" w:hAnsi="Times New Roman"/>
          <w:sz w:val="20"/>
        </w:rPr>
        <w:t xml:space="preserve">Under the YolTech License Agreement, Serapha paid YolTech a non-refundable upfront payment of $85.0 million and issued YolTech a pre-funded warrant, exercise price of $0.00001, to purchase 11,688,455 shares of non-voting Series A-1 Convertible Preferred Stock (see Note 7). The Warrant had an estimated fair value of $79.4 million as of June 30, 2026. The upfront payment and fair value of the Warrant issued have been recorded as acquired in-process research and development in the Company’s statement of operations for the period of April 2, 2026 (inception) to June 30, 2026 since further development and regulatory approval of the licensed product candidates are necessary and there is no alternative use that the Company could benefit from. The upfront payment was recorded in accrued up-front license payment at June 30, 2026. </w:t>
      </w:r>
    </w:p>
    <w:p>
      <w:pPr>
        <w:pStyle w:val="TextBody"/>
        <w:bidi w:val="0"/>
        <w:spacing w:before="240" w:after="0"/>
        <w:jc w:val="left"/>
        <w:rPr>
          <w:rFonts w:ascii="Times New Roman" w:hAnsi="Times New Roman"/>
          <w:sz w:val="20"/>
        </w:rPr>
      </w:pPr>
      <w:r>
        <w:rPr>
          <w:rFonts w:ascii="Times New Roman" w:hAnsi="Times New Roman"/>
          <w:sz w:val="20"/>
        </w:rPr>
        <w:t xml:space="preserve">YolTech is also eligible to receive up to approximately $167.0 million in certain development and regulatory milestone payments and up to approximately $1.88 billion in sales-based milestone payments, as well as tiered royalties ranging from mid-single digit to low-teens on annual net sales of SERP-01 in the licensed territory. The royalty rates are subject to customary reductions, in each case subject to an aggregate floor. Royalties are payable on a product-by-product and country-by-country basis until the latest of the expiration of the last licensed patent covering the composition of matter, method of use or method of making of such applicable product in the applicable country, the tenth anniversary of the first commercial sale of the product in that country, and the expiration of applicable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requested that YolTech provide all additional technical and regulatory assistance reasonably necessary to enable the Company to file an IND in the Licensed Territory (as defined in the YolTech License Agreement) or to effect the transfer or assignment of YolTech’s Existing IND to the Company, in each case subject to the Company’s reimbursement of full time equivalent costs and out-of-pocket costs actually incurred by YolTech in providing such assistance. For the period from April 2, 2026 (inception) through June 30, 2026, the Company has incurred costs of $0.1 million to YolTech for these services recorded as research and development in the Company’s statement of operations for the period of April 2, 2026 (inception)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YolTech License Agreement also provides that, before the first Phase 3 topline data readout, Serapha must pay to YolTech a specified portion of certain proceeds from qualifying sublicensing transactions or a change of control (excluding financings, the Merger and similar transactions). During the term, each party is restricted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developing competing SERPINA1-directed gene therapies, subject to customary acquisition-related exceptions. Serapha may terminate the YolTech License Agreement for convenience on prior notice, and each party may terminate for the other’s uncured material breach or insolvency; YolTech may also terminate in specified circumstances, including if Serapha challenges the licensed patents or does not conduct development or commercialization activities for an extended period. Upon expiration of the royalty term, Serapha’s licenses become fully paid-up, perpetual and royalty-free. </w:t>
      </w:r>
    </w:p>
    <w:p>
      <w:pPr>
        <w:pStyle w:val="TextBody"/>
        <w:bidi w:val="0"/>
        <w:spacing w:before="360" w:after="0"/>
        <w:jc w:val="left"/>
        <w:rPr>
          <w:rFonts w:ascii="Times New Roman" w:hAnsi="Times New Roman"/>
          <w:b/>
          <w:sz w:val="20"/>
        </w:rPr>
      </w:pPr>
      <w:r>
        <w:rPr>
          <w:rFonts w:ascii="Times New Roman" w:hAnsi="Times New Roman"/>
          <w:b/>
          <w:sz w:val="20"/>
        </w:rPr>
        <w:t xml:space="preserve">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Liabilities for loss contingencies arising from claims, assessments, litigation, fines, penalties, and other sources are recorded when it is probable that a liability has been incurred and the amount of the assessment and/or remediation can be reasonably estimated. </w:t>
      </w:r>
    </w:p>
    <w:p>
      <w:pPr>
        <w:pStyle w:val="TextBody"/>
        <w:bidi w:val="0"/>
        <w:spacing w:before="360" w:after="0"/>
        <w:jc w:val="left"/>
        <w:rPr>
          <w:rFonts w:ascii="Times New Roman" w:hAnsi="Times New Roman"/>
          <w:b/>
          <w:sz w:val="20"/>
        </w:rPr>
      </w:pPr>
      <w:r>
        <w:rPr>
          <w:rFonts w:ascii="Times New Roman" w:hAnsi="Times New Roman"/>
          <w:b/>
          <w:sz w:val="20"/>
        </w:rPr>
        <w:t xml:space="preserve">7. Convertible Preferred Stock, Warrants and Common Stock </w:t>
      </w:r>
    </w:p>
    <w:p>
      <w:pPr>
        <w:pStyle w:val="TextBody"/>
        <w:bidi w:val="0"/>
        <w:spacing w:before="12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June 2026, the Company sold 30,668,708 shares of Series A Convertible Preferred Stock at an original issue price of $4.50 per share resulting in gross proceeds of $138.0 million (the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Series A Convertible Preferred Stock and Series A-1 Convertible Preferred Stock shall have the same rights, preferences, privileges and restrictions, except that the Series A-1 Convertible Preferred Stock shall be non-voting. The following is a summary of the rights, preferences, and terms of the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are entitled to receive dividends payable when, as and if declared by the board of directors of the Company, with the holders of common stock, paid out of any assets or on the common stock of the Company, on an as-converted to common stock basis. The Company may not declare or pay dividends on common stock or other junior securities unless the holders of Convertible Preferred Stock receive, on a pro rata, as-converted basis, dividends at least equal to those payable on the common stock. No dividends on common stock were declared or paid from inception through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A Convertible Preferred Stock are entitled to vote on any matter presented to the stockholders of the Company. Each holder of outstanding shares of Series A Convertible Preferred Stock is entitled to the number of votes equal to the number of shares of common stock into which the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Convertible Preferred Stock are convertible. Series A-1 Convertible Preferred Stock has no voting rights. For as long as at least 15,334,197 shares of Series A Convertible Preferred Stock remain outstanding, holders of Series A Convertible Preferred Stock are entitled to elect five directors. The holders of common stock and Series A Convertible Preferred Stock, together as a single class, are entitled to elect the balance of the total directors of the Company on an as-converted basis. As of June 30, 2026, the Company had seven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including a Deemed Liquidation Event (as described below), the holders of Convertible Preferred Stock shall be entitled to be paid out of the consideration payable to stockholders before any payment shall be made to the holders of common stock, an amount equal to the greater of (a) the original issue price, plus any dividends declared but unpaid, or (b) such amount per share as would have been payable had all shares of Convertible Preferred Stock been converted into common stock immediately prior to liquidation, dissolution or winding up. As of June 30, 2026, the liquidation amount is $4.50 per share for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Deemed Liquidation Event shall include a merger or consolidation in which the Company is a constituent party (other than one in which the current stockholders of the Company own a majority of the voting power of the outstanding shares of the surviving company) or the sale, lease, transfer, exclusive license or other disposition of all or substantially all of the business or assets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into a number of shares of common stock equal to the original issue price divided by the conversion price, subject to adjustment for stock splits, stock dividends, combinations and similar recapitalizations, as well as certain anti-dilution adjustments in the event of issuances of equity securities at a price below the then-effective conversion price, as set forth in the Company’s Amended and Restated Certificate of Incorporation. The conversion price is $4.50 per share for Convertible Preferred Stock. As a result, as of June 30, 2026, each outstanding share of Convertible Preferred Stock is convertible into one share of common stock. The Convertible Preferred Stock automatically converts to common stock upon (a) an initial public offering resulting in a pre-money valuation of the Company of at least $250 million and at least $50 million in gross proceeds to the Company; or (b) upon a closing of a business combination between the Company and a public company pursuant to the public company acquiring 100% of the Company’s outstanding equity (including a reverse merger). </w:t>
      </w:r>
    </w:p>
    <w:p>
      <w:pPr>
        <w:pStyle w:val="TextBody"/>
        <w:bidi w:val="0"/>
        <w:spacing w:before="240" w:after="0"/>
        <w:jc w:val="left"/>
        <w:rPr>
          <w:rFonts w:ascii="Times New Roman" w:hAnsi="Times New Roman"/>
          <w:sz w:val="20"/>
        </w:rPr>
      </w:pPr>
      <w:r>
        <w:rPr>
          <w:rFonts w:ascii="Times New Roman" w:hAnsi="Times New Roman"/>
          <w:sz w:val="20"/>
        </w:rPr>
        <w:t xml:space="preserve">The Series A Convertible Preferred Stock is subject to a special mandatory conversion (pay-to-play) provision under which a holder that does not participate in a qualified financing to the extent of its pro rata amount will have its Series A Convertible Preferred Stock automatically converted into common stock at a reduced ratio of one-tenth of the otherwise-applicable conversion ratio.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upon a Deemed Liquidation Event — generally a merger, consolidation, or sale of substantially all of the Company’s assets resulting in a change of control — in which case the holders of Series A Convertible Preferred Stock are entitled to receive their liquidation preference before any distribution to common stockholders, and, if the event occurs and the Company does not dissolve within a specified period, the requisite holders may elect to have their shares redeemed for that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On June 12, 2026, the Company issued the Warrant to purchase 11,688,455 shares of Series A-1 Convertible Preferred Stock as part of the consideration for the license representing 19.9% of the Company’s fully-diluted capitalization immediately after the initial closing of the Series A Financing. The Warrant has an exercise price of $0.00001 per share (equal to par value) which is deemed prepaid and satisfied in full by the value transferred by YolTech under the YolTech License Agreement. The Warrant’s share number is subject to automatic upward adjustment during the Anti-Dilution Period (as defined in the Warrant Subscription Agreement) to preserve the 19.9% ownership level; the Anti-Dilution Period terminates on the earliest of (a) the Company’s aggregate capital raise (inclusive of the Series A Financing) equaling or exceeding $400 million and (b) the consummation of a Going Public Event (IPO, reverse merger, or direct listing on NASDAQ, NYSE or a comparable exchange). Exercise of the Warrant is subject to a beneficial ownership cap equal to 9.9% of the Company’s common stock outstanding. The Warrant expires on the tenth anniversary of the Effective Date (as defined in the Warrant Subscription Agreement) and, unless YolTech elects otherwise, is subject to automatic exercise immediately prior to expiration. Upon consummation of a Going Public Event, the Warrant is not exercised, converted, or extinguished; rather, its underlying security is automatically adjusted from Series A-1 Convertible Preferred Stock to the Company’s common stock (of the Company in the case of an IPO or direct listing, or of the public company in the case of a reverse merger, in either case on a share-for-share basis using the applicable then-current conversion or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8.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the Company adopted the Plan. Awards may be made under the Plan covering up to 10,278,705 shares of common stock of the Company. As of June 30, 2026, there were 10,278,705 shares available to be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1,862,334 shares of common stock to an investor with a fair value of $2.54 per share. The shares are fully vested with no forfeiture provision, and the total fair value of $4.7 million was immediately expensed to general and administrative expense in the Company’s statement of operations for the period of April 2, 2026 (inception) to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restricted common stock to non-employee consultants in exchange for their continued service. The shares vest ratably over four years for non-employee consultants and are subject to repurchase by the Company at the original purchase price in the event the non-employee consultant ceases to provide services during the vesting period. Vested shares have additional restrictions related to transferring while shares of common stock remain outstanding. In the period of April 2, 2026 (inception) to June 30, 2026, the Company granted 137,666 shares of restricted common stock, at $0.001 per share, that were unvested as of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estimated grant-date fair value of the restricted stock was $2.54 per share, which is the determined fair value of the underlying common stock, for a total of $0.3 million, which will be expensed over the vesting period of the restricted stock. For the period of April 2, 2026 (inception) to June 30, 2026, $0.007 million was expensed to research and development expense in the Company’s statement of operations. At June 30, 2026, the unrecognized compensation cost related to the restricted stock was $0.3 million, which is expected to be recognized as an expense on a straight-line basis over approximately 3.96 years.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June 2026, the Company’s majority common stockholders participated in the Convertible Preferred Stock financing for a combined $66.0 million. Additionally, as of June 30, 2026, the Company owed these investors $0.5 million for reimbursement of consulting expenses incurred prior to the Company’s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June 2, 2026, Serapha entered into a three-year Services Agreement (the “Carnot Services Agreement”) with Carnot Pharma, LLC (“Carnot”), an entity controlled by RA Capital Management, L.P. Funds affiliated with RA Capital Management, L.P. hold 16.8% of the Company’s securities on a fully diluted basis. Pursuant to the Carnot Services Agreement, Carnot provides certain research and development, general corporate preparatory and other services to Serapha in connection with its clinical trials. Serapha pays Carnot for services performed and costs incurred. For the period of April 2, 2026 (inception) to June 30, 2026, the Company incurred $0.1 million of costs related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10.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losses, all in domestic jurisdictions, since inception and has not recorded current or deferred income taxes.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 benefit at the U.S. federal statutory rate and income taxes as reflected in the financial statements is as follows: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3710"/>
        <w:gridCol w:w="120"/>
        <w:gridCol w:w="60"/>
        <w:gridCol w:w="755"/>
        <w:gridCol w:w="155"/>
        <w:gridCol w:w="120"/>
        <w:gridCol w:w="60"/>
        <w:gridCol w:w="380"/>
        <w:gridCol w:w="36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April 2, 2026</w:t>
              <w:br/>
              <w:t>(inception)</w:t>
              <w:br/>
              <w:t>through</w:t>
              <w:br/>
              <w:t>June 30, 2026</w:t>
            </w:r>
          </w:p>
        </w:tc>
        <w:tc>
          <w:tcPr>
            <w:tcW w:w="36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income tax provision at statutory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(35,731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w:t>
            </w:r>
          </w:p>
        </w:tc>
        <w:tc>
          <w:tcPr>
            <w:tcW w:w="36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34,736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w:t>
            </w:r>
          </w:p>
        </w:tc>
        <w:tc>
          <w:tcPr>
            <w:tcW w:w="36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w:t>
            </w:r>
          </w:p>
        </w:tc>
        <w:tc>
          <w:tcPr>
            <w:tcW w:w="36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components of the Company’s deferred tax assets and liabilities for federal income taxes were as follows (in thousands): </w:t>
      </w:r>
    </w:p>
    <w:p>
      <w:pPr>
        <w:pStyle w:val="TextBody"/>
        <w:bidi w:val="0"/>
        <w:spacing w:before="0" w:after="0"/>
        <w:jc w:val="left"/>
        <w:rPr/>
      </w:pPr>
      <w:r>
        <w:rPr/>
        <w:t> </w:t>
      </w:r>
    </w:p>
    <w:tbl>
      <w:tblPr>
        <w:tblW w:w="6405" w:type="dxa"/>
        <w:jc w:val="left"/>
        <w:tblInd w:w="0" w:type="dxa"/>
        <w:tblLayout w:type="fixed"/>
        <w:tblCellMar>
          <w:top w:w="0" w:type="dxa"/>
          <w:left w:w="0" w:type="dxa"/>
          <w:bottom w:w="0" w:type="dxa"/>
          <w:right w:w="0" w:type="dxa"/>
        </w:tblCellMar>
      </w:tblPr>
      <w:tblGrid>
        <w:gridCol w:w="4700"/>
        <w:gridCol w:w="120"/>
        <w:gridCol w:w="221"/>
        <w:gridCol w:w="1194"/>
        <w:gridCol w:w="170"/>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45,047</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566</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deferred tax assets before valuation allowance</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45,613</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(45,517</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96</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tbl>
      <w:tblPr>
        <w:tblW w:w="4710" w:type="dxa"/>
        <w:jc w:val="left"/>
        <w:tblInd w:w="0" w:type="dxa"/>
        <w:tblLayout w:type="fixed"/>
        <w:tblCellMar>
          <w:top w:w="0" w:type="dxa"/>
          <w:left w:w="0" w:type="dxa"/>
          <w:bottom w:w="0" w:type="dxa"/>
          <w:right w:w="0" w:type="dxa"/>
        </w:tblCellMar>
      </w:tblPr>
      <w:tblGrid>
        <w:gridCol w:w="3005"/>
        <w:gridCol w:w="120"/>
        <w:gridCol w:w="417"/>
        <w:gridCol w:w="998"/>
        <w:gridCol w:w="170"/>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shares</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(96</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pBdr>
                <w:top w:val="single" w:sz="2" w:space="1" w:color="000000"/>
              </w:pBdr>
              <w:bidi w:val="0"/>
              <w:spacing w:before="0" w:after="0"/>
              <w:jc w:val="left"/>
              <w:rPr/>
            </w:pPr>
            <w:r>
              <w:rPr/>
              <w:t> </w:t>
            </w:r>
          </w:p>
        </w:tc>
        <w:tc>
          <w:tcPr>
            <w:tcW w:w="99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(96</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pBdr>
                <w:top w:val="single" w:sz="2" w:space="1" w:color="000000"/>
              </w:pBdr>
              <w:bidi w:val="0"/>
              <w:spacing w:before="0" w:after="0"/>
              <w:jc w:val="left"/>
              <w:rPr/>
            </w:pPr>
            <w:r>
              <w:rPr/>
              <w:t> </w:t>
            </w:r>
          </w:p>
        </w:tc>
        <w:tc>
          <w:tcPr>
            <w:tcW w:w="99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 and liabilities</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pBdr>
                <w:top w:val="double" w:sz="6" w:space="1" w:color="000000"/>
              </w:pBdr>
              <w:bidi w:val="0"/>
              <w:spacing w:before="0" w:after="0"/>
              <w:jc w:val="left"/>
              <w:rPr/>
            </w:pPr>
            <w:r>
              <w:rPr/>
              <w:t> </w:t>
            </w:r>
          </w:p>
        </w:tc>
        <w:tc>
          <w:tcPr>
            <w:tcW w:w="99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a valuation allowance against its deferred tax assets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assets. Based upon the historical and anticipated future losses, management has determined that the deferred tax assets do not meet the more-likely-than-not threshold for realizability. As a result, the Company recorded a valuation allowance against its deferred tax assets as of June 30, 2026. The valuation allowance increased by $45.5 million during the period from April 2, 2026 (inception)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federal net operating loss (“NOL”) carryforwards of $2.1 million, which will be carried forward indefinitely to offset future taxable income, subject to an 80% limitation of taxable income annually. In addition, the Company had state NOLs of $2.1 million, which also carry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no accrued interest or penalties related to uncertain tax positions and no amounts have been recognized in the Company’s financial statements. The Company is generally subject to a three-year statute of limitations for federal and state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382 of the Internal Revenue Code of 1986, as amended (the “Code”), if a corporation undergoes an ownership change, the corporation’s ability to use its pre-change net operating loss carryforwards and other pre-change tax attributes to offset its post-change income may be limited. The Company has not completed a study to assess whether an ownership change has occurred or whether there have been multiple ownership changes since the Company became a loss corporation as defined in Section 382 of the Code. Future changes in the Company’s capital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for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11.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relating to the research and development of its AATD research programs. </w:t>
      </w:r>
    </w:p>
    <w:p>
      <w:pPr>
        <w:pStyle w:val="TextBody"/>
        <w:bidi w:val="0"/>
        <w:spacing w:before="240" w:after="0"/>
        <w:jc w:val="left"/>
        <w:rPr>
          <w:rFonts w:ascii="Times New Roman" w:hAnsi="Times New Roman"/>
          <w:sz w:val="20"/>
        </w:rPr>
      </w:pPr>
      <w:r>
        <w:rPr>
          <w:rFonts w:ascii="Times New Roman" w:hAnsi="Times New Roman"/>
          <w:sz w:val="20"/>
        </w:rPr>
        <w:t xml:space="preserve">The CODM manages the Company’s operations on a total basis and uses net loss for the allocation of resources and the assessment of performance. Although the Company’s financial reporting package that is reviewed and approved by the CODM disaggregates significant expenses, such as program-level expenses, decisions made by the CODM are based upon reviewing operating metrics and performance indications at the Company-wide level and net loss. The CODM uses net loss to evaluate loss generated from the Company’s business activities in deciding how to allocate company resources and in monitoring budget versus actual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is a summary of significant expense categories regularly provided to the CODM (in thousands):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3815"/>
        <w:gridCol w:w="120"/>
        <w:gridCol w:w="262"/>
        <w:gridCol w:w="1498"/>
        <w:gridCol w:w="75"/>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2, 2026</w:t>
              <w:br/>
              <w:t>(inception)</w:t>
              <w:br/>
              <w:t>through June 30,</w:t>
              <w:br/>
              <w:t>2026</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4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AATD research and development costs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164,617</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5,262</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pBdr>
                <w:top w:val="single" w:sz="2" w:space="1" w:color="000000"/>
              </w:pBdr>
              <w:bidi w:val="0"/>
              <w:spacing w:before="0" w:after="0"/>
              <w:jc w:val="left"/>
              <w:rPr/>
            </w:pPr>
            <w:r>
              <w:rPr/>
              <w:t> </w:t>
            </w:r>
          </w:p>
        </w:tc>
        <w:tc>
          <w:tcPr>
            <w:tcW w:w="149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498" w:type="dxa"/>
            <w:tcBorders/>
            <w:vAlign w:val="center"/>
          </w:tcPr>
          <w:p>
            <w:pPr>
              <w:pStyle w:val="TableContents"/>
              <w:bidi w:val="0"/>
              <w:spacing w:before="0" w:after="283"/>
              <w:jc w:val="right"/>
              <w:rPr/>
            </w:pPr>
            <w:r>
              <w:rPr/>
              <w:t>170,146</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pBdr>
                <w:top w:val="double" w:sz="6" w:space="1" w:color="000000"/>
              </w:pBdr>
              <w:bidi w:val="0"/>
              <w:spacing w:before="0" w:after="0"/>
              <w:jc w:val="left"/>
              <w:rPr/>
            </w:pPr>
            <w:r>
              <w:rPr/>
              <w:t> </w:t>
            </w:r>
          </w:p>
        </w:tc>
        <w:tc>
          <w:tcPr>
            <w:tcW w:w="149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from the balance sheet date through August 31, 2026, the issuance date of these financial statements, and has not identified any events requiring disclosure except as noted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2026, the first development milestone of $10.0 million under the YolTech License Agreement was achieved based upon the determination of the safety review committee and will be recorded to research and development expense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89" w:name="annexacov"/>
      <w:bookmarkEnd w:id="89"/>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BOUNDLESS 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BOULDER MERGER SUB CORP.;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22,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8000" w:type="dxa"/>
        <w:jc w:val="left"/>
        <w:tblInd w:w="0" w:type="dxa"/>
        <w:tblLayout w:type="fixed"/>
        <w:tblCellMar>
          <w:top w:w="0" w:type="dxa"/>
          <w:left w:w="0" w:type="dxa"/>
          <w:bottom w:w="0" w:type="dxa"/>
          <w:right w:w="0" w:type="dxa"/>
        </w:tblCellMar>
      </w:tblPr>
      <w:tblGrid>
        <w:gridCol w:w="515"/>
        <w:gridCol w:w="120"/>
        <w:gridCol w:w="1205"/>
        <w:gridCol w:w="120"/>
        <w:gridCol w:w="5270"/>
        <w:gridCol w:w="120"/>
        <w:gridCol w:w="60"/>
        <w:gridCol w:w="515"/>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23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230" w:type="dxa"/>
            <w:gridSpan w:val="5"/>
            <w:tcBorders/>
            <w:vAlign w:val="center"/>
          </w:tcPr>
          <w:p>
            <w:pPr>
              <w:pStyle w:val="TableContents"/>
              <w:bidi w:val="0"/>
              <w:spacing w:before="0" w:after="0"/>
              <w:jc w:val="left"/>
              <w:rPr/>
            </w:pPr>
            <w:hyperlink w:anchor="annextoc108148_1">
              <w:r>
                <w:rPr>
                  <w:rStyle w:val="InternetLink"/>
                  <w:rFonts w:ascii="Times New Roman" w:hAnsi="Times New Roman"/>
                  <w:sz w:val="20"/>
                </w:rPr>
                <w:t xml:space="preserve">Article I. Definitions and Interpretative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539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1.1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
              <w:r>
                <w:rPr>
                  <w:rStyle w:val="InternetLink"/>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1.2</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
              <w:r>
                <w:rPr>
                  <w:rStyle w:val="InternetLink"/>
                </w:rPr>
                <w:t>Other Definitional and Interpretative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A-16</w:t>
            </w:r>
          </w:p>
        </w:tc>
        <w:tc>
          <w:tcPr>
            <w:tcW w:w="75" w:type="dxa"/>
            <w:tcBorders/>
            <w:vAlign w:val="center"/>
          </w:tcPr>
          <w:p>
            <w:pPr>
              <w:pStyle w:val="TableContents"/>
              <w:bidi w:val="0"/>
              <w:spacing w:before="0" w:after="283"/>
              <w:jc w:val="left"/>
              <w:rPr/>
            </w:pPr>
            <w:r>
              <w:rPr/>
              <w:t> </w:t>
            </w:r>
          </w:p>
        </w:tc>
      </w:tr>
      <w:tr>
        <w:trPr/>
        <w:tc>
          <w:tcPr>
            <w:tcW w:w="723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230" w:type="dxa"/>
            <w:gridSpan w:val="5"/>
            <w:tcBorders/>
            <w:vAlign w:val="center"/>
          </w:tcPr>
          <w:p>
            <w:pPr>
              <w:pStyle w:val="TableContents"/>
              <w:bidi w:val="0"/>
              <w:spacing w:before="0" w:after="0"/>
              <w:jc w:val="left"/>
              <w:rPr/>
            </w:pPr>
            <w:hyperlink w:anchor="annextoc108148_4">
              <w:r>
                <w:rPr>
                  <w:rStyle w:val="InternetLink"/>
                  <w:rFonts w:ascii="Times New Roman" w:hAnsi="Times New Roman"/>
                  <w:sz w:val="20"/>
                </w:rPr>
                <w:t xml:space="preserve">Article II. Description of Transaction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539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5">
              <w:r>
                <w:rPr>
                  <w:rStyle w:val="InternetLink"/>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2.2</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6">
              <w:r>
                <w:rPr>
                  <w:rStyle w:val="InternetLink"/>
                </w:rPr>
                <w:t>Effects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2.3</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7">
              <w:r>
                <w:rPr>
                  <w:rStyle w:val="InternetLink"/>
                </w:rPr>
                <w:t>Closing; 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2.4</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8">
              <w:r>
                <w:rPr>
                  <w:rStyle w:val="InternetLink"/>
                </w:rPr>
                <w:t>Organizational Documents;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2.5</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9">
              <w:r>
                <w:rPr>
                  <w:rStyle w:val="InternetLink"/>
                </w:rPr>
                <w:t>Conversion of Company, Merger Sub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2.6</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0">
              <w:r>
                <w:rPr>
                  <w:rStyle w:val="InternetLink"/>
                </w:rPr>
                <w:t>Closing of the Company’s Transfer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2.7</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1">
              <w:r>
                <w:rPr>
                  <w:rStyle w:val="InternetLink"/>
                </w:rPr>
                <w:t>Surrender of Company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2.8</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2">
              <w:r>
                <w:rPr>
                  <w:rStyle w:val="InternetLink"/>
                </w:rPr>
                <w:t>Calculation of Net Cash and Company Valuation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2.9</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3">
              <w:r>
                <w:rPr>
                  <w:rStyle w:val="InternetLink"/>
                </w:rPr>
                <w:t>Further 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2.10</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4">
              <w:r>
                <w:rPr>
                  <w:rStyle w:val="InternetLink"/>
                </w:rPr>
                <w:t>Intended Tax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5">
              <w:r>
                <w:rPr>
                  <w:rStyle w:val="InternetLink"/>
                </w:rPr>
                <w:t>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723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230" w:type="dxa"/>
            <w:gridSpan w:val="5"/>
            <w:tcBorders/>
            <w:vAlign w:val="center"/>
          </w:tcPr>
          <w:p>
            <w:pPr>
              <w:pStyle w:val="TableContents"/>
              <w:bidi w:val="0"/>
              <w:spacing w:before="0" w:after="0"/>
              <w:jc w:val="left"/>
              <w:rPr/>
            </w:pPr>
            <w:hyperlink w:anchor="annextoc108148_16">
              <w:r>
                <w:rPr>
                  <w:rStyle w:val="InternetLink"/>
                  <w:rFonts w:ascii="Times New Roman" w:hAnsi="Times New Roman"/>
                  <w:sz w:val="20"/>
                </w:rPr>
                <w:t xml:space="preserve">Article III. Representations and Warranties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539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7">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8">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3.3</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19">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3.4</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0">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3.5</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1">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3.6</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2">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3.7</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3">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3.8</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4">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3.9</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5">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3.10</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6">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7">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3.12</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8">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3.13</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29">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3.14</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0">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3.15</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1">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3.16</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2">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3.17</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3">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3.18</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4">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3.19</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5">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3.20</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6">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3.21</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7">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3.22</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8">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3.23</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39">
              <w:r>
                <w:rPr>
                  <w:rStyle w:val="InternetLink"/>
                </w:rPr>
                <w:t>Certain Payments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3.24</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40">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3.25</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41">
              <w:r>
                <w:rPr>
                  <w:rStyle w:val="InternetLink"/>
                </w:rPr>
                <w:t>Ownership of Parent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3.26</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42">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3.27</w:t>
            </w:r>
          </w:p>
        </w:tc>
        <w:tc>
          <w:tcPr>
            <w:tcW w:w="12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hyperlink w:anchor="annextoc108148_43">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90" w:type="dxa"/>
        <w:jc w:val="left"/>
        <w:tblInd w:w="0" w:type="dxa"/>
        <w:tblLayout w:type="fixed"/>
        <w:tblCellMar>
          <w:top w:w="0" w:type="dxa"/>
          <w:left w:w="0" w:type="dxa"/>
          <w:bottom w:w="0" w:type="dxa"/>
          <w:right w:w="0" w:type="dxa"/>
        </w:tblCellMar>
      </w:tblPr>
      <w:tblGrid>
        <w:gridCol w:w="515"/>
        <w:gridCol w:w="120"/>
        <w:gridCol w:w="1205"/>
        <w:gridCol w:w="120"/>
        <w:gridCol w:w="4160"/>
        <w:gridCol w:w="120"/>
        <w:gridCol w:w="60"/>
        <w:gridCol w:w="515"/>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612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0" w:type="dxa"/>
            <w:gridSpan w:val="5"/>
            <w:tcBorders/>
            <w:vAlign w:val="center"/>
          </w:tcPr>
          <w:p>
            <w:pPr>
              <w:pStyle w:val="TableContents"/>
              <w:bidi w:val="0"/>
              <w:spacing w:before="0" w:after="0"/>
              <w:jc w:val="left"/>
              <w:rPr/>
            </w:pPr>
            <w:hyperlink w:anchor="annextoc108148_44">
              <w:r>
                <w:rPr>
                  <w:rStyle w:val="InternetLink"/>
                  <w:rFonts w:ascii="Times New Roman" w:hAnsi="Times New Roman"/>
                  <w:sz w:val="20"/>
                </w:rPr>
                <w:t xml:space="preserve">Article IV. Representations and Warranties of Parent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45">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46">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4.3</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47">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4.4</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48">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4.5</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49">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4.6</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0">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4.7</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1">
              <w:r>
                <w:rPr>
                  <w:rStyle w:val="InternetLink"/>
                </w:rPr>
                <w:t>SEC Filings;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4.8</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2">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4.9</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3">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4.10</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4">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5">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6">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4.13</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7">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4.14</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8">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4.15</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59">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4.16</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0">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4.17</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1">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4.18</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2">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4.19</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3">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4.20</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4">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5">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6">
              <w:r>
                <w:rPr>
                  <w:rStyle w:val="InternetLink"/>
                </w:rPr>
                <w:t>Valid Issuance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4.23</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7">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4.24</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8">
              <w:r>
                <w:rPr>
                  <w:rStyle w:val="InternetLink"/>
                </w:rPr>
                <w:t>Certain Payments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4.25</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69">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4.26</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0">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612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0" w:type="dxa"/>
            <w:gridSpan w:val="5"/>
            <w:tcBorders/>
            <w:vAlign w:val="center"/>
          </w:tcPr>
          <w:p>
            <w:pPr>
              <w:pStyle w:val="TableContents"/>
              <w:bidi w:val="0"/>
              <w:spacing w:before="0" w:after="0"/>
              <w:jc w:val="left"/>
              <w:rPr/>
            </w:pPr>
            <w:hyperlink w:anchor="annextoc108148_71">
              <w:r>
                <w:rPr>
                  <w:rStyle w:val="InternetLink"/>
                  <w:rFonts w:ascii="Times New Roman" w:hAnsi="Times New Roman"/>
                  <w:sz w:val="20"/>
                </w:rPr>
                <w:t xml:space="preserve">Article V. Certain Covenants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2">
              <w:r>
                <w:rPr>
                  <w:rStyle w:val="InternetLink"/>
                </w:rPr>
                <w:t>Operation of Parent’s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3">
              <w:r>
                <w:rPr>
                  <w:rStyle w:val="InternetLink"/>
                </w:rPr>
                <w:t>Operation of the Company’s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5.3</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4">
              <w:r>
                <w:rPr>
                  <w:rStyle w:val="InternetLink"/>
                </w:rPr>
                <w:t>Access and Investigation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5.4</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5">
              <w:r>
                <w:rPr>
                  <w:rStyle w:val="InternetLink"/>
                </w:rPr>
                <w:t>No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5.5</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6">
              <w:r>
                <w:rPr>
                  <w:rStyle w:val="InternetLink"/>
                </w:rPr>
                <w:t>Notification of Certain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5.6</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7">
              <w:r>
                <w:rPr>
                  <w:rStyle w:val="InternetLink"/>
                </w:rPr>
                <w:t>Parent Legacy Transaction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612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0" w:type="dxa"/>
            <w:gridSpan w:val="5"/>
            <w:tcBorders/>
            <w:vAlign w:val="center"/>
          </w:tcPr>
          <w:p>
            <w:pPr>
              <w:pStyle w:val="TableContents"/>
              <w:bidi w:val="0"/>
              <w:spacing w:before="0" w:after="0"/>
              <w:jc w:val="left"/>
              <w:rPr/>
            </w:pPr>
            <w:hyperlink w:anchor="annextoc108148_78">
              <w:r>
                <w:rPr>
                  <w:rStyle w:val="InternetLink"/>
                  <w:rFonts w:ascii="Times New Roman" w:hAnsi="Times New Roman"/>
                  <w:sz w:val="20"/>
                </w:rPr>
                <w:t xml:space="preserve">Article VI. Additional Agreements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79">
              <w:r>
                <w:rPr>
                  <w:rStyle w:val="InternetLink"/>
                </w:rPr>
                <w:t>Registration Statement,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0">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6.3</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1">
              <w:r>
                <w:rPr>
                  <w:rStyle w:val="InternetLink"/>
                </w:rPr>
                <w:t>Parent Stockholder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6.4</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2">
              <w:r>
                <w:rPr>
                  <w:rStyle w:val="InternetLink"/>
                </w:rPr>
                <w:t>Efforts; 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6.5</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3">
              <w:r>
                <w:rPr>
                  <w:rStyle w:val="InternetLink"/>
                </w:rPr>
                <w:t>Company Options; Company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6.6</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4">
              <w:r>
                <w:rPr>
                  <w:rStyle w:val="InternetLink"/>
                </w:rPr>
                <w:t>Employee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6.7</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5">
              <w:r>
                <w:rPr>
                  <w:rStyle w:val="InternetLink"/>
                </w:rPr>
                <w:t>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6.8</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6">
              <w:r>
                <w:rPr>
                  <w:rStyle w:val="InternetLink"/>
                </w:rPr>
                <w:t>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6.9</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7">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6.10</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8">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6.11</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89">
              <w:r>
                <w:rPr>
                  <w:rStyle w:val="InternetLink"/>
                </w:rPr>
                <w:t>Legends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6.12</w:t>
            </w:r>
          </w:p>
        </w:tc>
        <w:tc>
          <w:tcPr>
            <w:tcW w:w="12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hyperlink w:anchor="annextoc108148_90">
              <w:r>
                <w:rPr>
                  <w:rStyle w:val="InternetLink"/>
                </w:rPr>
                <w:t>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130" w:type="dxa"/>
        <w:jc w:val="left"/>
        <w:tblInd w:w="0" w:type="dxa"/>
        <w:tblLayout w:type="fixed"/>
        <w:tblCellMar>
          <w:top w:w="0" w:type="dxa"/>
          <w:left w:w="0" w:type="dxa"/>
          <w:bottom w:w="0" w:type="dxa"/>
          <w:right w:w="0" w:type="dxa"/>
        </w:tblCellMar>
      </w:tblPr>
      <w:tblGrid>
        <w:gridCol w:w="515"/>
        <w:gridCol w:w="120"/>
        <w:gridCol w:w="1325"/>
        <w:gridCol w:w="120"/>
        <w:gridCol w:w="7280"/>
        <w:gridCol w:w="120"/>
        <w:gridCol w:w="60"/>
        <w:gridCol w:w="515"/>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1">
              <w:r>
                <w:rPr>
                  <w:rStyle w:val="InternetLink"/>
                </w:rPr>
                <w:t>Termination of Certain Agreements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2">
              <w:r>
                <w:rPr>
                  <w:rStyle w:val="InternetLink"/>
                </w:rPr>
                <w:t>Section 16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6.15</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3">
              <w:r>
                <w:rPr>
                  <w:rStyle w:val="InternetLink"/>
                </w:rPr>
                <w:t>Allocation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6.16</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4">
              <w:r>
                <w:rPr>
                  <w:rStyle w:val="InternetLink"/>
                </w:rPr>
                <w:t>Parent SEC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6.17</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5">
              <w:r>
                <w:rPr>
                  <w:rStyle w:val="InternetLink"/>
                </w:rPr>
                <w:t>Notice of Certain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6.18</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6">
              <w:r>
                <w:rPr>
                  <w:rStyle w:val="InternetLink"/>
                </w:rPr>
                <w:t>Obligations of Merger Sub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6.19</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7">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6.20</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98">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936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360" w:type="dxa"/>
            <w:gridSpan w:val="5"/>
            <w:tcBorders/>
            <w:vAlign w:val="center"/>
          </w:tcPr>
          <w:p>
            <w:pPr>
              <w:pStyle w:val="TableContents"/>
              <w:bidi w:val="0"/>
              <w:spacing w:before="0" w:after="0"/>
              <w:jc w:val="left"/>
              <w:rPr/>
            </w:pPr>
            <w:hyperlink w:anchor="annextoc108148_99">
              <w:r>
                <w:rPr>
                  <w:rStyle w:val="InternetLink"/>
                  <w:rFonts w:ascii="Times New Roman" w:hAnsi="Times New Roman"/>
                  <w:sz w:val="20"/>
                </w:rPr>
                <w:t xml:space="preserve">Article VII. Conditions Precedent to Obligations of Each Party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7.1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0">
              <w:r>
                <w:rPr>
                  <w:rStyle w:val="InternetLink"/>
                </w:rPr>
                <w:t>No Restraints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7.2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1">
              <w:r>
                <w:rPr>
                  <w:rStyle w:val="InternetLink"/>
                </w:rPr>
                <w:t>Stockholder 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7.3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2">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7.4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3">
              <w:r>
                <w:rPr>
                  <w:rStyle w:val="InternetLink"/>
                </w:rPr>
                <w:t>Effectiveness of Registration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7.5</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4">
              <w:r>
                <w:rPr>
                  <w:rStyle w:val="InternetLink"/>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36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360" w:type="dxa"/>
            <w:gridSpan w:val="5"/>
            <w:tcBorders/>
            <w:vAlign w:val="center"/>
          </w:tcPr>
          <w:p>
            <w:pPr>
              <w:pStyle w:val="TableContents"/>
              <w:bidi w:val="0"/>
              <w:spacing w:before="0" w:after="0"/>
              <w:jc w:val="left"/>
              <w:rPr/>
            </w:pPr>
            <w:hyperlink w:anchor="annextoc108148_105">
              <w:r>
                <w:rPr>
                  <w:rStyle w:val="InternetLink"/>
                  <w:rFonts w:ascii="Times New Roman" w:hAnsi="Times New Roman"/>
                  <w:sz w:val="20"/>
                </w:rPr>
                <w:t xml:space="preserve">Article VIII. Additional Conditions Precedent to Obligations of Parent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6">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7">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8">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09">
              <w:r>
                <w:rPr>
                  <w:rStyle w:val="InternetLink"/>
                </w:rPr>
                <w:t>No Company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8.5</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0">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8.6</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1">
              <w:r>
                <w:rPr>
                  <w:rStyle w:val="InternetLink"/>
                </w:rPr>
                <w:t>Termination of Investor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8.7</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2">
              <w:r>
                <w:rPr>
                  <w:rStyle w:val="InternetLink"/>
                </w:rPr>
                <w:t>License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8.8</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3">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36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360" w:type="dxa"/>
            <w:gridSpan w:val="5"/>
            <w:tcBorders/>
            <w:vAlign w:val="center"/>
          </w:tcPr>
          <w:p>
            <w:pPr>
              <w:pStyle w:val="TableContents"/>
              <w:bidi w:val="0"/>
              <w:spacing w:before="0" w:after="0"/>
              <w:jc w:val="left"/>
              <w:rPr/>
            </w:pPr>
            <w:hyperlink w:anchor="annextoc108148_114">
              <w:r>
                <w:rPr>
                  <w:rStyle w:val="InternetLink"/>
                  <w:rFonts w:ascii="Times New Roman" w:hAnsi="Times New Roman"/>
                  <w:sz w:val="20"/>
                </w:rPr>
                <w:t xml:space="preserve">Article IX. Additional Conditions Precedent to Obligation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9.1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5">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9.2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6">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9.3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7">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9.4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8">
              <w:r>
                <w:rPr>
                  <w:rStyle w:val="InternetLink"/>
                </w:rPr>
                <w:t>No Parent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9.5</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19">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936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360" w:type="dxa"/>
            <w:gridSpan w:val="5"/>
            <w:tcBorders/>
            <w:vAlign w:val="center"/>
          </w:tcPr>
          <w:p>
            <w:pPr>
              <w:pStyle w:val="TableContents"/>
              <w:bidi w:val="0"/>
              <w:spacing w:before="0" w:after="0"/>
              <w:jc w:val="left"/>
              <w:rPr/>
            </w:pPr>
            <w:hyperlink w:anchor="annextoc108148_120">
              <w:r>
                <w:rPr>
                  <w:rStyle w:val="InternetLink"/>
                  <w:rFonts w:ascii="Times New Roman" w:hAnsi="Times New Roman"/>
                  <w:sz w:val="20"/>
                </w:rPr>
                <w:t xml:space="preserve">Article X. Termination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10.1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1">
              <w:r>
                <w:rPr>
                  <w:rStyle w:val="InternetLink"/>
                </w:rPr>
                <w:t>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10.2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2">
              <w:r>
                <w:rPr>
                  <w:rStyle w:val="InternetLink"/>
                </w:rPr>
                <w:t>Effect of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10.3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3">
              <w:r>
                <w:rPr>
                  <w:rStyle w:val="InternetLink"/>
                </w:rPr>
                <w:t>Expenses;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936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360" w:type="dxa"/>
            <w:gridSpan w:val="5"/>
            <w:tcBorders/>
            <w:vAlign w:val="center"/>
          </w:tcPr>
          <w:p>
            <w:pPr>
              <w:pStyle w:val="TableContents"/>
              <w:bidi w:val="0"/>
              <w:spacing w:before="0" w:after="0"/>
              <w:jc w:val="left"/>
              <w:rPr/>
            </w:pPr>
            <w:hyperlink w:anchor="annextoc108148_124">
              <w:r>
                <w:rPr>
                  <w:rStyle w:val="InternetLink"/>
                  <w:rFonts w:ascii="Times New Roman" w:hAnsi="Times New Roman"/>
                  <w:sz w:val="20"/>
                </w:rPr>
                <w:t xml:space="preserve">Article XI. Miscellaneous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5">
              <w:r>
                <w:rPr>
                  <w:rStyle w:val="InternetLink"/>
                </w:rPr>
                <w:t>Non-Survival of 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6">
              <w:r>
                <w:rPr>
                  <w:rStyle w:val="InternetLink"/>
                </w:rPr>
                <w:t>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11.3</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7">
              <w:r>
                <w:rPr>
                  <w:rStyle w:val="InternetLink"/>
                </w:rPr>
                <w:t>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8">
              <w:r>
                <w:rPr>
                  <w:rStyle w:val="InternetLink"/>
                </w:rPr>
                <w:t>Entire Agreement; Counterparts; Exchanges by Electronic Transmission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11.5</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29">
              <w:r>
                <w:rPr>
                  <w:rStyle w:val="InternetLink"/>
                </w:rPr>
                <w:t>Applicable Law; Jurisdiction; WAIVER OF RIGHT TO TRIAL BY JURY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11.6</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0">
              <w:r>
                <w:rPr>
                  <w:rStyle w:val="InternetLink"/>
                </w:rPr>
                <w:t>Assignability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11.7</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1">
              <w:r>
                <w:rPr>
                  <w:rStyle w:val="InternetLink"/>
                </w:rPr>
                <w:t>Notices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11.8</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2">
              <w:r>
                <w:rPr>
                  <w:rStyle w:val="InternetLink"/>
                </w:rPr>
                <w:t>Cooperation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11.9</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3">
              <w:r>
                <w:rPr>
                  <w:rStyle w:val="InternetLink"/>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11.10</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4">
              <w:r>
                <w:rPr>
                  <w:rStyle w:val="InternetLink"/>
                </w:rPr>
                <w:t>Other Remedies; Specific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Section 11.11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nextoc108148_135">
              <w:r>
                <w:rPr>
                  <w:rStyle w:val="InternetLink"/>
                </w:rPr>
                <w:t>No Third-Party Beneficiaries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4"/>
        <w:gridCol w:w="120"/>
        <w:gridCol w:w="8981"/>
      </w:tblGrid>
      <w:tr>
        <w:trPr/>
        <w:tc>
          <w:tcPr>
            <w:tcW w:w="1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Exhibit A-1</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Form of Parent Stockholder Support Agreement</w:t>
            </w:r>
          </w:p>
        </w:tc>
      </w:tr>
      <w:tr>
        <w:trPr/>
        <w:tc>
          <w:tcPr>
            <w:tcW w:w="1104" w:type="dxa"/>
            <w:tcBorders/>
            <w:vAlign w:val="center"/>
          </w:tcPr>
          <w:p>
            <w:pPr>
              <w:pStyle w:val="TableContents"/>
              <w:bidi w:val="0"/>
              <w:spacing w:before="0" w:after="283"/>
              <w:jc w:val="left"/>
              <w:rPr/>
            </w:pPr>
            <w:r>
              <w:rPr/>
              <w:t>Exhibit A-2</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Form of Company Stockholder Support Agreement</w:t>
            </w:r>
          </w:p>
        </w:tc>
      </w:tr>
      <w:tr>
        <w:trPr/>
        <w:tc>
          <w:tcPr>
            <w:tcW w:w="1104" w:type="dxa"/>
            <w:tcBorders/>
            <w:vAlign w:val="center"/>
          </w:tcPr>
          <w:p>
            <w:pPr>
              <w:pStyle w:val="TableContents"/>
              <w:bidi w:val="0"/>
              <w:spacing w:before="0" w:after="283"/>
              <w:jc w:val="left"/>
              <w:rPr/>
            </w:pPr>
            <w:r>
              <w:rPr/>
              <w:t>Exhibit B</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Form of Lock-Up Agreement</w:t>
            </w:r>
          </w:p>
        </w:tc>
      </w:tr>
      <w:tr>
        <w:trPr/>
        <w:tc>
          <w:tcPr>
            <w:tcW w:w="1104" w:type="dxa"/>
            <w:tcBorders/>
            <w:vAlign w:val="center"/>
          </w:tcPr>
          <w:p>
            <w:pPr>
              <w:pStyle w:val="TableContents"/>
              <w:bidi w:val="0"/>
              <w:spacing w:before="0" w:after="283"/>
              <w:jc w:val="left"/>
              <w:rPr/>
            </w:pPr>
            <w:r>
              <w:rPr/>
              <w:t>Exhibit C</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Form of Subscription Agreement</w:t>
            </w:r>
          </w:p>
        </w:tc>
      </w:tr>
      <w:tr>
        <w:trPr/>
        <w:tc>
          <w:tcPr>
            <w:tcW w:w="1104" w:type="dxa"/>
            <w:tcBorders/>
            <w:vAlign w:val="center"/>
          </w:tcPr>
          <w:p>
            <w:pPr>
              <w:pStyle w:val="TableContents"/>
              <w:bidi w:val="0"/>
              <w:spacing w:before="0" w:after="283"/>
              <w:jc w:val="left"/>
              <w:rPr/>
            </w:pPr>
            <w:r>
              <w:rPr/>
              <w:t>Exhibit D</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Certificate of Merger, including certificate of incorporation of the Surviving Corporation attached as Exhibit A thereto, incorporated by reference into this Agreement</w:t>
            </w:r>
          </w:p>
        </w:tc>
      </w:tr>
      <w:tr>
        <w:trPr/>
        <w:tc>
          <w:tcPr>
            <w:tcW w:w="1104" w:type="dxa"/>
            <w:tcBorders/>
            <w:vAlign w:val="center"/>
          </w:tcPr>
          <w:p>
            <w:pPr>
              <w:pStyle w:val="TableContents"/>
              <w:bidi w:val="0"/>
              <w:spacing w:before="0" w:after="283"/>
              <w:jc w:val="left"/>
              <w:rPr/>
            </w:pPr>
            <w:r>
              <w:rPr/>
              <w:t>Exhibit E</w:t>
            </w:r>
          </w:p>
        </w:tc>
        <w:tc>
          <w:tcPr>
            <w:tcW w:w="120"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pPr>
            <w:r>
              <w:rPr/>
              <w:t>Form of Company Stockholder Written Consent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ii108148_12"/>
      <w:bookmarkStart w:id="91" w:name="tx108148_44"/>
      <w:bookmarkStart w:id="92" w:name="ii108148_11"/>
      <w:bookmarkEnd w:id="90"/>
      <w:bookmarkEnd w:id="91"/>
      <w:bookmarkEnd w:id="92"/>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b/>
          <w:sz w:val="20"/>
          <w:u w:val="single"/>
        </w:rPr>
        <w:t>HIS</w:t>
      </w:r>
      <w:r>
        <w:rPr>
          <w:rFonts w:ascii="Times New Roman" w:hAnsi="Times New Roman"/>
          <w:b/>
          <w:sz w:val="20"/>
        </w:rPr>
        <w:t xml:space="preserve"> A</w:t>
      </w:r>
      <w:r>
        <w:rPr>
          <w:rFonts w:ascii="Times New Roman" w:hAnsi="Times New Roman"/>
          <w:b/>
          <w:sz w:val="20"/>
          <w:u w:val="single"/>
        </w:rPr>
        <w:t>GREEMENT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EORGANIZATION</w:t>
      </w:r>
      <w:r>
        <w:rPr>
          <w:rFonts w:ascii="Times New Roman" w:hAnsi="Times New Roman"/>
          <w:b/>
          <w:sz w:val="20"/>
        </w:rPr>
        <w:t xml:space="preserve">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June 22, 2026, by and among </w:t>
      </w:r>
      <w:r>
        <w:rPr>
          <w:rFonts w:ascii="Times New Roman" w:hAnsi="Times New Roman"/>
          <w:b/>
          <w:sz w:val="20"/>
        </w:rPr>
        <w:t>B</w:t>
      </w:r>
      <w:r>
        <w:rPr>
          <w:rFonts w:ascii="Times New Roman" w:hAnsi="Times New Roman"/>
          <w:b/>
          <w:sz w:val="20"/>
          <w:u w:val="single"/>
        </w:rPr>
        <w:t>OUNDLESS</w:t>
      </w:r>
      <w:r>
        <w:rPr>
          <w:rFonts w:ascii="Times New Roman" w:hAnsi="Times New Roman"/>
          <w:b/>
          <w:sz w:val="20"/>
        </w:rPr>
        <w:t xml:space="preserve"> B</w:t>
      </w:r>
      <w:r>
        <w:rPr>
          <w:rFonts w:ascii="Times New Roman" w:hAnsi="Times New Roman"/>
          <w:b/>
          <w:sz w:val="20"/>
          <w:u w:val="single"/>
        </w:rPr>
        <w:t>IO</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B</w:t>
      </w:r>
      <w:r>
        <w:rPr>
          <w:rFonts w:ascii="Times New Roman" w:hAnsi="Times New Roman"/>
          <w:b/>
          <w:sz w:val="20"/>
          <w:u w:val="single"/>
        </w:rPr>
        <w:t>OULDER</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w:t>
      </w:r>
      <w:r>
        <w:rPr>
          <w:rFonts w:ascii="Times New Roman" w:hAnsi="Times New Roman"/>
          <w:b/>
          <w:sz w:val="20"/>
        </w:rPr>
        <w:t xml:space="preserve"> C</w:t>
      </w:r>
      <w:r>
        <w:rPr>
          <w:rFonts w:ascii="Times New Roman" w:hAnsi="Times New Roman"/>
          <w:b/>
          <w:sz w:val="20"/>
          <w:u w:val="single"/>
        </w:rPr>
        <w:t>ORP</w:t>
      </w:r>
      <w:r>
        <w:rPr>
          <w:rFonts w:ascii="Times New Roman" w:hAnsi="Times New Roman"/>
          <w:b/>
          <w:sz w:val="20"/>
        </w:rPr>
        <w:t>.</w:t>
      </w:r>
      <w:r>
        <w:rPr>
          <w:rFonts w:ascii="Times New Roman" w:hAnsi="Times New Roman"/>
          <w:sz w:val="20"/>
        </w:rPr>
        <w:t>, a Delaware corporation and wholly owned subsidiary of Parent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S</w:t>
      </w:r>
      <w:r>
        <w:rPr>
          <w:rFonts w:ascii="Times New Roman" w:hAnsi="Times New Roman"/>
          <w:b/>
          <w:sz w:val="20"/>
          <w:u w:val="single"/>
        </w:rPr>
        <w:t>ERAPHA</w:t>
      </w:r>
      <w:r>
        <w:rPr>
          <w:rFonts w:ascii="Times New Roman" w:hAnsi="Times New Roman"/>
          <w:b/>
          <w:sz w:val="20"/>
        </w:rPr>
        <w:t xml:space="preserve"> B</w:t>
      </w:r>
      <w:r>
        <w:rPr>
          <w:rFonts w:ascii="Times New Roman" w:hAnsi="Times New Roman"/>
          <w:b/>
          <w:sz w:val="20"/>
          <w:u w:val="single"/>
        </w:rPr>
        <w:t>IO</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(i) the Merger qualifies as a “reorganization” within the meaning of Section 368(a) of the Code, and/or a transfer within the meaning of Section 351(a) of the Code, and (ii) this Agreement will constitute, and is hereby adopted as, a plan of reorganization within the meaning of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C. The Parent Board has (i) determined that the Contemplated Transactions are fair to, advisable and in the best interests of Parent and its stockholders, (ii) approved and declared advisable this Agreement and the Contemplated Transactions, including the issuance of shares of Parent Capital Stock to the stockholders of the Company pursuant to the terms of this Agreement and the constructive issuance by the Company of shares of Company Common Stock to stockholders of Parent (as reflected in Rule 145(a) of the Securities Act) (the “</w:t>
      </w:r>
      <w:r>
        <w:rPr>
          <w:rFonts w:ascii="Times New Roman" w:hAnsi="Times New Roman"/>
          <w:b/>
          <w:sz w:val="20"/>
        </w:rPr>
        <w:t>Constructive Issuance</w:t>
      </w:r>
      <w:r>
        <w:rPr>
          <w:rFonts w:ascii="Times New Roman" w:hAnsi="Times New Roman"/>
          <w:sz w:val="20"/>
        </w:rPr>
        <w:t xml:space="preserve">”) and (iii) determined to recommend, upon the terms and subject to the conditions set forth in this Agreement, that the stockholders of Parent vote to approve this Agreement and thereby approve the Parent Stockholder Matters, including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and directors set forth on </w:t>
      </w:r>
      <w:r>
        <w:rPr>
          <w:rFonts w:ascii="Times New Roman" w:hAnsi="Times New Roman"/>
          <w:sz w:val="20"/>
          <w:u w:val="single"/>
        </w:rPr>
        <w:t>Section A</w:t>
      </w:r>
      <w:r>
        <w:rPr>
          <w:rFonts w:ascii="Times New Roman" w:hAnsi="Times New Roman"/>
          <w:sz w:val="20"/>
        </w:rPr>
        <w:t xml:space="preserve"> of the Parent Disclosure Letter (solely in their capacity as stockholders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Stockholder Support Agreement</w:t>
      </w:r>
      <w:r>
        <w:rPr>
          <w:rFonts w:ascii="Times New Roman" w:hAnsi="Times New Roman"/>
          <w:sz w:val="20"/>
        </w:rPr>
        <w:t xml:space="preserve">”),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certificate of incorporation to effect the Nasdaq Reverse Split and any other matters,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Parent’s willingness to enter into this Agreement, each of the officers, directors and stockholders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listed on </w:t>
      </w:r>
      <w:r>
        <w:rPr>
          <w:rFonts w:ascii="Times New Roman" w:hAnsi="Times New Roman"/>
          <w:sz w:val="20"/>
          <w:u w:val="single"/>
        </w:rPr>
        <w:t>Section A</w:t>
      </w:r>
      <w:r>
        <w:rPr>
          <w:rFonts w:ascii="Times New Roman" w:hAnsi="Times New Roman"/>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 w:hAnsi="Times New Roman"/>
          <w:sz w:val="20"/>
          <w:u w:val="single"/>
        </w:rPr>
        <w:t>Exhibit A-2</w:t>
      </w:r>
      <w:r>
        <w:rPr>
          <w:rFonts w:ascii="Times New Roman" w:hAnsi="Times New Roman"/>
          <w:sz w:val="20"/>
        </w:rPr>
        <w:t xml:space="preserve">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officers and directors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two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substantially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sz w:val="20"/>
        </w:rPr>
        <w:t>Company Stockholder Written Consent</w:t>
      </w:r>
      <w:r>
        <w:rPr>
          <w:rFonts w:ascii="Times New Roman" w:hAnsi="Times New Roman"/>
          <w:sz w:val="20"/>
        </w:rPr>
        <w:t xml:space="preserve">”),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J. Concurrently with, or prior to, the execution and delivery of this Agreement, certain investors are executing and entering into a Series A Preferred Stock Purchase Agreement among the Company and the Persons named therein (as may be amended, restated and/or superseded from time to time, the “</w:t>
      </w:r>
      <w:r>
        <w:rPr>
          <w:rFonts w:ascii="Times New Roman" w:hAnsi="Times New Roman"/>
          <w:b/>
          <w:sz w:val="20"/>
        </w:rPr>
        <w:t>Series A Financing Agreement</w:t>
      </w:r>
      <w:r>
        <w:rPr>
          <w:rFonts w:ascii="Times New Roman" w:hAnsi="Times New Roman"/>
          <w:sz w:val="20"/>
        </w:rPr>
        <w:t>”), pursuant to which such Persons will invest in a private placement of the Company Preferred Stock (the “</w:t>
      </w:r>
      <w:r>
        <w:rPr>
          <w:rFonts w:ascii="Times New Roman" w:hAnsi="Times New Roman"/>
          <w:b/>
          <w:sz w:val="20"/>
        </w:rPr>
        <w:t>Series A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Concurrently with the execution and delivery of this Agreement, certain investors are executing and delivering a Securities Purchase Agreement in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(including as may be amended, restated and/or superseded from time to time, the “</w:t>
      </w:r>
      <w:r>
        <w:rPr>
          <w:rFonts w:ascii="Times New Roman" w:hAnsi="Times New Roman"/>
          <w:b/>
          <w:sz w:val="20"/>
        </w:rPr>
        <w:t>Subscription Agreement</w:t>
      </w:r>
      <w:r>
        <w:rPr>
          <w:rFonts w:ascii="Times New Roman" w:hAnsi="Times New Roman"/>
          <w:sz w:val="20"/>
        </w:rPr>
        <w:t>”), pursuant to which such Persons will agree to purchase, in the amounts set forth therein, shares of Company Capital Stock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center"/>
        <w:rPr>
          <w:rFonts w:ascii="Times New Roman" w:hAnsi="Times New Roman"/>
          <w:sz w:val="20"/>
        </w:rPr>
      </w:pPr>
      <w:bookmarkStart w:id="93" w:name="annextoc108148_1"/>
      <w:bookmarkEnd w:id="93"/>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INTERPRETATIVE PROVISIONS </w:t>
      </w:r>
    </w:p>
    <w:p>
      <w:pPr>
        <w:pStyle w:val="TextBody"/>
        <w:bidi w:val="0"/>
        <w:spacing w:before="240" w:after="0"/>
        <w:jc w:val="left"/>
        <w:rPr>
          <w:rFonts w:ascii="Times New Roman" w:hAnsi="Times New Roman"/>
          <w:sz w:val="20"/>
        </w:rPr>
      </w:pPr>
      <w:bookmarkStart w:id="94" w:name="annextoc108148_2"/>
      <w:bookmarkEnd w:id="94"/>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Accrued Pre-Closing Tax Amount</w:t>
      </w:r>
      <w:r>
        <w:rPr>
          <w:rFonts w:ascii="Times New Roman" w:hAnsi="Times New Roman"/>
          <w:sz w:val="20"/>
        </w:rPr>
        <w:t xml:space="preserve">” means any accrued and unpaid Taxes of Parent and its Subsidiaries for Tax periods (or portions thereof) ending on or before the Closing Date either (a) for which the applicable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Returns have not been filed as of the Closing Date or (b) that have been shown as due but not paid on Tax Returns that have been filed as of the Closing Date, in each case, (1) determined on a jurisdiction-by-jurisdiction basis, in an amount not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it is at least “more likely than not” that such payments, carryovers, or carryforwards are available to reduce Taxes or taxable income, as applicable, for such period,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w:t>
      </w:r>
      <w:r>
        <w:rPr>
          <w:rFonts w:ascii="Times New Roman" w:hAnsi="Times New Roman"/>
          <w:sz w:val="20"/>
          <w:u w:val="single"/>
        </w:rPr>
        <w:t>clause (i)</w:t>
      </w:r>
      <w:r>
        <w:rPr>
          <w:rFonts w:ascii="Times New Roman" w:hAnsi="Times New Roman"/>
          <w:sz w:val="20"/>
        </w:rPr>
        <w:t xml:space="preserve">,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r>
        <w:rPr>
          <w:rFonts w:ascii="Times New Roman" w:hAnsi="Times New Roman"/>
          <w:sz w:val="20"/>
          <w:u w:val="single"/>
        </w:rPr>
        <w:t xml:space="preserve">provided, </w:t>
      </w:r>
      <w:r>
        <w:rPr>
          <w:rFonts w:ascii="Times New Roman" w:hAnsi="Times New Roman"/>
          <w:sz w:val="20"/>
        </w:rPr>
        <w:t xml:space="preserve">that “Acquisition Inquiry” shall not include any inquiry, indication of interest or request for information relating to any Parent Legacy Transaction. </w:t>
      </w:r>
    </w:p>
    <w:p>
      <w:pPr>
        <w:pStyle w:val="TextBody"/>
        <w:bidi w:val="0"/>
        <w:spacing w:before="240" w:after="0"/>
        <w:jc w:val="left"/>
        <w:rPr/>
      </w:pPr>
      <w:r>
        <w:rPr/>
        <w:t>“</w:t>
      </w:r>
      <w:r>
        <w:rPr>
          <w:rFonts w:ascii="Times New Roman" w:hAnsi="Times New Roman"/>
          <w:b/>
          <w:sz w:val="20"/>
        </w:rPr>
        <w:t>Acquisition 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 w:hAnsi="Times New Roman"/>
          <w:sz w:val="20"/>
          <w:u w:val="single"/>
        </w:rPr>
        <w:t>provided</w:t>
      </w:r>
      <w:r>
        <w:rPr>
          <w:rFonts w:ascii="Times New Roman" w:hAnsi="Times New Roman"/>
          <w:sz w:val="20"/>
        </w:rPr>
        <w:t xml:space="preserve">, that “Acquisition Proposal” shall not include any offer or proposal relating to any Parent Legacy Transaction. </w:t>
      </w:r>
    </w:p>
    <w:p>
      <w:pPr>
        <w:pStyle w:val="TextBody"/>
        <w:bidi w:val="0"/>
        <w:spacing w:before="240" w:after="0"/>
        <w:jc w:val="left"/>
        <w:rPr/>
      </w:pPr>
      <w:r>
        <w:rPr/>
        <w:t>“</w:t>
      </w:r>
      <w:r>
        <w:rPr>
          <w:rFonts w:ascii="Times New Roman" w:hAnsi="Times New Roman"/>
          <w:b/>
          <w:sz w:val="20"/>
        </w:rPr>
        <w:t>Acquisition Transaction</w:t>
      </w:r>
      <w:r>
        <w:rPr>
          <w:rFonts w:ascii="Times New Roman" w:hAnsi="Times New Roman"/>
          <w:sz w:val="20"/>
        </w:rPr>
        <w:t xml:space="preserve">” means any transaction or series of related transactions (other than any Parent Legacy Transaction, the Series A Financing, or the Company Pre-Closing Financing)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day on which banks in the State of California or New York are authorized or obligated to be closed. </w:t>
      </w:r>
    </w:p>
    <w:p>
      <w:pPr>
        <w:pStyle w:val="TextBody"/>
        <w:bidi w:val="0"/>
        <w:spacing w:before="240" w:after="0"/>
        <w:jc w:val="left"/>
        <w:rPr/>
      </w:pPr>
      <w:r>
        <w:rPr/>
        <w:t>“</w:t>
      </w:r>
      <w:r>
        <w:rPr>
          <w:rFonts w:ascii="Times New Roman" w:hAnsi="Times New Roman"/>
          <w:b/>
          <w:sz w:val="20"/>
        </w:rPr>
        <w:t>Cancelled Parent Option</w:t>
      </w:r>
      <w:r>
        <w:rPr>
          <w:rFonts w:ascii="Times New Roman" w:hAnsi="Times New Roman"/>
          <w:sz w:val="20"/>
        </w:rPr>
        <w:t xml:space="preserve">” means each Parent Option with a per share exercise price greater than $8.00 (determined prior to any equitable adjustment to reflect the Parent Pre-Closing Dividend).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or any of its Subsidiaries.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or any of its Subsidiaries (a) sponsors, maintains, administers, or contributes to, (b) may reasonably be expected to have any Liability, or (c) utilizes to provide benefits to or otherwise cover any current or former employee, officer, director or other service provider of the Company or any of its Subsidiaries (or their spouses, dependents, or beneficiaries), but excluding any Employee Plan in which the Company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i/>
          <w:sz w:val="20"/>
        </w:rPr>
        <w:t>Due Organization; Subsidiaries</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i/>
          <w:sz w:val="20"/>
        </w:rPr>
        <w:t>Organizational Documents</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i/>
          <w:sz w:val="20"/>
        </w:rPr>
        <w:t>Authority; Binding Nature of Agreement</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i/>
          <w:sz w:val="20"/>
        </w:rPr>
        <w:t>Vote Required</w:t>
      </w:r>
      <w:r>
        <w:rPr>
          <w:rFonts w:ascii="Times New Roman" w:hAnsi="Times New Roman"/>
          <w:sz w:val="20"/>
        </w:rPr>
        <w:t xml:space="preserve">), </w:t>
      </w:r>
      <w:r>
        <w:rPr>
          <w:rFonts w:ascii="Times New Roman" w:hAnsi="Times New Roman"/>
          <w:sz w:val="20"/>
          <w:u w:val="single"/>
        </w:rPr>
        <w:t>3.5(a)(i)</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r>
        <w:rPr>
          <w:rFonts w:ascii="Times New Roman" w:hAnsi="Times New Roman"/>
          <w:i/>
          <w:sz w:val="20"/>
        </w:rPr>
        <w:t>No Financial Advisors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rights that are owned or purported to be owned by, assigned to, exclusively licensed to, or controlled by the Company or its Subsidiaries that are necessary for, or used or held for use in, the operation of the business of the Company and its Subsidiaries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Effects arising or resulting from the following, alone or in combination, shall not be taken into account in determining whether there has been a Company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the taking of any action, or the failure to take any action, by the Company that is expressly required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hAnsi="Times New Roman"/>
          <w:b/>
          <w:sz w:val="20"/>
        </w:rPr>
        <w:t>GAAP</w:t>
      </w:r>
      <w:r>
        <w:rPr>
          <w:rFonts w:ascii="Times New Roman" w:hAnsi="Times New Roman"/>
          <w:sz w:val="20"/>
        </w:rPr>
        <w:t xml:space="preserve">”) or applicable Law or the interpretation thereof, (e) general economic or political conditions or conditions generally affecting the industries in which the Company and its Subsidiaries operate, or (f) any failure of the Company to meet any projections, business plans or forecasts (provided that this </w:t>
      </w:r>
      <w:r>
        <w:rPr>
          <w:rFonts w:ascii="Times New Roman" w:hAnsi="Times New Roman"/>
          <w:sz w:val="20"/>
          <w:u w:val="single"/>
        </w:rPr>
        <w:t>clause (f)</w:t>
      </w:r>
      <w:r>
        <w:rPr>
          <w:rFonts w:ascii="Times New Roman" w:hAnsi="Times New Roman"/>
          <w:sz w:val="20"/>
        </w:rPr>
        <w:t xml:space="preserve"> shall not prevent a determination that any change or effect underlying such failure to meet projections, business plans or forecasts has resulted in a Company Material Adverse Effect (to the extent such change or effect is not otherwise excluded from this definition of Company Material Adverse Effect)); except in each case with respect to </w:t>
      </w:r>
      <w:r>
        <w:rPr>
          <w:rFonts w:ascii="Times New Roman" w:hAnsi="Times New Roman"/>
          <w:sz w:val="20"/>
          <w:u w:val="single"/>
        </w:rPr>
        <w:t>clauses (c)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to the extent disproportionately affecting the Company and its Subsidiaries, taken as a whole, relative to other similarly situated companies in the industries in which the Company and its Subsidiaries operate.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(a) the Post-Closing Parent Shares </w:t>
      </w:r>
      <w:r>
        <w:rPr>
          <w:rFonts w:ascii="Times New Roman" w:hAnsi="Times New Roman"/>
          <w:i/>
          <w:sz w:val="20"/>
          <w:u w:val="single"/>
        </w:rPr>
        <w:t>by</w:t>
      </w:r>
      <w:r>
        <w:rPr>
          <w:rFonts w:ascii="Times New Roman" w:hAnsi="Times New Roman"/>
          <w:sz w:val="20"/>
        </w:rPr>
        <w:t xml:space="preserve"> (b) the Company Allocation Percentage, in which: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Company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Company Valuation </w:t>
      </w:r>
      <w:r>
        <w:rPr>
          <w:rFonts w:ascii="Times New Roman" w:hAnsi="Times New Roman"/>
          <w:i/>
          <w:sz w:val="20"/>
          <w:u w:val="single"/>
        </w:rPr>
        <w:t>by</w:t>
      </w:r>
      <w:r>
        <w:rPr>
          <w:rFonts w:ascii="Times New Roman" w:hAnsi="Times New Roman"/>
          <w:sz w:val="20"/>
        </w:rPr>
        <w:t xml:space="preserve"> (ii) the Aggregate Valuation.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Company Equity Value</w:t>
      </w:r>
      <w:r>
        <w:rPr>
          <w:rFonts w:ascii="Times New Roman" w:hAnsi="Times New Roman"/>
          <w:sz w:val="20"/>
        </w:rPr>
        <w:t xml:space="preserve">” means $73,700,000.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Company Outstanding Shares</w:t>
      </w:r>
      <w:r>
        <w:rPr>
          <w:rFonts w:ascii="Times New Roman" w:hAnsi="Times New Roman"/>
          <w:sz w:val="20"/>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the Series A Financing, Series A-1 Preferred Stock equal to the Company Series A-1 Preferred Stock Initial Amount or any additional Series A-1 Preferred Stock in excess of the Company Series A-1 Preferred Stock Remeasurement Maximum Amount), expressed on a fully diluted and as-converted-to-Company Common Stock basis assuming, without limitation or duplication, the exercise of all Company Options,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w:t>
      </w:r>
      <w:r>
        <w:rPr>
          <w:rFonts w:ascii="Times New Roman" w:hAnsi="Times New Roman"/>
          <w:sz w:val="20"/>
          <w:u w:val="single"/>
        </w:rPr>
        <w:t>provided</w:t>
      </w:r>
      <w:r>
        <w:rPr>
          <w:rFonts w:ascii="Times New Roman" w:hAnsi="Times New Roman"/>
          <w:sz w:val="20"/>
        </w:rPr>
        <w:t xml:space="preserve"> that “Company Outstanding Shares” shall exclude a number of Company Series A-1 Preferred Stock issued or issuable upon the exercise of the Yoltech Warrant equal to the Company Series A-1 Preferred Stock Remeasurement Maximum Amount.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Company Pre-Closing Financing Minimum Amount</w:t>
      </w:r>
      <w:r>
        <w:rPr>
          <w:rFonts w:ascii="Times New Roman" w:hAnsi="Times New Roman"/>
          <w:sz w:val="20"/>
        </w:rPr>
        <w:t xml:space="preserve">” means $200,000,000.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Company Pre-Closing Financing Proceeds</w:t>
      </w:r>
      <w:r>
        <w:rPr>
          <w:rFonts w:ascii="Times New Roman" w:hAnsi="Times New Roman"/>
          <w:sz w:val="20"/>
        </w:rPr>
        <w:t xml:space="preserve">” means the aggregate gross cash proceeds actually received by the Company from the Company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b/>
          <w:sz w:val="20"/>
        </w:rPr>
        <w:t>Company Series A-1 Preferred Stock Initial Amount</w:t>
      </w:r>
      <w:r>
        <w:rPr>
          <w:rFonts w:ascii="Times New Roman" w:hAnsi="Times New Roman"/>
          <w:sz w:val="20"/>
        </w:rPr>
        <w:t xml:space="preserve">” means a number of shares of Company Series A-1 Preferred Stock underlying the Yoltech Warrant equal to up to 11,688,455 shares, representing the Share Number (as defined in the Yoltech Warrant) determined pursuant to the terms of the Yoltech Warrant in connection with the consummation of the Series A Financing.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Company Series A-1 Preferred Stock Remeasurement Maximum Amount</w:t>
      </w:r>
      <w:r>
        <w:rPr>
          <w:rFonts w:ascii="Times New Roman" w:hAnsi="Times New Roman"/>
          <w:sz w:val="20"/>
        </w:rPr>
        <w:t xml:space="preserve">” means a number of shares of Company Series A-1 Preferred Stock underlying the Yoltech Warrant equal to up to 5,888,538 shares, representing the number of shares added to the Company Series A-1 Preferred Stock Initial Amount pursuant to the adjustment mechanics set forth in Section 1(b)(i) of the Yoltech Warrant in connection with the consummation of subsequent Remeasurement Events prior to the expiration of the Anti-Dilution Period (each as defined in the Yoltech Warrant).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Company Valuation</w:t>
      </w:r>
      <w:r>
        <w:rPr>
          <w:rFonts w:ascii="Times New Roman" w:hAnsi="Times New Roman"/>
          <w:sz w:val="20"/>
        </w:rPr>
        <w:t xml:space="preserve">” means the sum of the Company Equity Value plus the Company Pre-Closing Financing Proceeds.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w:t>
      </w:r>
      <w:r>
        <w:rPr>
          <w:rFonts w:ascii="Times New Roman" w:hAnsi="Times New Roman"/>
          <w:i/>
          <w:sz w:val="20"/>
          <w:u w:val="single"/>
        </w:rPr>
        <w:t>dividing</w:t>
      </w:r>
      <w:r>
        <w:rPr>
          <w:rFonts w:ascii="Times New Roman" w:hAnsi="Times New Roman"/>
          <w:sz w:val="20"/>
        </w:rPr>
        <w:t xml:space="preserve"> (i) the Company Merger Shares </w:t>
      </w:r>
      <w:r>
        <w:rPr>
          <w:rFonts w:ascii="Times New Roman" w:hAnsi="Times New Roman"/>
          <w:i/>
          <w:sz w:val="20"/>
          <w:u w:val="single"/>
        </w:rPr>
        <w:t>by</w:t>
      </w:r>
      <w:r>
        <w:rPr>
          <w:rFonts w:ascii="Times New Roman" w:hAnsi="Times New Roman"/>
          <w:sz w:val="20"/>
        </w:rPr>
        <w:t xml:space="preserve"> (ii) the Company Outstanding Shares.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Parent Equity Value</w:t>
      </w:r>
      <w:r>
        <w:rPr>
          <w:rFonts w:ascii="Times New Roman" w:hAnsi="Times New Roman"/>
          <w:sz w:val="20"/>
        </w:rPr>
        <w:t xml:space="preserve">” means $12,500,000.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Parent Net Cash Deficiency</w:t>
      </w:r>
      <w:r>
        <w:rPr>
          <w:rFonts w:ascii="Times New Roman" w:hAnsi="Times New Roman"/>
          <w:sz w:val="20"/>
        </w:rPr>
        <w:t xml:space="preserve">” means, if Parent Net Cash is less than $0, then the amount, if any, that $0 exceeds the Parent Net Cash, calculated as of the Cash Determination Time.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Parent Net Cash Surplus</w:t>
      </w:r>
      <w:r>
        <w:rPr>
          <w:rFonts w:ascii="Times New Roman" w:hAnsi="Times New Roman"/>
          <w:sz w:val="20"/>
        </w:rPr>
        <w:t xml:space="preserve">” means, if Parent Net Cash is greater than $0, then the amount, if any, that the Parent Net Cash exceeds $0, calculated as of the Cash Determination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Parent Outstanding Shares</w:t>
      </w:r>
      <w:r>
        <w:rPr>
          <w:rFonts w:ascii="Times New Roman" w:hAnsi="Times New Roman"/>
          <w:sz w:val="20"/>
        </w:rPr>
        <w:t xml:space="preserve">” means, without duplication, (including, without limitation, the effects of the Nasdaq Reverse Split, if completed) the total number of shares of Parent Capital Stock outstanding immediately prior to the Effective Time expressed on a fully-diluted basis and as converted to Parent Common Stock basis and assuming, without limitation or duplication, the issuance of shares of Parent Common Stock in respect of all Continuing Parent Options, warrants or other rights or commitments to receive shares of Parent Common Stock or Parent Preferred Stock (or securities convertible or exercisable into shares of Parent Common Stock or Parent Preferred Stock, but excluding any Parent Capital Stock issuable in accordance herewith), whether conditional or unconditional, that are outstanding as of immediately prior to the Effective Time. Notwithstanding any of the foregoing, no Cancelled Parent Options shall be included in the total number of shares of Parent Common Stock outstanding for purposes of determining the Parent Outstanding Shares.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Parent Valuation</w:t>
      </w:r>
      <w:r>
        <w:rPr>
          <w:rFonts w:ascii="Times New Roman" w:hAnsi="Times New Roman"/>
          <w:sz w:val="20"/>
        </w:rPr>
        <w:t xml:space="preserve">” means (i) the Parent Equity Value, </w:t>
      </w:r>
      <w:r>
        <w:rPr>
          <w:rFonts w:ascii="Times New Roman" w:hAnsi="Times New Roman"/>
          <w:i/>
          <w:sz w:val="20"/>
          <w:u w:val="single"/>
        </w:rPr>
        <w:t>minus</w:t>
      </w:r>
      <w:r>
        <w:rPr>
          <w:rFonts w:ascii="Times New Roman" w:hAnsi="Times New Roman"/>
          <w:sz w:val="20"/>
        </w:rPr>
        <w:t xml:space="preserve"> (ii) the Parent Net Cash Deficiency (if any), </w:t>
      </w:r>
      <w:r>
        <w:rPr>
          <w:rFonts w:ascii="Times New Roman" w:hAnsi="Times New Roman"/>
          <w:i/>
          <w:sz w:val="20"/>
          <w:u w:val="single"/>
        </w:rPr>
        <w:t>plus</w:t>
      </w:r>
      <w:r>
        <w:rPr>
          <w:rFonts w:ascii="Times New Roman" w:hAnsi="Times New Roman"/>
          <w:sz w:val="20"/>
        </w:rPr>
        <w:t xml:space="preserve"> (iii) the Parent Net Cash Surplus (if any); </w:t>
      </w:r>
      <w:r>
        <w:rPr>
          <w:rFonts w:ascii="Times New Roman" w:hAnsi="Times New Roman"/>
          <w:sz w:val="20"/>
          <w:u w:val="single"/>
        </w:rPr>
        <w:t>provided</w:t>
      </w:r>
      <w:r>
        <w:rPr>
          <w:rFonts w:ascii="Times New Roman" w:hAnsi="Times New Roman"/>
          <w:sz w:val="20"/>
        </w:rPr>
        <w:t xml:space="preserve">, that in no event shall the Parent Valuation exceed $15,000,000. For the avoidance of doubt, the Company Pre-Closing Financing Proceeds shall not be included in the calculation or determination of the Parent Valuation or any component thereof.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Post-Closing Parent Shares</w:t>
      </w:r>
      <w:r>
        <w:rPr>
          <w:rFonts w:ascii="Times New Roman" w:hAnsi="Times New Roman"/>
          <w:sz w:val="20"/>
        </w:rPr>
        <w:t xml:space="preserve">” means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shares of the Company’s capital stock designated as preferred stock, including the Company Series A Preferred Stock and the Company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Series A Preferred Stock</w:t>
      </w:r>
      <w:r>
        <w:rPr>
          <w:rFonts w:ascii="Times New Roman" w:hAnsi="Times New Roman"/>
          <w:sz w:val="20"/>
        </w:rPr>
        <w:t xml:space="preserve">” means a series of the Company’s preferred stock designated as Series A Preferred Stock, $0.00001 par value per share. </w:t>
      </w:r>
    </w:p>
    <w:p>
      <w:pPr>
        <w:pStyle w:val="TextBody"/>
        <w:bidi w:val="0"/>
        <w:spacing w:before="240" w:after="0"/>
        <w:jc w:val="left"/>
        <w:rPr/>
      </w:pPr>
      <w:r>
        <w:rPr/>
        <w:t>“</w:t>
      </w:r>
      <w:r>
        <w:rPr>
          <w:rFonts w:ascii="Times New Roman" w:hAnsi="Times New Roman"/>
          <w:b/>
          <w:sz w:val="20"/>
        </w:rPr>
        <w:t>Company Series A-1 Preferred Stock</w:t>
      </w:r>
      <w:r>
        <w:rPr>
          <w:rFonts w:ascii="Times New Roman" w:hAnsi="Times New Roman"/>
          <w:sz w:val="20"/>
        </w:rPr>
        <w:t xml:space="preserve">” means a series of the Company’s preferred stock designated as Series A-1 Preferred Stock, $0.00001 par value per share. </w:t>
      </w:r>
    </w:p>
    <w:p>
      <w:pPr>
        <w:pStyle w:val="TextBody"/>
        <w:bidi w:val="0"/>
        <w:spacing w:before="240" w:after="0"/>
        <w:jc w:val="left"/>
        <w:rPr/>
      </w:pPr>
      <w:r>
        <w:rPr/>
        <w:t>“</w:t>
      </w:r>
      <w:r>
        <w:rPr>
          <w:rFonts w:ascii="Times New Roman" w:hAnsi="Times New Roman"/>
          <w:b/>
          <w:sz w:val="20"/>
        </w:rPr>
        <w:t>Company Stock Plans</w:t>
      </w:r>
      <w:r>
        <w:rPr>
          <w:rFonts w:ascii="Times New Roman" w:hAnsi="Times New Roman"/>
          <w:sz w:val="20"/>
        </w:rPr>
        <w:t xml:space="preserve">” means any equity incentive plan or any other plan, program, agreement or arrangement providing for any equity or equity-based compensation for any Person that may be adopted by the Company from time to time following the date hereof.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240" w:after="0"/>
        <w:jc w:val="left"/>
        <w:rPr/>
      </w:pPr>
      <w:r>
        <w:rPr/>
        <w:t>“</w:t>
      </w:r>
      <w:r>
        <w:rPr>
          <w:rFonts w:ascii="Times New Roman" w:hAnsi="Times New Roman"/>
          <w:b/>
          <w:sz w:val="20"/>
        </w:rPr>
        <w:t>Company Warrants</w:t>
      </w:r>
      <w:r>
        <w:rPr>
          <w:rFonts w:ascii="Times New Roman" w:hAnsi="Times New Roman"/>
          <w:sz w:val="20"/>
        </w:rPr>
        <w:t xml:space="preserve">” means warrants to purchase shares of Company Capital Stock issued by the Company. </w:t>
      </w:r>
    </w:p>
    <w:p>
      <w:pPr>
        <w:pStyle w:val="TextBody"/>
        <w:bidi w:val="0"/>
        <w:spacing w:before="240" w:after="0"/>
        <w:jc w:val="left"/>
        <w:rPr/>
      </w:pPr>
      <w:r>
        <w:rPr/>
        <w:t>“</w:t>
      </w:r>
      <w:r>
        <w:rPr>
          <w:rFonts w:ascii="Times New Roman" w:hAnsi="Times New Roman"/>
          <w:b/>
          <w:sz w:val="20"/>
        </w:rPr>
        <w:t>Confidentiality Agreement</w:t>
      </w:r>
      <w:r>
        <w:rPr>
          <w:rFonts w:ascii="Times New Roman" w:hAnsi="Times New Roman"/>
          <w:sz w:val="20"/>
        </w:rPr>
        <w:t xml:space="preserve">” means the mutual non-disclosure agreement dated as of May 14, 2026,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 Transactions</w:t>
      </w:r>
      <w:r>
        <w:rPr>
          <w:rFonts w:ascii="Times New Roman" w:hAnsi="Times New Roman"/>
          <w:sz w:val="20"/>
        </w:rPr>
        <w:t xml:space="preserve">” means the Merger, the Constructive Issuance and the other transactions contemplated by this Agreement (other than any Parent Legacy Transaction and the Parent Charter Amendment), the Company Pre-Closing Financing and the Nasdaq Reverse Split (to the extent applicable and deemed necessary by Parent and the Company). </w:t>
      </w:r>
    </w:p>
    <w:p>
      <w:pPr>
        <w:pStyle w:val="TextBody"/>
        <w:bidi w:val="0"/>
        <w:spacing w:before="240" w:after="0"/>
        <w:jc w:val="left"/>
        <w:rPr/>
      </w:pPr>
      <w:r>
        <w:rPr/>
        <w:t>“</w:t>
      </w:r>
      <w:r>
        <w:rPr>
          <w:rFonts w:ascii="Times New Roman" w:hAnsi="Times New Roman"/>
          <w:b/>
          <w:sz w:val="20"/>
        </w:rPr>
        <w:t>Continuing Parent Option</w:t>
      </w:r>
      <w:r>
        <w:rPr>
          <w:rFonts w:ascii="Times New Roman" w:hAnsi="Times New Roman"/>
          <w:sz w:val="20"/>
        </w:rPr>
        <w:t xml:space="preserve">” means each Parent Option outstanding immediately prior to the Effective Time that is not a Cancelled Parent Option.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Delisting Event</w:t>
      </w:r>
      <w:r>
        <w:rPr>
          <w:rFonts w:ascii="Times New Roman" w:hAnsi="Times New Roman"/>
          <w:sz w:val="20"/>
        </w:rPr>
        <w:t xml:space="preserve">” means (i) the filing of a Form 25 with respect to the shares of Parent Common Stock by Parent or Nasdaq with the SEC, or (ii) any other cessation of listing of the Parent Common Stock on Nasdaq, whether or not a Form 25 has been filed yet.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other plan, program, policy or arrangement providing for stock options,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 (c), (m) or (o) of the Code.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Excepted Contract</w:t>
      </w:r>
      <w:r>
        <w:rPr>
          <w:rFonts w:ascii="Times New Roman" w:hAnsi="Times New Roman"/>
          <w:sz w:val="20"/>
        </w:rPr>
        <w:t xml:space="preserve">” means any and all (a) non-exclusive licenses for generally unmodified and commercially available shrink-wrap, click wrap and off-the-shelf software, (b) Contracts that (i) have expired on their own terms and have no continuing obligations, rights or interests (other than obligations to maintain confidentiality in the ordinary course of business), (ii) have been assigned to a third party (and to which a Party is no longer a party and has no obligations, rights or interests (other than obligations to maintain confidentiality in the ordinary course of business)) or (iii) were terminated prior to the date hereof that do not have any continuing obligations, rights or interests (other than obligations to maintain confidentiality in the ordinary course of business), (c) non-disclosure agreements entered into (i) in the Ordinary Course of Business by a Party, as applicable or (ii) in connection with discussions, negotiations, and transactions related to this Agreement or any transactions that were evaluated or pursued as an alternative to the transactions contemplated hereby, in each case, unless such non-disclosure agreements contain provisions requiring disclosure under </w:t>
      </w:r>
      <w:r>
        <w:rPr>
          <w:rFonts w:ascii="Times New Roman" w:hAnsi="Times New Roman"/>
          <w:sz w:val="20"/>
          <w:u w:val="single"/>
        </w:rPr>
        <w:t>Section 3.13(a)(ii)</w:t>
      </w:r>
      <w:r>
        <w:rPr>
          <w:rFonts w:ascii="Times New Roman" w:hAnsi="Times New Roman"/>
          <w:sz w:val="20"/>
        </w:rPr>
        <w:t xml:space="preserve">, (d) materials transfer agreements and clinical trial agreements entered into in the Ordinary Course of Business by a Party, (e) Contracts with non-exclusive licensees that are (i) ancillary to a sale of products or services to customers or (ii) incidental to the provision of services from contract manufacturers, suppliers, distributors or other service providers, or (f) Contracts between a Party and its employees on such Party’s standard form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(a) with respect to an individual, that such individual is actually aware of the relevant fact, and (b) with respect to any Person that is an Entity the Knowledge of any executive officer of such Person as of the date such knowledge is imputed.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License Agreement</w:t>
      </w:r>
      <w:r>
        <w:rPr>
          <w:rFonts w:ascii="Times New Roman" w:hAnsi="Times New Roman"/>
          <w:sz w:val="20"/>
        </w:rPr>
        <w:t xml:space="preserve">” means that certain Exclusive License Agreement, dated June 12, 2026, by and between the Company and YolTech Therapeutics Co., Ltd., as amended or modified from time to time, pursuant to which the Company acquires intellectual property rights related to YOLT-202.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 3(40)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for the purpose of maintaining compliance with Nasdaq listing standards.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 Course of Business</w:t>
      </w:r>
      <w:r>
        <w:rPr>
          <w:rFonts w:ascii="Times New Roman" w:hAnsi="Times New Roman"/>
          <w:sz w:val="20"/>
        </w:rPr>
        <w:t xml:space="preserve">” means, in the case of each of the Company and Parent, such actions taken in the ordinary course of its normal operations and consistent with its past practice or, with respect to the Company, the customary practices of a recently formed company at a similar stage of development, including adoption of a Company Employee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Pre-Closing Period, the Ordinary Course of Business of Parent shall also include actions required to effect and effecting any Parent Legacy Transaction.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any of its Subsidiaries.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audited balance sheet of Parent as of December 31, 2024, included in Parent’s Report on Form 10-K for the year ended December 31, 2024,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$0.0001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Parent ESPP</w:t>
      </w:r>
      <w:r>
        <w:rPr>
          <w:rFonts w:ascii="Times New Roman" w:hAnsi="Times New Roman"/>
          <w:sz w:val="20"/>
        </w:rPr>
        <w:t xml:space="preserve">” means the Parent 2024 Employee Stock Purchase Plan.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i/>
          <w:sz w:val="20"/>
        </w:rPr>
        <w:t>Due Organization; Subsidiaries</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i/>
          <w:sz w:val="20"/>
        </w:rPr>
        <w:t>Organizational Documents</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i/>
          <w:sz w:val="20"/>
        </w:rPr>
        <w:t>Authority; Binding Nature of Agreement</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i/>
          <w:sz w:val="20"/>
        </w:rPr>
        <w:t>Vote Required</w:t>
      </w:r>
      <w:r>
        <w:rPr>
          <w:rFonts w:ascii="Times New Roman" w:hAnsi="Times New Roman"/>
          <w:sz w:val="20"/>
        </w:rPr>
        <w:t xml:space="preserve">), </w:t>
      </w:r>
      <w:r>
        <w:rPr>
          <w:rFonts w:ascii="Times New Roman" w:hAnsi="Times New Roman"/>
          <w:sz w:val="20"/>
          <w:u w:val="single"/>
        </w:rPr>
        <w:t>4.5(a)(i)</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r>
        <w:rPr>
          <w:rFonts w:ascii="Times New Roman" w:hAnsi="Times New Roman"/>
          <w:i/>
          <w:sz w:val="20"/>
        </w:rPr>
        <w:t>No Financial Advisors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that are exclusively in-licensed or out-licensed by Parent.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 Key Employee</w:t>
      </w:r>
      <w:r>
        <w:rPr>
          <w:rFonts w:ascii="Times New Roman" w:hAnsi="Times New Roman"/>
          <w:sz w:val="20"/>
        </w:rPr>
        <w:t xml:space="preserve">” means (i) an executive officer of Parent; and (ii) any employee of Parent that reports directly to the Parent Board or to an executive officer of Parent. </w:t>
      </w:r>
    </w:p>
    <w:p>
      <w:pPr>
        <w:pStyle w:val="TextBody"/>
        <w:bidi w:val="0"/>
        <w:spacing w:before="24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financial condition, assets, liabilities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alone or in combination, shall not be taken into account in determining whether there has been a Parent Material Adverse Effect: (a) the announcement of this Agreement or the pendency of the Contemplated Transactions (other than any representation or warranty the purpose of which is to expressly address the consequences of the execution and delivery of this Agreement, the consummation of the Contemplated Transaction or the performance of the obligations 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is expressly required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and its Subsidiaries operate or (g) any failure of Parent to meet any projections, business plans or forecasts (provided that this </w:t>
      </w:r>
      <w:r>
        <w:rPr>
          <w:rFonts w:ascii="Times New Roman" w:hAnsi="Times New Roman"/>
          <w:sz w:val="20"/>
          <w:u w:val="single"/>
        </w:rPr>
        <w:t>clause (g)</w:t>
      </w:r>
      <w:r>
        <w:rPr>
          <w:rFonts w:ascii="Times New Roman" w:hAnsi="Times New Roman"/>
          <w:sz w:val="20"/>
        </w:rPr>
        <w:t xml:space="preserve"> shall not prevent a determination that any change or effect underlying such failure to meet projections, business plans or forecasts has resulted in a Parent Material Adverse Effect (to the extent such change or effect is not otherwise excluded from this definition of Parent Material Adverse Effect)); except, in each case with respect to </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to the extent materially and disproportionately affecting Parent and its Subsidiaries, taken as a whole, relative to other similarly situated companies in the industries in which Parent or any of its Subsidiaries operate. Notwithstanding the above,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Delisting Event shall constitute a Parent Material Adverse Effect, provided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the Parent Legacy Transaction prior to the Calculation Date, </w:t>
      </w:r>
      <w:r>
        <w:rPr>
          <w:rFonts w:ascii="Times New Roman" w:hAnsi="Times New Roman"/>
          <w:sz w:val="20"/>
          <w:u w:val="single"/>
        </w:rPr>
        <w:t>plus</w:t>
      </w:r>
      <w:r>
        <w:rPr>
          <w:rFonts w:ascii="Times New Roman" w:hAnsi="Times New Roman"/>
          <w:sz w:val="20"/>
        </w:rPr>
        <w:t xml:space="preserve"> (b) all prepaid expenses, accounts, interests, other receivables and deposits (excluding, for the avoidance of doubt, any Tax refunds) set forth on </w:t>
      </w:r>
      <w:r>
        <w:rPr>
          <w:rFonts w:ascii="Times New Roman" w:hAnsi="Times New Roman"/>
          <w:sz w:val="20"/>
          <w:u w:val="single"/>
        </w:rPr>
        <w:t>Section 1.1(a)</w:t>
      </w:r>
      <w:r>
        <w:rPr>
          <w:rFonts w:ascii="Times New Roman" w:hAnsi="Times New Roman"/>
          <w:sz w:val="20"/>
        </w:rPr>
        <w:t xml:space="preserve"> of the Parent Disclosure Letter, </w:t>
      </w:r>
      <w:r>
        <w:rPr>
          <w:rFonts w:ascii="Times New Roman" w:hAnsi="Times New Roman"/>
          <w:sz w:val="20"/>
          <w:u w:val="single"/>
        </w:rPr>
        <w:t>minus</w:t>
      </w:r>
      <w:r>
        <w:rPr>
          <w:rFonts w:ascii="Times New Roman" w:hAnsi="Times New Roman"/>
          <w:sz w:val="20"/>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sz w:val="20"/>
          <w:u w:val="single"/>
        </w:rPr>
        <w:t>minus</w:t>
      </w:r>
      <w:r>
        <w:rPr>
          <w:rFonts w:ascii="Times New Roman" w:hAnsi="Times New Roman"/>
          <w:sz w:val="20"/>
        </w:rPr>
        <w:t xml:space="preserve"> (d) the aggregate amount (without duplication) of all fees and expenses incurred by Parent prior to the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 connection with the printing, mailing and distribution of the Proxy Statement and any amendments and supplements thereto; (iv)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(v) the costs associated with obtaining the “D&amp;O tail policy” pursuant to </w:t>
      </w:r>
      <w:r>
        <w:rPr>
          <w:rFonts w:ascii="Times New Roman" w:hAnsi="Times New Roman"/>
          <w:sz w:val="20"/>
          <w:u w:val="single"/>
        </w:rPr>
        <w:t>Section 6.7</w:t>
      </w:r>
      <w:r>
        <w:rPr>
          <w:rFonts w:ascii="Times New Roman" w:hAnsi="Times New Roman"/>
          <w:sz w:val="20"/>
        </w:rPr>
        <w:t xml:space="preserve">, in each case, to the extent unpaid as of the Effective Time; and (vi) the dividend of any excess Parent Net Cash (to the extent declared and unpaid) and all costs and expenses associated therewith, </w:t>
      </w:r>
      <w:r>
        <w:rPr>
          <w:rFonts w:ascii="Times New Roman" w:hAnsi="Times New Roman"/>
          <w:sz w:val="20"/>
          <w:u w:val="single"/>
        </w:rPr>
        <w:t>minus</w:t>
      </w:r>
      <w:r>
        <w:rPr>
          <w:rFonts w:ascii="Times New Roman" w:hAnsi="Times New Roman"/>
          <w:sz w:val="20"/>
        </w:rPr>
        <w:t xml:space="preserve"> (e) all remaining rent payments and fees and expenses associated with terminating the Parent Real Estate Leases, </w:t>
      </w:r>
      <w:r>
        <w:rPr>
          <w:rFonts w:ascii="Times New Roman" w:hAnsi="Times New Roman"/>
          <w:sz w:val="20"/>
          <w:u w:val="single"/>
        </w:rPr>
        <w:t>minus</w:t>
      </w:r>
      <w:r>
        <w:rPr>
          <w:rFonts w:ascii="Times New Roman" w:hAnsi="Times New Roman"/>
          <w:sz w:val="20"/>
        </w:rPr>
        <w:t xml:space="preserve"> (f) the Accrued Pre-Closing Tax Amount, </w:t>
      </w:r>
      <w:r>
        <w:rPr>
          <w:rFonts w:ascii="Times New Roman" w:hAnsi="Times New Roman"/>
          <w:sz w:val="20"/>
          <w:u w:val="single"/>
        </w:rPr>
        <w:t>minus</w:t>
      </w:r>
      <w:r>
        <w:rPr>
          <w:rFonts w:ascii="Times New Roman" w:hAnsi="Times New Roman"/>
          <w:sz w:val="20"/>
        </w:rPr>
        <w:t xml:space="preserve"> (g) all costs and expenses relating to the winding down of the Parent Legacy Business, including the sale, license or other disposition of any or all of the Parent Legacy Business to the extent unpaid as of the Closing (including, without limitation, the Post-Closing Welfare Plan Continuation Expense, if any), </w:t>
      </w:r>
      <w:r>
        <w:rPr>
          <w:rFonts w:ascii="Times New Roman" w:hAnsi="Times New Roman"/>
          <w:sz w:val="20"/>
          <w:u w:val="single"/>
        </w:rPr>
        <w:t>minus</w:t>
      </w:r>
      <w:r>
        <w:rPr>
          <w:rFonts w:ascii="Times New Roman" w:hAnsi="Times New Roman"/>
          <w:sz w:val="20"/>
        </w:rPr>
        <w:t xml:space="preserve"> (h) to the extent not declared and paid prior to delivery of the Parent Net Cash Schedule and without double-counting, the Parent Pre-Closing Dividend Amount, </w:t>
      </w:r>
      <w:r>
        <w:rPr>
          <w:rFonts w:ascii="Times New Roman" w:hAnsi="Times New Roman"/>
          <w:sz w:val="20"/>
          <w:u w:val="single"/>
        </w:rPr>
        <w:t>plus</w:t>
      </w:r>
      <w:r>
        <w:rPr>
          <w:rFonts w:ascii="Times New Roman" w:hAnsi="Times New Roman"/>
          <w:sz w:val="20"/>
        </w:rPr>
        <w:t xml:space="preserve"> (i) $500,000 for each month, or portion thereof, after November 22, 2026 by which Closing is delayed primarily as a result of the Company’s failure to provide Company Required S-4 Information, which amount shall begin accruing on November 23, 2026;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portion of the fees and expenses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(d)</w:t>
      </w:r>
      <w:r>
        <w:rPr>
          <w:rFonts w:ascii="Times New Roman" w:hAnsi="Times New Roman"/>
          <w:sz w:val="20"/>
        </w:rPr>
        <w:t xml:space="preserve"> have been paid by Parent prior to the Effective Time in an amount greater than Parent’s share of such fee and expense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then (x) such portion in excess of Parent’s shares of such fee and expense described in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shall not be deducted by reason of </w:t>
      </w:r>
      <w:r>
        <w:rPr>
          <w:rFonts w:ascii="Times New Roman" w:hAnsi="Times New Roman"/>
          <w:sz w:val="20"/>
          <w:u w:val="single"/>
        </w:rPr>
        <w:t>subclauses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(d)</w:t>
      </w:r>
      <w:r>
        <w:rPr>
          <w:rFonts w:ascii="Times New Roman" w:hAnsi="Times New Roman"/>
          <w:sz w:val="20"/>
        </w:rPr>
        <w:t xml:space="preserve">, and (y) such portion shall be added to the calculation of Parent Net Cash. For avoidance of doubt, the calculation of Parent Net Cash may result in a number below $0.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granted by Parent, including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shares of Parent’s capital stock designated as preferred stock, par value $0.0001 per share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prior to the approval of this Agreement and the Contemplated Transactions by Parent’s stockholders and subject to </w:t>
      </w:r>
      <w:r>
        <w:rPr>
          <w:rFonts w:ascii="Times New Roman" w:hAnsi="Times New Roman"/>
          <w:sz w:val="20"/>
          <w:u w:val="single"/>
        </w:rPr>
        <w:t>Section 6.3(c)</w:t>
      </w:r>
      <w:r>
        <w:rPr>
          <w:rFonts w:ascii="Times New Roman" w:hAnsi="Times New Roman"/>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 w:hAnsi="Times New Roman"/>
          <w:sz w:val="20"/>
          <w:u w:val="single"/>
        </w:rPr>
        <w:t>Section 6.3(e)</w:t>
      </w:r>
      <w:r>
        <w:rPr>
          <w:rFonts w:ascii="Times New Roman" w:hAnsi="Times New Roman"/>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will be or have been made on the financial statements of the Company or the Parent Balance Sheet, as applicable,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(b) minor non-monetary liens that have arisen in the Ordinary Course of Business and that do not (in any case or in the aggregate)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information that is considered “personally identifiable information,” “personal information,” “personal data,” “clinical trial data,” “consumer health data,” or any similar term by any applicable Privacy Laws.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Laws relating to privacy, data security, data breach notification, or the processing of Personal Information.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that certain registration rights agreement, dated as of the date hereof, by and among the Company and the several investors signatory thereto.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 Person, such Person’s directors, officers, employees, agents, attorneys, accountants, investment bankers, advisors and other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and any termination or break up fees and conditions to consummation), as well as any written offer by the other Party to this Agreement to amend the terms of this Agreement, and following consultation with its outside legal counsel and financial advisors, if any, are more favorable, from a financial point of view, to Parent’s stockholders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pPr>
      <w:r>
        <w:rPr/>
        <w:t>“</w:t>
      </w:r>
      <w:r>
        <w:rPr>
          <w:rFonts w:ascii="Times New Roman" w:hAnsi="Times New Roman"/>
          <w:b/>
          <w:sz w:val="20"/>
        </w:rPr>
        <w:t>Yoltech Warrant</w:t>
      </w:r>
      <w:r>
        <w:rPr>
          <w:rFonts w:ascii="Times New Roman" w:hAnsi="Times New Roman"/>
          <w:sz w:val="20"/>
        </w:rPr>
        <w:t xml:space="preserve">” means that certain Company Warrant, dated as of June 12, 2026, issued to YolTech Therapeutics Co., Ltd. in connection with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(a) Each of the following terms is defined in the Section set forth opposite such term: </w:t>
      </w:r>
    </w:p>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2480"/>
        <w:gridCol w:w="120"/>
        <w:gridCol w:w="92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2480" w:type="dxa"/>
            <w:tcBorders/>
            <w:vAlign w:val="center"/>
          </w:tcPr>
          <w:p>
            <w:pPr>
              <w:pStyle w:val="TableContents"/>
              <w:bidi w:val="0"/>
              <w:spacing w:before="0" w:after="283"/>
              <w:jc w:val="left"/>
              <w:rPr/>
            </w:pPr>
            <w:r>
              <w:rPr/>
              <w:t>AAA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2480" w:type="dxa"/>
            <w:tcBorders/>
            <w:vAlign w:val="center"/>
          </w:tcPr>
          <w:p>
            <w:pPr>
              <w:pStyle w:val="TableContents"/>
              <w:bidi w:val="0"/>
              <w:spacing w:before="0" w:after="283"/>
              <w:jc w:val="left"/>
              <w:rPr/>
            </w:pPr>
            <w:r>
              <w:rPr/>
              <w:t>Accounting Firm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2480" w:type="dxa"/>
            <w:tcBorders/>
            <w:vAlign w:val="center"/>
          </w:tcPr>
          <w:p>
            <w:pPr>
              <w:pStyle w:val="TableContents"/>
              <w:bidi w:val="0"/>
              <w:spacing w:before="0" w:after="283"/>
              <w:jc w:val="left"/>
              <w:rPr/>
            </w:pPr>
            <w:r>
              <w:rPr/>
              <w:t>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2480" w:type="dxa"/>
            <w:tcBorders/>
            <w:vAlign w:val="center"/>
          </w:tcPr>
          <w:p>
            <w:pPr>
              <w:pStyle w:val="TableContents"/>
              <w:bidi w:val="0"/>
              <w:spacing w:before="0" w:after="283"/>
              <w:jc w:val="left"/>
              <w:rPr/>
            </w:pPr>
            <w:r>
              <w:rPr/>
              <w:t>Allocation Certificate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6.15</w:t>
            </w:r>
          </w:p>
        </w:tc>
      </w:tr>
      <w:tr>
        <w:trPr/>
        <w:tc>
          <w:tcPr>
            <w:tcW w:w="2480" w:type="dxa"/>
            <w:tcBorders/>
            <w:vAlign w:val="center"/>
          </w:tcPr>
          <w:p>
            <w:pPr>
              <w:pStyle w:val="TableContents"/>
              <w:bidi w:val="0"/>
              <w:spacing w:before="0" w:after="283"/>
              <w:jc w:val="left"/>
              <w:rPr/>
            </w:pPr>
            <w:r>
              <w:rPr/>
              <w:t>Assumed Option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6.5(a)</w:t>
            </w:r>
          </w:p>
        </w:tc>
      </w:tr>
      <w:tr>
        <w:trPr/>
        <w:tc>
          <w:tcPr>
            <w:tcW w:w="2480" w:type="dxa"/>
            <w:tcBorders/>
            <w:vAlign w:val="center"/>
          </w:tcPr>
          <w:p>
            <w:pPr>
              <w:pStyle w:val="TableContents"/>
              <w:bidi w:val="0"/>
              <w:spacing w:before="0" w:after="283"/>
              <w:jc w:val="left"/>
              <w:rPr/>
            </w:pPr>
            <w:r>
              <w:rPr/>
              <w:t>Assumed Warrant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6.5(b)</w:t>
            </w:r>
          </w:p>
        </w:tc>
      </w:tr>
      <w:tr>
        <w:trPr/>
        <w:tc>
          <w:tcPr>
            <w:tcW w:w="2480" w:type="dxa"/>
            <w:tcBorders/>
            <w:vAlign w:val="center"/>
          </w:tcPr>
          <w:p>
            <w:pPr>
              <w:pStyle w:val="TableContents"/>
              <w:bidi w:val="0"/>
              <w:spacing w:before="0" w:after="283"/>
              <w:jc w:val="left"/>
              <w:rPr/>
            </w:pPr>
            <w:r>
              <w:rPr/>
              <w:t>Capitalization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4.6(a)</w:t>
            </w:r>
          </w:p>
        </w:tc>
      </w:tr>
      <w:tr>
        <w:trPr/>
        <w:tc>
          <w:tcPr>
            <w:tcW w:w="2480" w:type="dxa"/>
            <w:tcBorders/>
            <w:vAlign w:val="center"/>
          </w:tcPr>
          <w:p>
            <w:pPr>
              <w:pStyle w:val="TableContents"/>
              <w:bidi w:val="0"/>
              <w:spacing w:before="0" w:after="283"/>
              <w:jc w:val="left"/>
              <w:rPr/>
            </w:pPr>
            <w:r>
              <w:rPr/>
              <w:t>Cash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025" w:type="dxa"/>
        <w:jc w:val="left"/>
        <w:tblInd w:w="0" w:type="dxa"/>
        <w:tblLayout w:type="fixed"/>
        <w:tblCellMar>
          <w:top w:w="0" w:type="dxa"/>
          <w:left w:w="0" w:type="dxa"/>
          <w:bottom w:w="0" w:type="dxa"/>
          <w:right w:w="0" w:type="dxa"/>
        </w:tblCellMar>
      </w:tblPr>
      <w:tblGrid>
        <w:gridCol w:w="4985"/>
        <w:gridCol w:w="120"/>
        <w:gridCol w:w="92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985" w:type="dxa"/>
            <w:tcBorders/>
            <w:vAlign w:val="center"/>
          </w:tcPr>
          <w:p>
            <w:pPr>
              <w:pStyle w:val="TableContents"/>
              <w:bidi w:val="0"/>
              <w:spacing w:before="0" w:after="283"/>
              <w:jc w:val="left"/>
              <w:rPr/>
            </w:pPr>
            <w:r>
              <w:rPr/>
              <w:t>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Certifications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4985" w:type="dxa"/>
            <w:tcBorders/>
            <w:vAlign w:val="center"/>
          </w:tcPr>
          <w:p>
            <w:pPr>
              <w:pStyle w:val="TableContents"/>
              <w:bidi w:val="0"/>
              <w:spacing w:before="0" w:after="283"/>
              <w:jc w:val="left"/>
              <w:rPr/>
            </w:pPr>
            <w:r>
              <w:rPr/>
              <w:t>Closing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Company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3.17(j)</w:t>
            </w:r>
          </w:p>
        </w:tc>
      </w:tr>
      <w:tr>
        <w:trPr/>
        <w:tc>
          <w:tcPr>
            <w:tcW w:w="4985" w:type="dxa"/>
            <w:tcBorders/>
            <w:vAlign w:val="center"/>
          </w:tcPr>
          <w:p>
            <w:pPr>
              <w:pStyle w:val="TableContents"/>
              <w:bidi w:val="0"/>
              <w:spacing w:before="0" w:after="283"/>
              <w:jc w:val="left"/>
              <w:rPr/>
            </w:pPr>
            <w:r>
              <w:rPr/>
              <w:t>Company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985" w:type="dxa"/>
            <w:tcBorders/>
            <w:vAlign w:val="center"/>
          </w:tcPr>
          <w:p>
            <w:pPr>
              <w:pStyle w:val="TableContents"/>
              <w:bidi w:val="0"/>
              <w:spacing w:before="0" w:after="283"/>
              <w:jc w:val="left"/>
              <w:rPr/>
            </w:pPr>
            <w:r>
              <w:rPr/>
              <w:t>Company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6.2(c)</w:t>
            </w:r>
          </w:p>
        </w:tc>
      </w:tr>
      <w:tr>
        <w:trPr/>
        <w:tc>
          <w:tcPr>
            <w:tcW w:w="4985" w:type="dxa"/>
            <w:tcBorders/>
            <w:vAlign w:val="center"/>
          </w:tcPr>
          <w:p>
            <w:pPr>
              <w:pStyle w:val="TableContents"/>
              <w:bidi w:val="0"/>
              <w:spacing w:before="0" w:after="283"/>
              <w:jc w:val="left"/>
              <w:rPr/>
            </w:pPr>
            <w:r>
              <w:rPr/>
              <w:t>Company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3</w:t>
            </w:r>
          </w:p>
        </w:tc>
      </w:tr>
      <w:tr>
        <w:trPr/>
        <w:tc>
          <w:tcPr>
            <w:tcW w:w="4985" w:type="dxa"/>
            <w:tcBorders/>
            <w:vAlign w:val="center"/>
          </w:tcPr>
          <w:p>
            <w:pPr>
              <w:pStyle w:val="TableContents"/>
              <w:bidi w:val="0"/>
              <w:spacing w:before="0" w:after="283"/>
              <w:jc w:val="left"/>
              <w:rPr/>
            </w:pPr>
            <w:r>
              <w:rPr/>
              <w:t>Company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Material Contracts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985" w:type="dxa"/>
            <w:tcBorders/>
            <w:vAlign w:val="center"/>
          </w:tcPr>
          <w:p>
            <w:pPr>
              <w:pStyle w:val="TableContents"/>
              <w:bidi w:val="0"/>
              <w:spacing w:before="0" w:after="283"/>
              <w:jc w:val="left"/>
              <w:rPr/>
            </w:pPr>
            <w:r>
              <w:rPr/>
              <w:t>Company Product Candidates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985" w:type="dxa"/>
            <w:tcBorders/>
            <w:vAlign w:val="center"/>
          </w:tcPr>
          <w:p>
            <w:pPr>
              <w:pStyle w:val="TableContents"/>
              <w:bidi w:val="0"/>
              <w:spacing w:before="0" w:after="283"/>
              <w:jc w:val="left"/>
              <w:rPr/>
            </w:pPr>
            <w:r>
              <w:rPr/>
              <w:t>Company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3.11</w:t>
            </w:r>
          </w:p>
        </w:tc>
      </w:tr>
      <w:tr>
        <w:trPr/>
        <w:tc>
          <w:tcPr>
            <w:tcW w:w="4985" w:type="dxa"/>
            <w:tcBorders/>
            <w:vAlign w:val="center"/>
          </w:tcPr>
          <w:p>
            <w:pPr>
              <w:pStyle w:val="TableContents"/>
              <w:bidi w:val="0"/>
              <w:spacing w:before="0" w:after="283"/>
              <w:jc w:val="left"/>
              <w:rPr/>
            </w:pPr>
            <w:r>
              <w:rPr/>
              <w:t>Company Regulatory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985" w:type="dxa"/>
            <w:tcBorders/>
            <w:vAlign w:val="center"/>
          </w:tcPr>
          <w:p>
            <w:pPr>
              <w:pStyle w:val="TableContents"/>
              <w:bidi w:val="0"/>
              <w:spacing w:before="0" w:after="283"/>
              <w:jc w:val="left"/>
              <w:rPr/>
            </w:pPr>
            <w:r>
              <w:rPr/>
              <w:t>Company Required S-4 Information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6.1(d)</w:t>
            </w:r>
          </w:p>
        </w:tc>
      </w:tr>
      <w:tr>
        <w:trPr/>
        <w:tc>
          <w:tcPr>
            <w:tcW w:w="4985" w:type="dxa"/>
            <w:tcBorders/>
            <w:vAlign w:val="center"/>
          </w:tcPr>
          <w:p>
            <w:pPr>
              <w:pStyle w:val="TableContents"/>
              <w:bidi w:val="0"/>
              <w:spacing w:before="0" w:after="283"/>
              <w:jc w:val="left"/>
              <w:rPr/>
            </w:pPr>
            <w:r>
              <w:rPr/>
              <w:t>Company Stockholder Support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985" w:type="dxa"/>
            <w:tcBorders/>
            <w:vAlign w:val="center"/>
          </w:tcPr>
          <w:p>
            <w:pPr>
              <w:pStyle w:val="TableContents"/>
              <w:bidi w:val="0"/>
              <w:spacing w:before="0" w:after="283"/>
              <w:jc w:val="left"/>
              <w:rPr/>
            </w:pPr>
            <w:r>
              <w:rPr/>
              <w:t>Company Stockholder Written Consents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6.2(a)</w:t>
            </w:r>
          </w:p>
        </w:tc>
      </w:tr>
      <w:tr>
        <w:trPr/>
        <w:tc>
          <w:tcPr>
            <w:tcW w:w="4985" w:type="dxa"/>
            <w:tcBorders/>
            <w:vAlign w:val="center"/>
          </w:tcPr>
          <w:p>
            <w:pPr>
              <w:pStyle w:val="TableContents"/>
              <w:bidi w:val="0"/>
              <w:spacing w:before="0" w:after="283"/>
              <w:jc w:val="left"/>
              <w:rPr/>
            </w:pPr>
            <w:r>
              <w:rPr/>
              <w:t>Company Termination Fee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10.3(b)</w:t>
            </w:r>
          </w:p>
        </w:tc>
      </w:tr>
      <w:tr>
        <w:trPr/>
        <w:tc>
          <w:tcPr>
            <w:tcW w:w="4985" w:type="dxa"/>
            <w:tcBorders/>
            <w:vAlign w:val="center"/>
          </w:tcPr>
          <w:p>
            <w:pPr>
              <w:pStyle w:val="TableContents"/>
              <w:bidi w:val="0"/>
              <w:spacing w:before="0" w:after="283"/>
              <w:jc w:val="left"/>
              <w:rPr/>
            </w:pPr>
            <w:r>
              <w:rPr/>
              <w:t>Company Valuation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985" w:type="dxa"/>
            <w:tcBorders/>
            <w:vAlign w:val="center"/>
          </w:tcPr>
          <w:p>
            <w:pPr>
              <w:pStyle w:val="TableContents"/>
              <w:bidi w:val="0"/>
              <w:spacing w:before="0" w:after="283"/>
              <w:jc w:val="left"/>
              <w:rPr/>
            </w:pPr>
            <w:r>
              <w:rPr/>
              <w:t>Company Valuation Delivery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985" w:type="dxa"/>
            <w:tcBorders/>
            <w:vAlign w:val="center"/>
          </w:tcPr>
          <w:p>
            <w:pPr>
              <w:pStyle w:val="TableContents"/>
              <w:bidi w:val="0"/>
              <w:spacing w:before="0" w:after="283"/>
              <w:jc w:val="left"/>
              <w:rPr/>
            </w:pPr>
            <w:r>
              <w:rPr/>
              <w:t>Company Valuation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985" w:type="dxa"/>
            <w:tcBorders/>
            <w:vAlign w:val="center"/>
          </w:tcPr>
          <w:p>
            <w:pPr>
              <w:pStyle w:val="TableContents"/>
              <w:bidi w:val="0"/>
              <w:spacing w:before="0" w:after="283"/>
              <w:jc w:val="left"/>
              <w:rPr/>
            </w:pPr>
            <w:r>
              <w:rPr/>
              <w:t>Company Valuation 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985" w:type="dxa"/>
            <w:tcBorders/>
            <w:vAlign w:val="center"/>
          </w:tcPr>
          <w:p>
            <w:pPr>
              <w:pStyle w:val="TableContents"/>
              <w:bidi w:val="0"/>
              <w:spacing w:before="0" w:after="283"/>
              <w:jc w:val="left"/>
              <w:rPr/>
            </w:pPr>
            <w:r>
              <w:rPr/>
              <w:t>Company Valuation Response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985" w:type="dxa"/>
            <w:tcBorders/>
            <w:vAlign w:val="center"/>
          </w:tcPr>
          <w:p>
            <w:pPr>
              <w:pStyle w:val="TableContents"/>
              <w:bidi w:val="0"/>
              <w:spacing w:before="0" w:after="283"/>
              <w:jc w:val="left"/>
              <w:rPr/>
            </w:pPr>
            <w:r>
              <w:rPr/>
              <w:t>Company Valuation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985"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985" w:type="dxa"/>
            <w:tcBorders/>
            <w:vAlign w:val="center"/>
          </w:tcPr>
          <w:p>
            <w:pPr>
              <w:pStyle w:val="TableContents"/>
              <w:bidi w:val="0"/>
              <w:spacing w:before="0" w:after="283"/>
              <w:jc w:val="left"/>
              <w:rPr/>
            </w:pPr>
            <w:r>
              <w:rPr/>
              <w:t>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985" w:type="dxa"/>
            <w:tcBorders/>
            <w:vAlign w:val="center"/>
          </w:tcPr>
          <w:p>
            <w:pPr>
              <w:pStyle w:val="TableContents"/>
              <w:bidi w:val="0"/>
              <w:spacing w:before="0" w:after="283"/>
              <w:jc w:val="left"/>
              <w:rPr/>
            </w:pPr>
            <w:r>
              <w:rPr/>
              <w:t>D&amp;O Indemnified Parties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985" w:type="dxa"/>
            <w:tcBorders/>
            <w:vAlign w:val="center"/>
          </w:tcPr>
          <w:p>
            <w:pPr>
              <w:pStyle w:val="TableContents"/>
              <w:bidi w:val="0"/>
              <w:spacing w:before="0" w:after="283"/>
              <w:jc w:val="left"/>
              <w:rPr/>
            </w:pPr>
            <w:r>
              <w:rPr/>
              <w:t>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985" w:type="dxa"/>
            <w:tcBorders/>
            <w:vAlign w:val="center"/>
          </w:tcPr>
          <w:p>
            <w:pPr>
              <w:pStyle w:val="TableContents"/>
              <w:bidi w:val="0"/>
              <w:spacing w:before="0" w:after="283"/>
              <w:jc w:val="left"/>
              <w:rPr/>
            </w:pPr>
            <w:r>
              <w:rPr/>
              <w:t>Drug/Device Regulatory Agency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985" w:type="dxa"/>
            <w:tcBorders/>
            <w:vAlign w:val="center"/>
          </w:tcPr>
          <w:p>
            <w:pPr>
              <w:pStyle w:val="TableContents"/>
              <w:bidi w:val="0"/>
              <w:spacing w:before="0" w:after="283"/>
              <w:jc w:val="left"/>
              <w:rPr/>
            </w:pPr>
            <w:r>
              <w:rPr/>
              <w:t>Effective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Employment-Related Laws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3.17(k)</w:t>
            </w:r>
          </w:p>
        </w:tc>
      </w:tr>
      <w:tr>
        <w:trPr/>
        <w:tc>
          <w:tcPr>
            <w:tcW w:w="4985" w:type="dxa"/>
            <w:tcBorders/>
            <w:vAlign w:val="center"/>
          </w:tcPr>
          <w:p>
            <w:pPr>
              <w:pStyle w:val="TableContents"/>
              <w:bidi w:val="0"/>
              <w:spacing w:before="0" w:after="283"/>
              <w:jc w:val="left"/>
              <w:rPr/>
            </w:pPr>
            <w:r>
              <w:rPr/>
              <w:t>End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10.1(b)</w:t>
            </w:r>
          </w:p>
        </w:tc>
      </w:tr>
      <w:tr>
        <w:trPr/>
        <w:tc>
          <w:tcPr>
            <w:tcW w:w="4985" w:type="dxa"/>
            <w:tcBorders/>
            <w:vAlign w:val="center"/>
          </w:tcPr>
          <w:p>
            <w:pPr>
              <w:pStyle w:val="TableContents"/>
              <w:bidi w:val="0"/>
              <w:spacing w:before="0" w:after="283"/>
              <w:jc w:val="left"/>
              <w:rPr/>
            </w:pPr>
            <w:r>
              <w:rPr/>
              <w:t>Exchange Agent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2.7(a)</w:t>
            </w:r>
          </w:p>
        </w:tc>
      </w:tr>
      <w:tr>
        <w:trPr/>
        <w:tc>
          <w:tcPr>
            <w:tcW w:w="4985" w:type="dxa"/>
            <w:tcBorders/>
            <w:vAlign w:val="center"/>
          </w:tcPr>
          <w:p>
            <w:pPr>
              <w:pStyle w:val="TableContents"/>
              <w:bidi w:val="0"/>
              <w:spacing w:before="0" w:after="283"/>
              <w:jc w:val="left"/>
              <w:rPr/>
            </w:pPr>
            <w:r>
              <w:rPr/>
              <w:t>FDA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985" w:type="dxa"/>
            <w:tcBorders/>
            <w:vAlign w:val="center"/>
          </w:tcPr>
          <w:p>
            <w:pPr>
              <w:pStyle w:val="TableContents"/>
              <w:bidi w:val="0"/>
              <w:spacing w:before="0" w:after="283"/>
              <w:jc w:val="left"/>
              <w:rPr/>
            </w:pPr>
            <w:r>
              <w:rPr/>
              <w:t>FDCA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3.14(c)</w:t>
            </w:r>
          </w:p>
        </w:tc>
      </w:tr>
      <w:tr>
        <w:trPr/>
        <w:tc>
          <w:tcPr>
            <w:tcW w:w="4985" w:type="dxa"/>
            <w:tcBorders/>
            <w:vAlign w:val="center"/>
          </w:tcPr>
          <w:p>
            <w:pPr>
              <w:pStyle w:val="TableContents"/>
              <w:bidi w:val="0"/>
              <w:spacing w:before="0" w:after="283"/>
              <w:jc w:val="left"/>
              <w:rPr/>
            </w:pPr>
            <w:r>
              <w:rPr/>
              <w:t>Form S-4</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4985" w:type="dxa"/>
            <w:tcBorders/>
            <w:vAlign w:val="center"/>
          </w:tcPr>
          <w:p>
            <w:pPr>
              <w:pStyle w:val="TableContents"/>
              <w:bidi w:val="0"/>
              <w:spacing w:before="0" w:after="283"/>
              <w:jc w:val="left"/>
              <w:rPr/>
            </w:pPr>
            <w:r>
              <w:rPr/>
              <w:t>Intended Tax Treatment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2.10</w:t>
            </w:r>
          </w:p>
        </w:tc>
      </w:tr>
      <w:tr>
        <w:trPr/>
        <w:tc>
          <w:tcPr>
            <w:tcW w:w="4985" w:type="dxa"/>
            <w:tcBorders/>
            <w:vAlign w:val="center"/>
          </w:tcPr>
          <w:p>
            <w:pPr>
              <w:pStyle w:val="TableContents"/>
              <w:bidi w:val="0"/>
              <w:spacing w:before="0" w:after="283"/>
              <w:jc w:val="left"/>
              <w:rPr/>
            </w:pPr>
            <w:r>
              <w:rPr/>
              <w:t>Liability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3.9</w:t>
            </w:r>
          </w:p>
        </w:tc>
      </w:tr>
      <w:tr>
        <w:trPr/>
        <w:tc>
          <w:tcPr>
            <w:tcW w:w="4985" w:type="dxa"/>
            <w:tcBorders/>
            <w:vAlign w:val="center"/>
          </w:tcPr>
          <w:p>
            <w:pPr>
              <w:pStyle w:val="TableContents"/>
              <w:bidi w:val="0"/>
              <w:spacing w:before="0" w:after="283"/>
              <w:jc w:val="left"/>
              <w:rPr/>
            </w:pPr>
            <w:r>
              <w:rPr/>
              <w:t>Lock-Up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985" w:type="dxa"/>
            <w:tcBorders/>
            <w:vAlign w:val="center"/>
          </w:tcPr>
          <w:p>
            <w:pPr>
              <w:pStyle w:val="TableContents"/>
              <w:bidi w:val="0"/>
              <w:spacing w:before="0" w:after="283"/>
              <w:jc w:val="left"/>
              <w:rPr/>
            </w:pPr>
            <w:r>
              <w:rPr/>
              <w:t>Lock-Up Agreements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985" w:type="dxa"/>
            <w:tcBorders/>
            <w:vAlign w:val="center"/>
          </w:tcPr>
          <w:p>
            <w:pPr>
              <w:pStyle w:val="TableContents"/>
              <w:bidi w:val="0"/>
              <w:spacing w:before="0" w:after="283"/>
              <w:jc w:val="left"/>
              <w:rPr/>
            </w:pPr>
            <w:r>
              <w:rPr/>
              <w:t>Merger Consideration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w:t>
            </w:r>
          </w:p>
        </w:tc>
      </w:tr>
      <w:tr>
        <w:trPr/>
        <w:tc>
          <w:tcPr>
            <w:tcW w:w="4985" w:type="dxa"/>
            <w:tcBorders/>
            <w:vAlign w:val="center"/>
          </w:tcPr>
          <w:p>
            <w:pPr>
              <w:pStyle w:val="TableContents"/>
              <w:bidi w:val="0"/>
              <w:spacing w:before="0" w:after="283"/>
              <w:jc w:val="left"/>
              <w:rPr/>
            </w:pPr>
            <w:r>
              <w:rPr/>
              <w:t>Merger Sub</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985" w:type="dxa"/>
            <w:tcBorders/>
            <w:vAlign w:val="center"/>
          </w:tcPr>
          <w:p>
            <w:pPr>
              <w:pStyle w:val="TableContents"/>
              <w:bidi w:val="0"/>
              <w:spacing w:before="0" w:after="283"/>
              <w:jc w:val="left"/>
              <w:rPr/>
            </w:pPr>
            <w:r>
              <w:rPr/>
              <w:t>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985" w:type="dxa"/>
            <w:tcBorders/>
            <w:vAlign w:val="center"/>
          </w:tcPr>
          <w:p>
            <w:pPr>
              <w:pStyle w:val="TableContents"/>
              <w:bidi w:val="0"/>
              <w:spacing w:before="0" w:after="283"/>
              <w:jc w:val="left"/>
              <w:rPr/>
            </w:pPr>
            <w:r>
              <w:rPr/>
              <w:t>Nasdaq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985" w:type="dxa"/>
            <w:tcBorders/>
            <w:vAlign w:val="center"/>
          </w:tcPr>
          <w:p>
            <w:pPr>
              <w:pStyle w:val="TableContents"/>
              <w:bidi w:val="0"/>
              <w:spacing w:before="0" w:after="283"/>
              <w:jc w:val="left"/>
              <w:rPr/>
            </w:pPr>
            <w:r>
              <w:rPr/>
              <w:t>Nasdaq Listing Application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985" w:type="dxa"/>
            <w:tcBorders/>
            <w:vAlign w:val="center"/>
          </w:tcPr>
          <w:p>
            <w:pPr>
              <w:pStyle w:val="TableContents"/>
              <w:bidi w:val="0"/>
              <w:spacing w:before="0" w:after="283"/>
              <w:jc w:val="left"/>
              <w:rPr/>
            </w:pPr>
            <w:r>
              <w:rPr/>
              <w:t>Ordinary Course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3.16(g)</w:t>
            </w:r>
          </w:p>
        </w:tc>
      </w:tr>
      <w:tr>
        <w:trPr/>
        <w:tc>
          <w:tcPr>
            <w:tcW w:w="4985" w:type="dxa"/>
            <w:tcBorders/>
            <w:vAlign w:val="center"/>
          </w:tcPr>
          <w:p>
            <w:pPr>
              <w:pStyle w:val="TableContents"/>
              <w:bidi w:val="0"/>
              <w:spacing w:before="0" w:after="283"/>
              <w:jc w:val="left"/>
              <w:rPr/>
            </w:pPr>
            <w:r>
              <w:rPr/>
              <w:t>Parent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4.17(j)</w:t>
            </w:r>
          </w:p>
        </w:tc>
      </w:tr>
      <w:tr>
        <w:trPr/>
        <w:tc>
          <w:tcPr>
            <w:tcW w:w="4985" w:type="dxa"/>
            <w:tcBorders/>
            <w:vAlign w:val="center"/>
          </w:tcPr>
          <w:p>
            <w:pPr>
              <w:pStyle w:val="TableContents"/>
              <w:bidi w:val="0"/>
              <w:spacing w:before="0" w:after="283"/>
              <w:jc w:val="left"/>
              <w:rPr/>
            </w:pPr>
            <w:r>
              <w:rPr/>
              <w:t>Parent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985" w:type="dxa"/>
            <w:tcBorders/>
            <w:vAlign w:val="center"/>
          </w:tcPr>
          <w:p>
            <w:pPr>
              <w:pStyle w:val="TableContents"/>
              <w:bidi w:val="0"/>
              <w:spacing w:before="0" w:after="283"/>
              <w:jc w:val="left"/>
              <w:rPr/>
            </w:pPr>
            <w:r>
              <w:rPr/>
              <w:t>Parent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6.3(b)</w:t>
            </w:r>
          </w:p>
        </w:tc>
      </w:tr>
      <w:tr>
        <w:trPr/>
        <w:tc>
          <w:tcPr>
            <w:tcW w:w="4985" w:type="dxa"/>
            <w:tcBorders/>
            <w:vAlign w:val="center"/>
          </w:tcPr>
          <w:p>
            <w:pPr>
              <w:pStyle w:val="TableContents"/>
              <w:bidi w:val="0"/>
              <w:spacing w:before="0" w:after="283"/>
              <w:jc w:val="left"/>
              <w:rPr/>
            </w:pPr>
            <w:r>
              <w:rPr/>
              <w:t>Parent Charter Amendment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2.4(a)(iv)</w:t>
            </w:r>
          </w:p>
        </w:tc>
      </w:tr>
      <w:tr>
        <w:trPr/>
        <w:tc>
          <w:tcPr>
            <w:tcW w:w="4985" w:type="dxa"/>
            <w:tcBorders/>
            <w:vAlign w:val="center"/>
          </w:tcPr>
          <w:p>
            <w:pPr>
              <w:pStyle w:val="TableContents"/>
              <w:bidi w:val="0"/>
              <w:spacing w:before="0" w:after="283"/>
              <w:jc w:val="left"/>
              <w:rPr/>
            </w:pPr>
            <w:r>
              <w:rPr/>
              <w:t>Parent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40" w:type="dxa"/>
        <w:jc w:val="left"/>
        <w:tblInd w:w="0" w:type="dxa"/>
        <w:tblLayout w:type="fixed"/>
        <w:tblCellMar>
          <w:top w:w="0" w:type="dxa"/>
          <w:left w:w="0" w:type="dxa"/>
          <w:bottom w:w="0" w:type="dxa"/>
          <w:right w:w="0" w:type="dxa"/>
        </w:tblCellMar>
      </w:tblPr>
      <w:tblGrid>
        <w:gridCol w:w="4700"/>
        <w:gridCol w:w="120"/>
        <w:gridCol w:w="920"/>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700" w:type="dxa"/>
            <w:tcBorders/>
            <w:vAlign w:val="center"/>
          </w:tcPr>
          <w:p>
            <w:pPr>
              <w:pStyle w:val="TableContents"/>
              <w:bidi w:val="0"/>
              <w:spacing w:before="0" w:after="283"/>
              <w:jc w:val="left"/>
              <w:rPr/>
            </w:pPr>
            <w:r>
              <w:rPr/>
              <w:t>Parent Intervening Event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700" w:type="dxa"/>
            <w:tcBorders/>
            <w:vAlign w:val="center"/>
          </w:tcPr>
          <w:p>
            <w:pPr>
              <w:pStyle w:val="TableContents"/>
              <w:bidi w:val="0"/>
              <w:spacing w:before="0" w:after="283"/>
              <w:jc w:val="left"/>
              <w:rPr/>
            </w:pPr>
            <w:r>
              <w:rPr/>
              <w:t>Parent Legacy Transaction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5.1(c)</w:t>
            </w:r>
          </w:p>
        </w:tc>
      </w:tr>
      <w:tr>
        <w:trPr/>
        <w:tc>
          <w:tcPr>
            <w:tcW w:w="4700" w:type="dxa"/>
            <w:tcBorders/>
            <w:vAlign w:val="center"/>
          </w:tcPr>
          <w:p>
            <w:pPr>
              <w:pStyle w:val="TableContents"/>
              <w:bidi w:val="0"/>
              <w:spacing w:before="0" w:after="283"/>
              <w:jc w:val="left"/>
              <w:rPr/>
            </w:pPr>
            <w:r>
              <w:rPr/>
              <w:t>Parent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r>
        <w:trPr/>
        <w:tc>
          <w:tcPr>
            <w:tcW w:w="4700" w:type="dxa"/>
            <w:tcBorders/>
            <w:vAlign w:val="center"/>
          </w:tcPr>
          <w:p>
            <w:pPr>
              <w:pStyle w:val="TableContents"/>
              <w:bidi w:val="0"/>
              <w:spacing w:before="0" w:after="283"/>
              <w:jc w:val="left"/>
              <w:rPr/>
            </w:pPr>
            <w:r>
              <w:rPr/>
              <w:t>Parent Material Contracts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r>
        <w:trPr/>
        <w:tc>
          <w:tcPr>
            <w:tcW w:w="4700" w:type="dxa"/>
            <w:tcBorders/>
            <w:vAlign w:val="center"/>
          </w:tcPr>
          <w:p>
            <w:pPr>
              <w:pStyle w:val="TableContents"/>
              <w:bidi w:val="0"/>
              <w:spacing w:before="0" w:after="283"/>
              <w:jc w:val="left"/>
              <w:rPr/>
            </w:pPr>
            <w:r>
              <w:rPr/>
              <w:t>Parent Net Cash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2.8(a)</w:t>
            </w:r>
          </w:p>
        </w:tc>
      </w:tr>
      <w:tr>
        <w:trPr/>
        <w:tc>
          <w:tcPr>
            <w:tcW w:w="4700" w:type="dxa"/>
            <w:tcBorders/>
            <w:vAlign w:val="center"/>
          </w:tcPr>
          <w:p>
            <w:pPr>
              <w:pStyle w:val="TableContents"/>
              <w:bidi w:val="0"/>
              <w:spacing w:before="0" w:after="283"/>
              <w:jc w:val="left"/>
              <w:rPr/>
            </w:pPr>
            <w:r>
              <w:rPr/>
              <w:t>Parent Net Cash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2.8(a)</w:t>
            </w:r>
          </w:p>
        </w:tc>
      </w:tr>
      <w:tr>
        <w:trPr/>
        <w:tc>
          <w:tcPr>
            <w:tcW w:w="4700" w:type="dxa"/>
            <w:tcBorders/>
            <w:vAlign w:val="center"/>
          </w:tcPr>
          <w:p>
            <w:pPr>
              <w:pStyle w:val="TableContents"/>
              <w:bidi w:val="0"/>
              <w:spacing w:before="0" w:after="283"/>
              <w:jc w:val="left"/>
              <w:rPr/>
            </w:pPr>
            <w:r>
              <w:rPr/>
              <w:t>Parent Notice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700" w:type="dxa"/>
            <w:tcBorders/>
            <w:vAlign w:val="center"/>
          </w:tcPr>
          <w:p>
            <w:pPr>
              <w:pStyle w:val="TableContents"/>
              <w:bidi w:val="0"/>
              <w:spacing w:before="0" w:after="283"/>
              <w:jc w:val="left"/>
              <w:rPr/>
            </w:pPr>
            <w:r>
              <w:rPr/>
              <w:t>Parent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4.14(b)</w:t>
            </w:r>
          </w:p>
        </w:tc>
      </w:tr>
      <w:tr>
        <w:trPr/>
        <w:tc>
          <w:tcPr>
            <w:tcW w:w="4700" w:type="dxa"/>
            <w:tcBorders/>
            <w:vAlign w:val="center"/>
          </w:tcPr>
          <w:p>
            <w:pPr>
              <w:pStyle w:val="TableContents"/>
              <w:bidi w:val="0"/>
              <w:spacing w:before="0" w:after="283"/>
              <w:jc w:val="left"/>
              <w:rPr/>
            </w:pPr>
            <w:r>
              <w:rPr/>
              <w:t>Parent Pre-Closing Dividend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5.1(c)(ii)</w:t>
            </w:r>
          </w:p>
        </w:tc>
      </w:tr>
      <w:tr>
        <w:trPr/>
        <w:tc>
          <w:tcPr>
            <w:tcW w:w="4700" w:type="dxa"/>
            <w:tcBorders/>
            <w:vAlign w:val="center"/>
          </w:tcPr>
          <w:p>
            <w:pPr>
              <w:pStyle w:val="TableContents"/>
              <w:bidi w:val="0"/>
              <w:spacing w:before="0" w:after="283"/>
              <w:jc w:val="left"/>
              <w:rPr/>
            </w:pPr>
            <w:r>
              <w:rPr/>
              <w:t>Parent Pre-Closing Dividend Amount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5.1(c)(ii)</w:t>
            </w:r>
          </w:p>
        </w:tc>
      </w:tr>
      <w:tr>
        <w:trPr/>
        <w:tc>
          <w:tcPr>
            <w:tcW w:w="4700" w:type="dxa"/>
            <w:tcBorders/>
            <w:vAlign w:val="center"/>
          </w:tcPr>
          <w:p>
            <w:pPr>
              <w:pStyle w:val="TableContents"/>
              <w:bidi w:val="0"/>
              <w:spacing w:before="0" w:after="283"/>
              <w:jc w:val="left"/>
              <w:rPr/>
            </w:pPr>
            <w:r>
              <w:rPr/>
              <w:t>Parent Product Candidates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4.14(d)</w:t>
            </w:r>
          </w:p>
        </w:tc>
      </w:tr>
      <w:tr>
        <w:trPr/>
        <w:tc>
          <w:tcPr>
            <w:tcW w:w="4700" w:type="dxa"/>
            <w:tcBorders/>
            <w:vAlign w:val="center"/>
          </w:tcPr>
          <w:p>
            <w:pPr>
              <w:pStyle w:val="TableContents"/>
              <w:bidi w:val="0"/>
              <w:spacing w:before="0" w:after="283"/>
              <w:jc w:val="left"/>
              <w:rPr/>
            </w:pPr>
            <w:r>
              <w:rPr/>
              <w:t>Parent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4.11</w:t>
            </w:r>
          </w:p>
        </w:tc>
      </w:tr>
      <w:tr>
        <w:trPr/>
        <w:tc>
          <w:tcPr>
            <w:tcW w:w="4700" w:type="dxa"/>
            <w:tcBorders/>
            <w:vAlign w:val="center"/>
          </w:tcPr>
          <w:p>
            <w:pPr>
              <w:pStyle w:val="TableContents"/>
              <w:bidi w:val="0"/>
              <w:spacing w:before="0" w:after="283"/>
              <w:jc w:val="left"/>
              <w:rPr/>
            </w:pPr>
            <w:r>
              <w:rPr/>
              <w:t>Parent Regulatory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4.14(d)</w:t>
            </w:r>
          </w:p>
        </w:tc>
      </w:tr>
      <w:tr>
        <w:trPr/>
        <w:tc>
          <w:tcPr>
            <w:tcW w:w="4700" w:type="dxa"/>
            <w:tcBorders/>
            <w:vAlign w:val="center"/>
          </w:tcPr>
          <w:p>
            <w:pPr>
              <w:pStyle w:val="TableContents"/>
              <w:bidi w:val="0"/>
              <w:spacing w:before="0" w:after="283"/>
              <w:jc w:val="left"/>
              <w:rPr/>
            </w:pPr>
            <w:r>
              <w:rPr/>
              <w:t>Parent SEC Documents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4700" w:type="dxa"/>
            <w:tcBorders/>
            <w:vAlign w:val="center"/>
          </w:tcPr>
          <w:p>
            <w:pPr>
              <w:pStyle w:val="TableContents"/>
              <w:bidi w:val="0"/>
              <w:spacing w:before="0" w:after="283"/>
              <w:jc w:val="left"/>
              <w:rPr/>
            </w:pPr>
            <w:r>
              <w:rPr/>
              <w:t>Parent Stock Plans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4.6(c)</w:t>
            </w:r>
          </w:p>
        </w:tc>
      </w:tr>
      <w:tr>
        <w:trPr/>
        <w:tc>
          <w:tcPr>
            <w:tcW w:w="4700" w:type="dxa"/>
            <w:tcBorders/>
            <w:vAlign w:val="center"/>
          </w:tcPr>
          <w:p>
            <w:pPr>
              <w:pStyle w:val="TableContents"/>
              <w:bidi w:val="0"/>
              <w:spacing w:before="0" w:after="283"/>
              <w:jc w:val="left"/>
              <w:rPr/>
            </w:pPr>
            <w:r>
              <w:rPr/>
              <w:t>Parent Stockholder Matters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6.3(a)</w:t>
            </w:r>
          </w:p>
        </w:tc>
      </w:tr>
      <w:tr>
        <w:trPr/>
        <w:tc>
          <w:tcPr>
            <w:tcW w:w="4700" w:type="dxa"/>
            <w:tcBorders/>
            <w:vAlign w:val="center"/>
          </w:tcPr>
          <w:p>
            <w:pPr>
              <w:pStyle w:val="TableContents"/>
              <w:bidi w:val="0"/>
              <w:spacing w:before="0" w:after="283"/>
              <w:jc w:val="left"/>
              <w:rPr/>
            </w:pPr>
            <w:r>
              <w:rPr/>
              <w:t>Parent Stockholder Meeting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6.3(a)</w:t>
            </w:r>
          </w:p>
        </w:tc>
      </w:tr>
      <w:tr>
        <w:trPr/>
        <w:tc>
          <w:tcPr>
            <w:tcW w:w="4700" w:type="dxa"/>
            <w:tcBorders/>
            <w:vAlign w:val="center"/>
          </w:tcPr>
          <w:p>
            <w:pPr>
              <w:pStyle w:val="TableContents"/>
              <w:bidi w:val="0"/>
              <w:spacing w:before="0" w:after="283"/>
              <w:jc w:val="left"/>
              <w:rPr/>
            </w:pPr>
            <w:r>
              <w:rPr/>
              <w:t>Parent Stockholder Support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700" w:type="dxa"/>
            <w:tcBorders/>
            <w:vAlign w:val="center"/>
          </w:tcPr>
          <w:p>
            <w:pPr>
              <w:pStyle w:val="TableContents"/>
              <w:bidi w:val="0"/>
              <w:spacing w:before="0" w:after="283"/>
              <w:jc w:val="left"/>
              <w:rPr/>
            </w:pPr>
            <w:r>
              <w:rPr/>
              <w:t>Parent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700" w:type="dxa"/>
            <w:tcBorders/>
            <w:vAlign w:val="center"/>
          </w:tcPr>
          <w:p>
            <w:pPr>
              <w:pStyle w:val="TableContents"/>
              <w:bidi w:val="0"/>
              <w:spacing w:before="0" w:after="283"/>
              <w:jc w:val="left"/>
              <w:rPr/>
            </w:pPr>
            <w:r>
              <w:rPr/>
              <w:t>Parent Termination Fee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10.3(c)</w:t>
            </w:r>
          </w:p>
        </w:tc>
      </w:tr>
      <w:tr>
        <w:trPr/>
        <w:tc>
          <w:tcPr>
            <w:tcW w:w="4700" w:type="dxa"/>
            <w:tcBorders/>
            <w:vAlign w:val="center"/>
          </w:tcPr>
          <w:p>
            <w:pPr>
              <w:pStyle w:val="TableContents"/>
              <w:bidi w:val="0"/>
              <w:spacing w:before="0" w:after="283"/>
              <w:jc w:val="left"/>
              <w:rPr/>
            </w:pPr>
            <w:r>
              <w:rPr/>
              <w:t>PHSA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3.14(c)</w:t>
            </w:r>
          </w:p>
        </w:tc>
      </w:tr>
      <w:tr>
        <w:trPr/>
        <w:tc>
          <w:tcPr>
            <w:tcW w:w="4700" w:type="dxa"/>
            <w:tcBorders/>
            <w:vAlign w:val="center"/>
          </w:tcPr>
          <w:p>
            <w:pPr>
              <w:pStyle w:val="TableContents"/>
              <w:bidi w:val="0"/>
              <w:spacing w:before="0" w:after="283"/>
              <w:jc w:val="left"/>
              <w:rPr/>
            </w:pPr>
            <w:r>
              <w:rPr/>
              <w:t>Post-Closing Welfare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6.6(b)</w:t>
            </w:r>
          </w:p>
        </w:tc>
      </w:tr>
      <w:tr>
        <w:trPr/>
        <w:tc>
          <w:tcPr>
            <w:tcW w:w="4700" w:type="dxa"/>
            <w:tcBorders/>
            <w:vAlign w:val="center"/>
          </w:tcPr>
          <w:p>
            <w:pPr>
              <w:pStyle w:val="TableContents"/>
              <w:bidi w:val="0"/>
              <w:spacing w:before="0" w:after="283"/>
              <w:jc w:val="left"/>
              <w:rPr/>
            </w:pPr>
            <w:r>
              <w:rPr/>
              <w:t>Post-Closing Welfare Plan Continuation Expense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6.6(b)</w:t>
            </w:r>
          </w:p>
        </w:tc>
      </w:tr>
      <w:tr>
        <w:trPr/>
        <w:tc>
          <w:tcPr>
            <w:tcW w:w="4700" w:type="dxa"/>
            <w:tcBorders/>
            <w:vAlign w:val="center"/>
          </w:tcPr>
          <w:p>
            <w:pPr>
              <w:pStyle w:val="TableContents"/>
              <w:bidi w:val="0"/>
              <w:spacing w:before="0" w:after="283"/>
              <w:jc w:val="left"/>
              <w:rPr/>
            </w:pPr>
            <w:r>
              <w:rPr/>
              <w:t>Pre-Closing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5.1(a)</w:t>
            </w:r>
          </w:p>
        </w:tc>
      </w:tr>
      <w:tr>
        <w:trPr/>
        <w:tc>
          <w:tcPr>
            <w:tcW w:w="4700" w:type="dxa"/>
            <w:tcBorders/>
            <w:vAlign w:val="center"/>
          </w:tcPr>
          <w:p>
            <w:pPr>
              <w:pStyle w:val="TableContents"/>
              <w:bidi w:val="0"/>
              <w:spacing w:before="0" w:after="283"/>
              <w:jc w:val="left"/>
              <w:rPr/>
            </w:pPr>
            <w:r>
              <w:rPr/>
              <w:t>Proxy Statement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4700" w:type="dxa"/>
            <w:tcBorders/>
            <w:vAlign w:val="center"/>
          </w:tcPr>
          <w:p>
            <w:pPr>
              <w:pStyle w:val="TableContents"/>
              <w:bidi w:val="0"/>
              <w:spacing w:before="0" w:after="283"/>
              <w:jc w:val="left"/>
              <w:rPr/>
            </w:pPr>
            <w:r>
              <w:rPr/>
              <w:t>Registration Statement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4700" w:type="dxa"/>
            <w:tcBorders/>
            <w:vAlign w:val="center"/>
          </w:tcPr>
          <w:p>
            <w:pPr>
              <w:pStyle w:val="TableContents"/>
              <w:bidi w:val="0"/>
              <w:spacing w:before="0" w:after="283"/>
              <w:jc w:val="left"/>
              <w:rPr/>
            </w:pPr>
            <w:r>
              <w:rPr/>
              <w:t>Required Company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3.4</w:t>
            </w:r>
          </w:p>
        </w:tc>
      </w:tr>
      <w:tr>
        <w:trPr/>
        <w:tc>
          <w:tcPr>
            <w:tcW w:w="4700" w:type="dxa"/>
            <w:tcBorders/>
            <w:vAlign w:val="center"/>
          </w:tcPr>
          <w:p>
            <w:pPr>
              <w:pStyle w:val="TableContents"/>
              <w:bidi w:val="0"/>
              <w:spacing w:before="0" w:after="283"/>
              <w:jc w:val="left"/>
              <w:rPr/>
            </w:pPr>
            <w:r>
              <w:rPr/>
              <w:t>Required Parent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4.4</w:t>
            </w:r>
          </w:p>
        </w:tc>
      </w:tr>
      <w:tr>
        <w:trPr/>
        <w:tc>
          <w:tcPr>
            <w:tcW w:w="4700" w:type="dxa"/>
            <w:tcBorders/>
            <w:vAlign w:val="center"/>
          </w:tcPr>
          <w:p>
            <w:pPr>
              <w:pStyle w:val="TableContents"/>
              <w:bidi w:val="0"/>
              <w:spacing w:before="0" w:after="283"/>
              <w:jc w:val="left"/>
              <w:rPr/>
            </w:pPr>
            <w:r>
              <w:rPr/>
              <w:t>Response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700" w:type="dxa"/>
            <w:tcBorders/>
            <w:vAlign w:val="center"/>
          </w:tcPr>
          <w:p>
            <w:pPr>
              <w:pStyle w:val="TableContents"/>
              <w:bidi w:val="0"/>
              <w:spacing w:before="0" w:after="283"/>
              <w:jc w:val="left"/>
              <w:rPr/>
            </w:pPr>
            <w:r>
              <w:rPr/>
              <w:t>SEC Documents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6.16</w:t>
            </w:r>
          </w:p>
        </w:tc>
      </w:tr>
      <w:tr>
        <w:trPr/>
        <w:tc>
          <w:tcPr>
            <w:tcW w:w="4700" w:type="dxa"/>
            <w:tcBorders/>
            <w:vAlign w:val="center"/>
          </w:tcPr>
          <w:p>
            <w:pPr>
              <w:pStyle w:val="TableContents"/>
              <w:bidi w:val="0"/>
              <w:spacing w:before="0" w:after="283"/>
              <w:jc w:val="left"/>
              <w:rPr/>
            </w:pPr>
            <w:r>
              <w:rPr/>
              <w:t>Series A Financing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700" w:type="dxa"/>
            <w:tcBorders/>
            <w:vAlign w:val="center"/>
          </w:tcPr>
          <w:p>
            <w:pPr>
              <w:pStyle w:val="TableContents"/>
              <w:bidi w:val="0"/>
              <w:spacing w:before="0" w:after="283"/>
              <w:jc w:val="left"/>
              <w:rPr/>
            </w:pPr>
            <w:r>
              <w:rPr/>
              <w:t>Series A Financing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700" w:type="dxa"/>
            <w:tcBorders/>
            <w:vAlign w:val="center"/>
          </w:tcPr>
          <w:p>
            <w:pPr>
              <w:pStyle w:val="TableContents"/>
              <w:bidi w:val="0"/>
              <w:spacing w:before="0" w:after="283"/>
              <w:jc w:val="left"/>
              <w:rPr/>
            </w:pPr>
            <w:r>
              <w:rPr/>
              <w:t>Stockholder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6.2(b)</w:t>
            </w:r>
          </w:p>
        </w:tc>
      </w:tr>
      <w:tr>
        <w:trPr/>
        <w:tc>
          <w:tcPr>
            <w:tcW w:w="4700" w:type="dxa"/>
            <w:tcBorders/>
            <w:vAlign w:val="center"/>
          </w:tcPr>
          <w:p>
            <w:pPr>
              <w:pStyle w:val="TableContents"/>
              <w:bidi w:val="0"/>
              <w:spacing w:before="0" w:after="283"/>
              <w:jc w:val="left"/>
              <w:rPr/>
            </w:pPr>
            <w:r>
              <w:rPr/>
              <w:t>Subscription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700" w:type="dxa"/>
            <w:tcBorders/>
            <w:vAlign w:val="center"/>
          </w:tcPr>
          <w:p>
            <w:pPr>
              <w:pStyle w:val="TableContents"/>
              <w:bidi w:val="0"/>
              <w:spacing w:before="0" w:after="283"/>
              <w:jc w:val="left"/>
              <w:rPr/>
            </w:pPr>
            <w:r>
              <w:rPr/>
              <w:t>Surviving Corporation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2</w:t>
            </w:r>
          </w:p>
        </w:tc>
      </w:tr>
      <w:tr>
        <w:trPr/>
        <w:tc>
          <w:tcPr>
            <w:tcW w:w="4700" w:type="dxa"/>
            <w:tcBorders/>
            <w:vAlign w:val="center"/>
          </w:tcPr>
          <w:p>
            <w:pPr>
              <w:pStyle w:val="TableContents"/>
              <w:bidi w:val="0"/>
              <w:spacing w:before="0" w:after="283"/>
              <w:jc w:val="left"/>
              <w:rPr/>
            </w:pPr>
            <w:r>
              <w:rPr/>
              <w:t>Tax Certificates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6.10(c)</w:t>
            </w:r>
          </w:p>
        </w:tc>
      </w:tr>
      <w:tr>
        <w:trPr/>
        <w:tc>
          <w:tcPr>
            <w:tcW w:w="4700" w:type="dxa"/>
            <w:tcBorders/>
            <w:vAlign w:val="center"/>
          </w:tcPr>
          <w:p>
            <w:pPr>
              <w:pStyle w:val="TableContents"/>
              <w:bidi w:val="0"/>
              <w:spacing w:before="0" w:after="283"/>
              <w:jc w:val="left"/>
              <w:rPr/>
            </w:pPr>
            <w:r>
              <w:rPr/>
              <w:t>Transaction Litigation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6.4(c)</w:t>
            </w:r>
          </w:p>
        </w:tc>
      </w:tr>
      <w:tr>
        <w:trPr/>
        <w:tc>
          <w:tcPr>
            <w:tcW w:w="4700" w:type="dxa"/>
            <w:tcBorders/>
            <w:vAlign w:val="center"/>
          </w:tcPr>
          <w:p>
            <w:pPr>
              <w:pStyle w:val="TableContents"/>
              <w:bidi w:val="0"/>
              <w:spacing w:before="0" w:after="283"/>
              <w:jc w:val="left"/>
              <w:rPr/>
            </w:pPr>
            <w:r>
              <w:rPr/>
              <w:t>WARN 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3.17(k)</w:t>
            </w:r>
          </w:p>
        </w:tc>
      </w:tr>
    </w:tbl>
    <w:p>
      <w:pPr>
        <w:pStyle w:val="TextBody"/>
        <w:bidi w:val="0"/>
        <w:spacing w:before="240" w:after="0"/>
        <w:jc w:val="left"/>
        <w:rPr>
          <w:rFonts w:ascii="Times New Roman" w:hAnsi="Times New Roman"/>
          <w:sz w:val="20"/>
        </w:rPr>
      </w:pPr>
      <w:bookmarkStart w:id="95" w:name="annextoc108148_3"/>
      <w:bookmarkEnd w:id="95"/>
      <w:r>
        <w:rPr>
          <w:rFonts w:ascii="Times New Roman" w:hAnsi="Times New Roman"/>
          <w:sz w:val="20"/>
        </w:rPr>
        <w:t xml:space="preserve">Section 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 (including Exhibit A to such Exhibit) is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Letter or the Parent Disclosure Letter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The inclusion of any information in the Company Disclosure Letter or the Parent Disclosure Letter (or any update thereto) shall not be deemed to be an admission or acknowledgement, in and of itself, that such information is required by the terms hereof to be disclosed, is material, has resulted in or would result in a Company Material Adverse Effect or Parent Material Adverse Effect, as the case may be, or is outside the Ordinary Course of Business. </w:t>
      </w:r>
    </w:p>
    <w:p>
      <w:pPr>
        <w:pStyle w:val="TextBody"/>
        <w:bidi w:val="0"/>
        <w:spacing w:before="480" w:after="0"/>
        <w:jc w:val="center"/>
        <w:rPr>
          <w:rFonts w:ascii="Times New Roman" w:hAnsi="Times New Roman"/>
          <w:sz w:val="20"/>
        </w:rPr>
      </w:pPr>
      <w:bookmarkStart w:id="96" w:name="annextoc108148_4"/>
      <w:bookmarkEnd w:id="96"/>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DESCRIPTION OF TRANSACTION </w:t>
      </w:r>
    </w:p>
    <w:p>
      <w:pPr>
        <w:pStyle w:val="TextBody"/>
        <w:bidi w:val="0"/>
        <w:spacing w:before="240" w:after="0"/>
        <w:jc w:val="left"/>
        <w:rPr>
          <w:rFonts w:ascii="Times New Roman" w:hAnsi="Times New Roman"/>
          <w:sz w:val="20"/>
        </w:rPr>
      </w:pPr>
      <w:bookmarkStart w:id="97" w:name="annextoc108148_5"/>
      <w:bookmarkEnd w:id="97"/>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8" w:name="annextoc108148_6"/>
      <w:bookmarkEnd w:id="98"/>
      <w:r>
        <w:rPr>
          <w:rFonts w:ascii="Times New Roman" w:hAnsi="Times New Roman"/>
          <w:sz w:val="20"/>
        </w:rPr>
        <w:t xml:space="preserve">Section 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As a result of the Merger, the Company will become a wholly owned subsidiary of Parent. </w:t>
      </w:r>
    </w:p>
    <w:p>
      <w:pPr>
        <w:pStyle w:val="TextBody"/>
        <w:bidi w:val="0"/>
        <w:spacing w:before="240" w:after="0"/>
        <w:jc w:val="left"/>
        <w:rPr>
          <w:rFonts w:ascii="Times New Roman" w:hAnsi="Times New Roman"/>
          <w:sz w:val="20"/>
        </w:rPr>
      </w:pPr>
      <w:bookmarkStart w:id="99" w:name="annextoc108148_7"/>
      <w:bookmarkEnd w:id="99"/>
      <w:r>
        <w:rPr>
          <w:rFonts w:ascii="Times New Roman" w:hAnsi="Times New Roman"/>
          <w:sz w:val="20"/>
        </w:rPr>
        <w:t xml:space="preserve">Section 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At the Closing, (i) the Parties shall cause the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hAnsi="Times New Roman"/>
          <w:sz w:val="20"/>
          <w:u w:val="single"/>
        </w:rPr>
        <w:t>Exhibit D</w:t>
      </w:r>
      <w:r>
        <w:rPr>
          <w:rFonts w:ascii="Times New Roman" w:hAnsi="Times New Roman"/>
          <w:sz w:val="20"/>
        </w:rPr>
        <w:t xml:space="preserve"> and incorporated herein by reference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0" w:name="annextoc108148_8"/>
      <w:bookmarkEnd w:id="100"/>
      <w:r>
        <w:rPr>
          <w:rFonts w:ascii="Times New Roman" w:hAnsi="Times New Roman"/>
          <w:sz w:val="20"/>
        </w:rPr>
        <w:t xml:space="preserve">Section 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Surviving Corporation shall be amended and restated in the Merger to read as set forth on Exhibit A to the Certificate of Merger, until thereafter amended as provided by the DGCL and such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bylaws of the Surviving Corporation shall be identical to the bylaws of the Company as in effect immediately prior to the Effective Time, until thereafter amended as provided by the DGCL and such bylaws;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directors and officers of the Surviving Corporation, each to hold office in accordance with the certificate of incorporation and bylaws of the Surviving Corporation, shall be such persons as are designated by the Company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(iv) 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at the Effective Time, Parent shall file an amendment to its certificate of incorporation to (i) change the name of Parent to a name designated by the Company at least five days prior to the Effective Time, (ii) effect the Nasdaq Reverse Split (to the extent applicable and necessary), (iii) increase the number of shares of Parent Capital Stock that Parent is authorized to issue to a number determined by the Company, such amount to be sufficient to allow for consummation of the Contemplated Transactions, and (iv) make such other changes as are mutually agreeable to Parent and the Company (such amendment, the “</w:t>
      </w:r>
      <w:r>
        <w:rPr>
          <w:rFonts w:ascii="Times New Roman" w:hAnsi="Times New Roman"/>
          <w:b/>
          <w:sz w:val="20"/>
        </w:rPr>
        <w:t>Parent Charter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directors and officers of Parent, each to hold office in accordance with the certificate of incorporation and bylaws of Parent, shall be as set forth in </w:t>
      </w:r>
      <w:r>
        <w:rPr>
          <w:rFonts w:ascii="Times New Roman" w:hAnsi="Times New Roman"/>
          <w:sz w:val="20"/>
          <w:u w:val="single"/>
        </w:rPr>
        <w:t>Section 6.12</w:t>
      </w:r>
      <w:r>
        <w:rPr>
          <w:rFonts w:ascii="Times New Roman" w:hAnsi="Times New Roman"/>
          <w:sz w:val="20"/>
        </w:rPr>
        <w:t xml:space="preserve">; and </w:t>
      </w:r>
    </w:p>
    <w:p>
      <w:pPr>
        <w:pStyle w:val="TextBody"/>
        <w:bidi w:val="0"/>
        <w:spacing w:before="240" w:after="0"/>
        <w:jc w:val="left"/>
        <w:rPr>
          <w:rFonts w:ascii="Times New Roman" w:hAnsi="Times New Roman"/>
          <w:sz w:val="20"/>
        </w:rPr>
      </w:pPr>
      <w:bookmarkStart w:id="101" w:name="annextoc108148_9"/>
      <w:bookmarkEnd w:id="101"/>
      <w:r>
        <w:rPr>
          <w:rFonts w:ascii="Times New Roman" w:hAnsi="Times New Roman"/>
          <w:sz w:val="20"/>
        </w:rPr>
        <w:t xml:space="preserve">Section 2.5 </w:t>
      </w:r>
      <w:r>
        <w:rPr>
          <w:rFonts w:ascii="Times New Roman" w:hAnsi="Times New Roman"/>
          <w:sz w:val="20"/>
          <w:u w:val="single"/>
        </w:rPr>
        <w:t>Conversion of Company, Merger Sub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further action on the part of Parent, Merger Sub, the Company or any stockholder of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the Company Pre-Closing Financing or the Series A Financing) outstanding immediately prior to the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shall be converted solely into the right to receive a number of shares of Parent Common Stock equal to the Exchange Ratio (collectively,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All Company Warrants outstanding immediately prior to the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240" w:after="0"/>
        <w:jc w:val="left"/>
        <w:rPr>
          <w:rFonts w:ascii="Times New Roman" w:hAnsi="Times New Roman"/>
          <w:sz w:val="20"/>
        </w:rPr>
      </w:pPr>
      <w:bookmarkStart w:id="102" w:name="annextoc108148_10"/>
      <w:bookmarkEnd w:id="102"/>
      <w:r>
        <w:rPr>
          <w:rFonts w:ascii="Times New Roman" w:hAnsi="Times New Roman"/>
          <w:sz w:val="20"/>
        </w:rPr>
        <w:t xml:space="preserve">Section 2.6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3" w:name="annextoc108148_11"/>
      <w:bookmarkEnd w:id="103"/>
      <w:r>
        <w:rPr>
          <w:rFonts w:ascii="Times New Roman" w:hAnsi="Times New Roman"/>
          <w:sz w:val="20"/>
        </w:rPr>
        <w:t xml:space="preserve">Section 2.7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Parent shall deposit with the Exchange Agent evidence of book-entry shares representing the shares of Parent Capital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hAnsi="Times New Roman"/>
          <w:b/>
          <w:sz w:val="20"/>
        </w:rPr>
        <w:t>Company Stock Certificates</w:t>
      </w:r>
      <w:r>
        <w:rPr>
          <w:rFonts w:ascii="Times New Roman" w:hAnsi="Times New Roman"/>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2.7(b)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Capital Stock with a record date after the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2.7</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hAnsi="Times New Roman"/>
          <w:sz w:val="20"/>
          <w:u w:val="single"/>
        </w:rPr>
        <w:t>Section 2.7</w:t>
      </w:r>
      <w:r>
        <w:rPr>
          <w:rFonts w:ascii="Times New Roman" w:hAnsi="Times New Roman"/>
          <w:sz w:val="20"/>
        </w:rPr>
        <w:t xml:space="preserve"> shall thereafter look only to Parent for satisfaction of their claims for Parent Capital Stock and any dividends or distributions with respect to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4" w:name="annextoc108148_12"/>
      <w:bookmarkEnd w:id="104"/>
      <w:r>
        <w:rPr>
          <w:rFonts w:ascii="Times New Roman" w:hAnsi="Times New Roman"/>
          <w:sz w:val="20"/>
        </w:rPr>
        <w:t xml:space="preserve">Section 2.8 </w:t>
      </w:r>
      <w:r>
        <w:rPr>
          <w:rFonts w:ascii="Times New Roman" w:hAnsi="Times New Roman"/>
          <w:sz w:val="20"/>
          <w:u w:val="single"/>
        </w:rPr>
        <w:t>Calculation of Net Cash and Company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seven Business Days prior to the earlier of (i) the anticipated date for the Parent Stockholder Meeting or (ii) the intended declaration of the Parent Pre-Closing Dividend, in each case as mutually agreed in good faith by Parent and the Company (the “</w:t>
      </w:r>
      <w:r>
        <w:rPr>
          <w:rFonts w:ascii="Times New Roman" w:hAnsi="Times New Roman"/>
          <w:b/>
          <w:sz w:val="20"/>
        </w:rPr>
        <w:t>Calculation Date</w:t>
      </w:r>
      <w:r>
        <w:rPr>
          <w:rFonts w:ascii="Times New Roman" w:hAnsi="Times New Roman"/>
          <w:sz w:val="20"/>
        </w:rPr>
        <w:t>”), Parent will deliver to the Company a schedule (the “</w:t>
      </w:r>
      <w:r>
        <w:rPr>
          <w:rFonts w:ascii="Times New Roman" w:hAnsi="Times New Roman"/>
          <w:b/>
          <w:sz w:val="20"/>
        </w:rPr>
        <w:t>Parent Net Cash Schedule</w:t>
      </w:r>
      <w:r>
        <w:rPr>
          <w:rFonts w:ascii="Times New Roman" w:hAnsi="Times New Roman"/>
          <w:sz w:val="20"/>
        </w:rPr>
        <w:t>”) setting forth, in reasonable detail, Parent’s good faith, estimated calculation of the components of Parent Net Cash (the “</w:t>
      </w:r>
      <w:r>
        <w:rPr>
          <w:rFonts w:ascii="Times New Roman" w:hAnsi="Times New Roman"/>
          <w:b/>
          <w:sz w:val="20"/>
        </w:rPr>
        <w:t>Parent Net Cash Calculation</w:t>
      </w:r>
      <w:r>
        <w:rPr>
          <w:rFonts w:ascii="Times New Roman" w:hAnsi="Times New Roman"/>
          <w:sz w:val="20"/>
        </w:rPr>
        <w:t>,” and the date of delivery of such schedule being the “</w:t>
      </w:r>
      <w:r>
        <w:rPr>
          <w:rFonts w:ascii="Times New Roman" w:hAnsi="Times New Roman"/>
          <w:b/>
          <w:sz w:val="20"/>
        </w:rPr>
        <w:t>Parent Net Cash Schedule</w:t>
      </w:r>
      <w:r>
        <w:rPr>
          <w:rFonts w:ascii="Times New Roman" w:hAnsi="Times New Roman"/>
          <w:sz w:val="20"/>
        </w:rPr>
        <w:t> </w:t>
      </w:r>
      <w:r>
        <w:rPr>
          <w:rFonts w:ascii="Times New Roman" w:hAnsi="Times New Roman"/>
          <w:b/>
          <w:sz w:val="20"/>
        </w:rPr>
        <w:t>Delivery Date</w:t>
      </w:r>
      <w:r>
        <w:rPr>
          <w:rFonts w:ascii="Times New Roman" w:hAnsi="Times New Roman"/>
          <w:sz w:val="20"/>
        </w:rPr>
        <w:t>”) as of 11:59 p.m. on the Business Day prior to the Anticipated Closing Date (the “</w:t>
      </w:r>
      <w:r>
        <w:rPr>
          <w:rFonts w:ascii="Times New Roman" w:hAnsi="Times New Roman"/>
          <w:b/>
          <w:sz w:val="20"/>
        </w:rPr>
        <w:t>Cash Determination Time</w:t>
      </w:r>
      <w:r>
        <w:rPr>
          <w:rFonts w:ascii="Times New Roman" w:hAnsi="Times New Roman"/>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at reasonable times during Parent’s normal business hours and upon reasonably advanced written notice. The Parent Net Cash Calculation shall include Parent’s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w:t>
      </w:r>
      <w:r>
        <w:rPr>
          <w:rFonts w:ascii="Times New Roman" w:hAnsi="Times New Roman"/>
          <w:sz w:val="20"/>
          <w:u w:val="single"/>
        </w:rPr>
        <w:t>provided</w:t>
      </w:r>
      <w:r>
        <w:rPr>
          <w:rFonts w:ascii="Times New Roman" w:hAnsi="Times New Roman"/>
          <w:sz w:val="20"/>
        </w:rPr>
        <w:t xml:space="preserve"> that this shall in no way limit or otherwise affect the Company’s remedies under this Agreement or otherwise, or constitute an acknowledgement by the Company of the accuracy of the amounts reflected therein. Notwithstanding anything else in this Agreement, either Parent or the Company may require Parent to deliver a new Parent Net Cash Schedule if the Closing Date is more than 30 days after the Calculation Date, which date of delivery shall be deemed the “Calculation Date” hereunder. </w:t>
      </w:r>
    </w:p>
    <w:p>
      <w:pPr>
        <w:pStyle w:val="TextBody"/>
        <w:bidi w:val="0"/>
        <w:spacing w:before="240" w:after="0"/>
        <w:jc w:val="left"/>
        <w:rPr>
          <w:rFonts w:ascii="Times New Roman" w:hAnsi="Times New Roman"/>
          <w:sz w:val="20"/>
        </w:rPr>
      </w:pPr>
      <w:r>
        <w:rPr>
          <w:rFonts w:ascii="Times New Roman" w:hAnsi="Times New Roman"/>
          <w:sz w:val="20"/>
        </w:rPr>
        <w:t>(b) No later than five Business Days before the Closing, the Company will deliver to Parent a schedule (the “</w:t>
      </w:r>
      <w:r>
        <w:rPr>
          <w:rFonts w:ascii="Times New Roman" w:hAnsi="Times New Roman"/>
          <w:b/>
          <w:sz w:val="20"/>
        </w:rPr>
        <w:t>Company Valuation Schedule</w:t>
      </w:r>
      <w:r>
        <w:rPr>
          <w:rFonts w:ascii="Times New Roman" w:hAnsi="Times New Roman"/>
          <w:sz w:val="20"/>
        </w:rPr>
        <w:t>”) setting forth, in reasonable detail, the Company’s good faith, estimated calculation of the Company Valuation, the Company Pre-Closing Financing Proceeds and the Company Outstanding Shares (the “</w:t>
      </w:r>
      <w:r>
        <w:rPr>
          <w:rFonts w:ascii="Times New Roman" w:hAnsi="Times New Roman"/>
          <w:b/>
          <w:sz w:val="20"/>
        </w:rPr>
        <w:t>Company Valuation Calculation</w:t>
      </w:r>
      <w:r>
        <w:rPr>
          <w:rFonts w:ascii="Times New Roman" w:hAnsi="Times New Roman"/>
          <w:sz w:val="20"/>
        </w:rPr>
        <w:t>,” and the date of delivery of such schedule being the “</w:t>
      </w:r>
      <w:r>
        <w:rPr>
          <w:rFonts w:ascii="Times New Roman" w:hAnsi="Times New Roman"/>
          <w:b/>
          <w:sz w:val="20"/>
        </w:rPr>
        <w:t>Company Valuation Delivery Date</w:t>
      </w:r>
      <w:r>
        <w:rPr>
          <w:rFonts w:ascii="Times New Roman" w:hAnsi="Times New Roman"/>
          <w:sz w:val="20"/>
        </w:rPr>
        <w:t>”) as of 11:59 p.m. on the last Business Day prior to the Anticipated Closing Date (the “</w:t>
      </w:r>
      <w:r>
        <w:rPr>
          <w:rFonts w:ascii="Times New Roman" w:hAnsi="Times New Roman"/>
          <w:b/>
          <w:sz w:val="20"/>
        </w:rPr>
        <w:t>Company Valuation Determination Time</w:t>
      </w:r>
      <w:r>
        <w:rPr>
          <w:rFonts w:ascii="Times New Roman" w:hAnsi="Times New Roman"/>
          <w:sz w:val="20"/>
        </w:rPr>
        <w:t xml:space="preserve">”), in the form set forth on Schedule 2.8(b) to the Company Disclosure Letter.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at reasonable times during the Company’s normal business hours and upon reasonably advanced written notice. During the period beginning on the Company Valuation Delivery Date and ending on the Company Valuation Response Date, Parent shall have an opportunity to review the Company Valuation Schedule and the Company shall reasonably cooperate with Parent in good faith to respond to any questions regarding the Company Valuation Schedule raised by Parent; </w:t>
      </w:r>
      <w:r>
        <w:rPr>
          <w:rFonts w:ascii="Times New Roman" w:hAnsi="Times New Roman"/>
          <w:sz w:val="20"/>
          <w:u w:val="single"/>
        </w:rPr>
        <w:t>provided</w:t>
      </w:r>
      <w:r>
        <w:rPr>
          <w:rFonts w:ascii="Times New Roman" w:hAnsi="Times New Roman"/>
          <w:sz w:val="20"/>
        </w:rPr>
        <w:t xml:space="preserve"> that this shall in no way limit or otherwise affect Parent’s remedies under this Agreement or otherwise, or constitute an acknowledgement by Parent of the accuracy of the amounts reflected therein. </w:t>
      </w:r>
    </w:p>
    <w:p>
      <w:pPr>
        <w:pStyle w:val="TextBody"/>
        <w:bidi w:val="0"/>
        <w:spacing w:before="240" w:after="0"/>
        <w:jc w:val="left"/>
        <w:rPr>
          <w:rFonts w:ascii="Times New Roman" w:hAnsi="Times New Roman"/>
          <w:sz w:val="20"/>
        </w:rPr>
      </w:pPr>
      <w:r>
        <w:rPr>
          <w:rFonts w:ascii="Times New Roman" w:hAnsi="Times New Roman"/>
          <w:sz w:val="20"/>
        </w:rPr>
        <w:t>(c) No later than three Business Days after the Parent Net Cash Schedule Delivery Date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Any Dispute Notice shall identify in reasonable detail and to the extent known the nature and amounts of any proposed revisions to the Parent Net Cash Calculation and will be accompanied by reasonably detailed materials supporting the basis for such revisions. No later than three Business Days after the Company Valuation Delivery Date (the last day of such period, the “</w:t>
      </w:r>
      <w:r>
        <w:rPr>
          <w:rFonts w:ascii="Times New Roman" w:hAnsi="Times New Roman"/>
          <w:b/>
          <w:sz w:val="20"/>
        </w:rPr>
        <w:t>Company Valuation Response Date</w:t>
      </w:r>
      <w:r>
        <w:rPr>
          <w:rFonts w:ascii="Times New Roman" w:hAnsi="Times New Roman"/>
          <w:sz w:val="20"/>
        </w:rPr>
        <w:t>”), Parent shall have the right to dispute any part of the Company Valuation Calculation by delivering a written notice to that effect to the Company (a “</w:t>
      </w:r>
      <w:r>
        <w:rPr>
          <w:rFonts w:ascii="Times New Roman" w:hAnsi="Times New Roman"/>
          <w:b/>
          <w:sz w:val="20"/>
        </w:rPr>
        <w:t>Company Valuation Dispute Notice</w:t>
      </w:r>
      <w:r>
        <w:rPr>
          <w:rFonts w:ascii="Times New Roman" w:hAnsi="Times New Roman"/>
          <w:sz w:val="20"/>
        </w:rPr>
        <w:t xml:space="preserve">”) and any Company Valuation Dispute Notice shall identify in reasonable detail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known the nature and amounts of any proposed revisions to the Company Valuation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(d)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2.8(c)</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hAnsi="Times New Roman"/>
          <w:sz w:val="20"/>
          <w:u w:val="single"/>
        </w:rPr>
        <w:t>Section 2.8(c)</w:t>
      </w:r>
      <w:r>
        <w:rPr>
          <w:rFonts w:ascii="Times New Roman" w:hAnsi="Times New Roman"/>
          <w:sz w:val="20"/>
        </w:rPr>
        <w:t xml:space="preserve">, then the Company Valuation Calculation as set forth in the Company Valuation Schedule shall be deemed to have been finally determined for purposes of this Agreement and to represent the Company Valuation at the Company Valuation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delivers a Dispute Notice on or prior to the Response Date, then Representatives of Parent and the Company shall promptly meet and attempt in good faith to resolve the disputed item(s) and negotiate an agreed-upon determination of Parent Net Cash, which agreed upon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Company Valuation Calculation, which agreed upon Company Valuation Calculation shall be deemed to have been finally determined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Representatives of Parent and the Company are unable to negotiate an agreed-upon determination of Parent Net Cash as of the Cash Determination Time or the Company Valuation Calculation as of the Company Valuation Determination Time, in each case pursuant to </w:t>
      </w:r>
      <w:r>
        <w:rPr>
          <w:rFonts w:ascii="Times New Roman" w:hAnsi="Times New Roman"/>
          <w:sz w:val="20"/>
          <w:u w:val="single"/>
        </w:rPr>
        <w:t>Section 2.8(e)</w:t>
      </w:r>
      <w:r>
        <w:rPr>
          <w:rFonts w:ascii="Times New Roman" w:hAnsi="Times New Roman"/>
          <w:sz w:val="20"/>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the Company Valuation Calculation shall be referred to an independent auditor of recognized national standing jointly selected by Parent and the Company. If the parties are unable to select an independent auditor within five days, then either Parent or the Company may thereafter request that the New York, New York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Business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Company Valuation Calculation made by the Accounting Firm shall be made in writing delivered to each of Parent and the Company, shall be final and binding on Parent and the Company and shall (absent manifest error) be deemed to have been finally determined for purposes of this Agreement. The Parties shall delay the Closing until the resolution of the matters described in this </w:t>
      </w:r>
      <w:r>
        <w:rPr>
          <w:rFonts w:ascii="Times New Roman" w:hAnsi="Times New Roman"/>
          <w:sz w:val="20"/>
          <w:u w:val="single"/>
        </w:rPr>
        <w:t>Section 2.8(f)</w:t>
      </w:r>
      <w:r>
        <w:rPr>
          <w:rFonts w:ascii="Times New Roman" w:hAnsi="Times New Roman"/>
          <w:sz w:val="20"/>
        </w:rPr>
        <w:t xml:space="preserve">. The fees and expenses of the Accounting Firm shall be allocated between Parent and the Company in the same proportion that the disputed amount of the Parent Net Cash or the Company Valuation Calculation that was unsuccessfully disputed by such Party (as finally determined by the Accounting Firm) bears to the total disputed amount of the Parent Net Cash or the Company Valuation Calculation. If this </w:t>
      </w:r>
      <w:r>
        <w:rPr>
          <w:rFonts w:ascii="Times New Roman" w:hAnsi="Times New Roman"/>
          <w:sz w:val="20"/>
          <w:u w:val="single"/>
        </w:rPr>
        <w:t>Section 2.8(f)</w:t>
      </w:r>
      <w:r>
        <w:rPr>
          <w:rFonts w:ascii="Times New Roman" w:hAnsi="Times New Roman"/>
          <w:sz w:val="20"/>
        </w:rPr>
        <w:t xml:space="preserve"> applies as to the determination of the Parent Net Cash at the Cash Determination Time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determination of the Company Valuation Calculation as of the Company Valuation Determination Time, as applicable, upon resolution of the matter in accordance with this </w:t>
      </w:r>
      <w:r>
        <w:rPr>
          <w:rFonts w:ascii="Times New Roman" w:hAnsi="Times New Roman"/>
          <w:sz w:val="20"/>
          <w:u w:val="single"/>
        </w:rPr>
        <w:t>Section 2.8(f)</w:t>
      </w:r>
      <w:r>
        <w:rPr>
          <w:rFonts w:ascii="Times New Roman" w:hAnsi="Times New Roman"/>
          <w:sz w:val="20"/>
        </w:rPr>
        <w:t xml:space="preserve">, the Parties shall not be required to determine Parent Net Cash or the Company Valuation Calculation again even though the Closing may occur later than the Anticipated Closing Date. </w:t>
      </w:r>
    </w:p>
    <w:p>
      <w:pPr>
        <w:pStyle w:val="TextBody"/>
        <w:bidi w:val="0"/>
        <w:spacing w:before="240" w:after="0"/>
        <w:jc w:val="left"/>
        <w:rPr>
          <w:rFonts w:ascii="Times New Roman" w:hAnsi="Times New Roman"/>
          <w:sz w:val="20"/>
        </w:rPr>
      </w:pPr>
      <w:bookmarkStart w:id="105" w:name="annextoc108148_13"/>
      <w:bookmarkEnd w:id="105"/>
      <w:r>
        <w:rPr>
          <w:rFonts w:ascii="Times New Roman" w:hAnsi="Times New Roman"/>
          <w:sz w:val="20"/>
        </w:rPr>
        <w:t xml:space="preserve">Section 2.9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bookmarkStart w:id="106" w:name="annextoc108148_14"/>
      <w:bookmarkEnd w:id="106"/>
      <w:r>
        <w:rPr>
          <w:rFonts w:ascii="Times New Roman" w:hAnsi="Times New Roman"/>
          <w:sz w:val="20"/>
        </w:rPr>
        <w:t xml:space="preserve">Section 2.10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Merger is intended to qualify as a reorganization within the meaning of Section 368(a) of the Code and/or a transfer within the meaning of Section 351(a)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 </w:t>
      </w:r>
    </w:p>
    <w:p>
      <w:pPr>
        <w:pStyle w:val="TextBody"/>
        <w:bidi w:val="0"/>
        <w:spacing w:before="240" w:after="0"/>
        <w:jc w:val="left"/>
        <w:rPr>
          <w:rFonts w:ascii="Times New Roman" w:hAnsi="Times New Roman"/>
          <w:sz w:val="20"/>
        </w:rPr>
      </w:pPr>
      <w:bookmarkStart w:id="107" w:name="annextoc108148_15"/>
      <w:bookmarkEnd w:id="107"/>
      <w:r>
        <w:rPr>
          <w:rFonts w:ascii="Times New Roman" w:hAnsi="Times New Roman"/>
          <w:sz w:val="20"/>
        </w:rPr>
        <w:t xml:space="preserve">Section 2.11 </w:t>
      </w:r>
      <w:r>
        <w:rPr>
          <w:rFonts w:ascii="Times New Roman" w:hAnsi="Times New Roman"/>
          <w:sz w:val="20"/>
          <w:u w:val="single"/>
        </w:rPr>
        <w:t>Withholding</w:t>
      </w:r>
      <w:r>
        <w:rPr>
          <w:rFonts w:ascii="Times New Roman" w:hAnsi="Times New Roman"/>
          <w:sz w:val="20"/>
        </w:rPr>
        <w:t xml:space="preserve">. Each of the Exchange Agent, Parent, Merger Sub and the Surviving Corporation shall be entitled to deduct and withhold from any consideration deliverable pursuant to this Agreement to any Person such amounts as are required to be deducted or withheld from such consideration under the Code or under any other applicable Law; provided that, with respect to any non-compensatory amounts, the Exchange Agent, Parent, Merger Sub and the Surviving Corporation shall use commercially reasonable efforts to (i) promptly notify such Persons of any intention to withhold any portion of such consideration and (ii)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Corporation or Parent, as applicable. </w:t>
      </w:r>
    </w:p>
    <w:p>
      <w:pPr>
        <w:pStyle w:val="TextBody"/>
        <w:bidi w:val="0"/>
        <w:spacing w:before="480" w:after="0"/>
        <w:jc w:val="center"/>
        <w:rPr>
          <w:rFonts w:ascii="Times New Roman" w:hAnsi="Times New Roman"/>
          <w:sz w:val="20"/>
        </w:rPr>
      </w:pPr>
      <w:bookmarkStart w:id="108" w:name="annextoc108148_16"/>
      <w:bookmarkEnd w:id="108"/>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document delivered by the Company to Parent (the “</w:t>
      </w:r>
      <w:r>
        <w:rPr>
          <w:rFonts w:ascii="Times New Roman" w:hAnsi="Times New Roman"/>
          <w:b/>
          <w:sz w:val="20"/>
        </w:rPr>
        <w:t>Company Disclosure Letter</w:t>
      </w:r>
      <w:r>
        <w:rPr>
          <w:rFonts w:ascii="Times New Roman" w:hAnsi="Times New Roman"/>
          <w:sz w:val="20"/>
        </w:rPr>
        <w:t xml:space="preserve">”) concurrently with the execution of this Agreement, the Company represents and warrants to Parent and Merger Sub as follows: </w:t>
      </w:r>
    </w:p>
    <w:p>
      <w:pPr>
        <w:pStyle w:val="TextBody"/>
        <w:bidi w:val="0"/>
        <w:spacing w:before="240" w:after="0"/>
        <w:jc w:val="left"/>
        <w:rPr>
          <w:rFonts w:ascii="Times New Roman" w:hAnsi="Times New Roman"/>
          <w:sz w:val="20"/>
        </w:rPr>
      </w:pPr>
      <w:bookmarkStart w:id="109" w:name="annextoc108148_17"/>
      <w:bookmarkEnd w:id="109"/>
      <w:r>
        <w:rPr>
          <w:rFonts w:ascii="Times New Roman" w:hAnsi="Times New Roman"/>
          <w:sz w:val="20"/>
        </w:rPr>
        <w:t xml:space="preserve">Section 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110" w:name="annextoc108148_18"/>
      <w:bookmarkEnd w:id="110"/>
      <w:r>
        <w:rPr>
          <w:rFonts w:ascii="Times New Roman" w:hAnsi="Times New Roman"/>
          <w:sz w:val="20"/>
        </w:rPr>
        <w:t xml:space="preserve">Section 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111" w:name="annextoc108148_19"/>
      <w:bookmarkEnd w:id="111"/>
      <w:r>
        <w:rPr>
          <w:rFonts w:ascii="Times New Roman" w:hAnsi="Times New Roman"/>
          <w:sz w:val="20"/>
        </w:rPr>
        <w:t xml:space="preserve">Section 3.3 </w:t>
      </w:r>
      <w:r>
        <w:rPr>
          <w:rFonts w:ascii="Times New Roman" w:hAnsi="Times New Roman"/>
          <w:sz w:val="20"/>
          <w:u w:val="single"/>
        </w:rPr>
        <w:t>Authority; Binding Nature of Agreement</w:t>
      </w:r>
      <w:r>
        <w:rPr>
          <w:rFonts w:ascii="Times New Roman" w:hAnsi="Times New Roman"/>
          <w:b/>
          <w:sz w:val="20"/>
        </w:rPr>
        <w:t>.</w:t>
      </w:r>
      <w:r>
        <w:rPr>
          <w:rFonts w:ascii="Times New Roman" w:hAnsi="Times New Roman"/>
          <w:sz w:val="20"/>
        </w:rPr>
        <w:t xml:space="preserve"> The Company has all necessary corporate power and authority to enter into and to perform its obligations under this Agreement and to consummate the Contemplated Transactions, subject to obtaining the Required Company Stockholder Vote.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112" w:name="annextoc108148_20"/>
      <w:bookmarkEnd w:id="112"/>
      <w:r>
        <w:rPr>
          <w:rFonts w:ascii="Times New Roman" w:hAnsi="Times New Roman"/>
          <w:sz w:val="20"/>
        </w:rPr>
        <w:t xml:space="preserve">Section 3.4 </w:t>
      </w:r>
      <w:r>
        <w:rPr>
          <w:rFonts w:ascii="Times New Roman" w:hAnsi="Times New Roman"/>
          <w:sz w:val="20"/>
          <w:u w:val="single"/>
        </w:rPr>
        <w:t>Vote Required</w:t>
      </w:r>
      <w:r>
        <w:rPr>
          <w:rFonts w:ascii="Times New Roman" w:hAnsi="Times New Roman"/>
          <w:sz w:val="20"/>
        </w:rPr>
        <w:t>. The affirmative vote (or written consent) of (a) the holders of a majority of the shares of Company Capital Stock outstanding on the record date, voting as a single class on an as-converted basis, and (b) the holders of a majority of the shares of Company Series A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No interest in the Company is subject to any appraisal or dissenters’ rights in connection with the Contemplated Transactions. </w:t>
      </w:r>
    </w:p>
    <w:p>
      <w:pPr>
        <w:pStyle w:val="TextBody"/>
        <w:bidi w:val="0"/>
        <w:spacing w:before="240" w:after="0"/>
        <w:jc w:val="left"/>
        <w:rPr>
          <w:rFonts w:ascii="Times New Roman" w:hAnsi="Times New Roman"/>
          <w:sz w:val="20"/>
        </w:rPr>
      </w:pPr>
      <w:bookmarkStart w:id="113" w:name="annextoc108148_21"/>
      <w:bookmarkEnd w:id="113"/>
      <w:r>
        <w:rPr>
          <w:rFonts w:ascii="Times New Roman" w:hAnsi="Times New Roman"/>
          <w:sz w:val="20"/>
        </w:rPr>
        <w:t xml:space="preserve">Section 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the State of Delaware pursuant to the DGCL, (iii) such consents, waivers, approvals, orders, authorizations, registrations, declarations and filings as may be required under applicable federal and state securities laws, and (iv) the filing of the pre-merger notification report under the HSR Act, the Company was not, is not, nor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state takeover statute or similar Law applies or purports to apply to the Merger, this Agreement, the Company Stockholder Support Agreements or any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w:t>
      </w:r>
    </w:p>
    <w:p>
      <w:pPr>
        <w:pStyle w:val="TextBody"/>
        <w:bidi w:val="0"/>
        <w:spacing w:before="240" w:after="0"/>
        <w:jc w:val="left"/>
        <w:rPr>
          <w:rFonts w:ascii="Times New Roman" w:hAnsi="Times New Roman"/>
          <w:sz w:val="20"/>
        </w:rPr>
      </w:pPr>
      <w:bookmarkStart w:id="114" w:name="annextoc108148_22"/>
      <w:bookmarkEnd w:id="114"/>
      <w:r>
        <w:rPr>
          <w:rFonts w:ascii="Times New Roman" w:hAnsi="Times New Roman"/>
          <w:sz w:val="20"/>
        </w:rPr>
        <w:t xml:space="preserve">Section 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100,000,000 shares of Company Common Stock, 35,000,000 shares of Series A Preferred Stock, and 25,000,000 shares of Series A-1 Preferred Stock, of which 6,100,000, 30,668,708 and no shares respectively have been issued and are outstanding as of the date hereof. The Company does not hold any shares of its capital stock in its treasury. As of the date of this Agreement, the Company’s capital stock is held by the Persons and in the amounts set forth in </w:t>
      </w:r>
      <w:r>
        <w:rPr>
          <w:rFonts w:ascii="Times New Roman" w:hAnsi="Times New Roman"/>
          <w:sz w:val="20"/>
          <w:u w:val="single"/>
        </w:rPr>
        <w:t>Section 3.6(a)</w:t>
      </w:r>
      <w:r>
        <w:rPr>
          <w:rFonts w:ascii="Times New Roman" w:hAnsi="Times New Roman"/>
          <w:sz w:val="20"/>
        </w:rPr>
        <w:t xml:space="preserve"> of the Company Disclosure Letter, which further sets forth for each such Person (i) the name of such Person and the number of shares held, (ii) the class and series of such shares, and (iii) whether such Person is or has ever been an employee. Each share of Company Preferred Stock is convertible into one share of Company Common Stock. There are no declared or accrued but unpaid dividends with respect to any shares of the Company’s capital stock and the Company has never declared or paid any dividend or other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Letter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entered into an employment agreement pursuant to which the Company will reserve a number of shares equal to 5% of the fully-diluted issued and outstanding Company Capital Stock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closing of the Pre-Closing Financing, which awards will be issued under the Company’s 2026 Equity Incentive Plan (the “</w:t>
      </w:r>
      <w:r>
        <w:rPr>
          <w:rFonts w:ascii="Times New Roman" w:hAnsi="Times New Roman"/>
          <w:b/>
          <w:sz w:val="20"/>
        </w:rPr>
        <w:t>Stock Plan</w:t>
      </w:r>
      <w:r>
        <w:rPr>
          <w:rFonts w:ascii="Times New Roman" w:hAnsi="Times New Roman"/>
          <w:sz w:val="20"/>
        </w:rPr>
        <w:t xml:space="preserve">”). As of the date hereof, there are no other Company Options or other equity awards issued, outstanding or subject to executed 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Company Options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115" w:name="annextoc108148_23"/>
      <w:bookmarkEnd w:id="115"/>
      <w:r>
        <w:rPr>
          <w:rFonts w:ascii="Times New Roman" w:hAnsi="Times New Roman"/>
          <w:sz w:val="20"/>
        </w:rPr>
        <w:t xml:space="preserve">Section 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3.7(b)</w:t>
      </w:r>
      <w:r>
        <w:rPr>
          <w:rFonts w:ascii="Times New Roman" w:hAnsi="Times New Roman"/>
          <w:sz w:val="20"/>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116" w:name="annextoc108148_24"/>
      <w:bookmarkEnd w:id="116"/>
      <w:r>
        <w:rPr>
          <w:rFonts w:ascii="Times New Roman" w:hAnsi="Times New Roman"/>
          <w:sz w:val="20"/>
        </w:rPr>
        <w:t xml:space="preserve">Section 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Letter, between the date of its incorporation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17" w:name="annextoc108148_25"/>
      <w:bookmarkEnd w:id="117"/>
      <w:r>
        <w:rPr>
          <w:rFonts w:ascii="Times New Roman" w:hAnsi="Times New Roman"/>
          <w:sz w:val="20"/>
        </w:rPr>
        <w:t xml:space="preserve">Section 3.9 </w:t>
      </w:r>
      <w:r>
        <w:rPr>
          <w:rFonts w:ascii="Times New Roman" w:hAnsi="Times New Roman"/>
          <w:sz w:val="20"/>
          <w:u w:val="single"/>
        </w:rPr>
        <w:t>Absence of Undisclosed Liabilities</w:t>
      </w:r>
      <w:r>
        <w:rPr>
          <w:rFonts w:ascii="Times New Roman" w:hAnsi="Times New Roman"/>
          <w:sz w:val="20"/>
        </w:rPr>
        <w:t>. Since the date of its incorporation,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whether or not required to be reflected or reserved for on a balance sheet prepared in accordance with GAAP, except for: (a) Liabilities disclosed, reflected or reserved against (or to be disclosed, reflected or reserved against) in the financial statements of the Company,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hAnsi="Times New Roman"/>
          <w:sz w:val="20"/>
          <w:u w:val="single"/>
        </w:rPr>
        <w:t>Section 3.9</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18" w:name="annextoc108148_26"/>
      <w:bookmarkEnd w:id="118"/>
      <w:r>
        <w:rPr>
          <w:rFonts w:ascii="Times New Roman" w:hAnsi="Times New Roman"/>
          <w:sz w:val="20"/>
        </w:rPr>
        <w:t xml:space="preserve">Section 3.10 </w:t>
      </w:r>
      <w:r>
        <w:rPr>
          <w:rFonts w:ascii="Times New Roman" w:hAnsi="Times New Roman"/>
          <w:sz w:val="20"/>
          <w:u w:val="single"/>
        </w:rPr>
        <w:t>Title to Assets</w:t>
      </w:r>
      <w:r>
        <w:rPr>
          <w:rFonts w:ascii="Times New Roman" w:hAnsi="Times New Roman"/>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119" w:name="annextoc108148_27"/>
      <w:bookmarkEnd w:id="119"/>
      <w:r>
        <w:rPr>
          <w:rFonts w:ascii="Times New Roman" w:hAnsi="Times New Roman"/>
          <w:sz w:val="20"/>
        </w:rPr>
        <w:t xml:space="preserve">Section 3.11 </w:t>
      </w:r>
      <w:r>
        <w:rPr>
          <w:rFonts w:ascii="Times New Roman" w:hAnsi="Times New Roman"/>
          <w:sz w:val="20"/>
          <w:u w:val="single"/>
        </w:rPr>
        <w:t>Real Property; Leasehold</w:t>
      </w:r>
      <w:r>
        <w:rPr>
          <w:rFonts w:ascii="Times New Roman" w:hAnsi="Times New Roman"/>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 Real Estate Leases</w:t>
      </w:r>
      <w:r>
        <w:rPr>
          <w:rFonts w:ascii="Times New Roman" w:hAnsi="Times New Roman"/>
          <w:sz w:val="20"/>
        </w:rPr>
        <w:t xml:space="preserve">”), each of which is in full force and effect, with no existing material default thereunder by the Company or to the Company’s Knowledge, the other party thereto. </w:t>
      </w:r>
    </w:p>
    <w:p>
      <w:pPr>
        <w:pStyle w:val="TextBody"/>
        <w:bidi w:val="0"/>
        <w:spacing w:before="240" w:after="0"/>
        <w:jc w:val="left"/>
        <w:rPr>
          <w:rFonts w:ascii="Times New Roman" w:hAnsi="Times New Roman"/>
          <w:sz w:val="20"/>
        </w:rPr>
      </w:pPr>
      <w:bookmarkStart w:id="120" w:name="annextoc108148_28"/>
      <w:bookmarkEnd w:id="120"/>
      <w:r>
        <w:rPr>
          <w:rFonts w:ascii="Times New Roman" w:hAnsi="Times New Roman"/>
          <w:sz w:val="20"/>
        </w:rPr>
        <w:t xml:space="preserve">Section 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Letter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Letter accurately identifies (i) all Company Contracts pursuant to which any Company IP Rights are licensed to the Company (other than Excepted Contracts)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exclusively owns or licenses all right, title and interest to and in Company IP Rights (other than Excepted Contracts),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Company,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the Company or its licensor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or its licensor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240" w:after="0"/>
        <w:jc w:val="left"/>
        <w:rPr>
          <w:rFonts w:ascii="Times New Roman" w:hAnsi="Times New Roman"/>
          <w:sz w:val="20"/>
        </w:rPr>
      </w:pPr>
      <w:r>
        <w:rPr>
          <w:rFonts w:ascii="Times New Roman" w:hAnsi="Times New Roman"/>
          <w:sz w:val="20"/>
        </w:rPr>
        <w:t xml:space="preserve">(h)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All Company Registered IP is subsisting, and to the Knowledge of the Company, all Company Registered IP that is issued or granted is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To the Knowledge of the Company, no registered trademark or trade name owned, used or applied for by the Company conflicts or interferes with any registered trademark or trade name owned, used or applied for by any other Person. None of the goodwill associated with or inherent in any registered trademark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(j) Except as set forth in </w:t>
      </w:r>
      <w:r>
        <w:rPr>
          <w:rFonts w:ascii="Times New Roman" w:hAnsi="Times New Roman"/>
          <w:sz w:val="20"/>
          <w:u w:val="single"/>
        </w:rPr>
        <w:t>Sections 3.12(b)</w:t>
      </w:r>
      <w:r>
        <w:rPr>
          <w:rFonts w:ascii="Times New Roman" w:hAnsi="Times New Roman"/>
          <w:sz w:val="20"/>
        </w:rPr>
        <w:t xml:space="preserve">, </w:t>
      </w:r>
      <w:r>
        <w:rPr>
          <w:rFonts w:ascii="Times New Roman" w:hAnsi="Times New Roman"/>
          <w:sz w:val="20"/>
          <w:u w:val="single"/>
        </w:rPr>
        <w:t>3.12(c)</w:t>
      </w:r>
      <w:r>
        <w:rPr>
          <w:rFonts w:ascii="Times New Roman" w:hAnsi="Times New Roman"/>
          <w:sz w:val="20"/>
        </w:rPr>
        <w:t xml:space="preserve"> or </w:t>
      </w:r>
      <w:r>
        <w:rPr>
          <w:rFonts w:ascii="Times New Roman" w:hAnsi="Times New Roman"/>
          <w:sz w:val="20"/>
          <w:u w:val="single"/>
        </w:rPr>
        <w:t>3.12(k)</w:t>
      </w:r>
      <w:r>
        <w:rPr>
          <w:rFonts w:ascii="Times New Roman" w:hAnsi="Times New Roman"/>
          <w:sz w:val="20"/>
        </w:rPr>
        <w:t xml:space="preserve"> of the Company Disclosure Letter or as contained in license, distribution or service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any other provisions of this Agreement, Parent acknowledges and agrees that the representations and warranties contained in this Section 3.12 are the only representations or warranties made by Company with respect to Intellectual Property, and no other provisions of this Agreement shall be interpreted as containing any representation or warranty with respect thereto. </w:t>
      </w:r>
    </w:p>
    <w:p>
      <w:pPr>
        <w:pStyle w:val="TextBody"/>
        <w:bidi w:val="0"/>
        <w:spacing w:before="240" w:after="0"/>
        <w:jc w:val="left"/>
        <w:rPr>
          <w:rFonts w:ascii="Times New Roman" w:hAnsi="Times New Roman"/>
          <w:sz w:val="20"/>
        </w:rPr>
      </w:pPr>
      <w:bookmarkStart w:id="121" w:name="annextoc108148_29"/>
      <w:bookmarkEnd w:id="121"/>
      <w:r>
        <w:rPr>
          <w:rFonts w:ascii="Times New Roman" w:hAnsi="Times New Roman"/>
          <w:sz w:val="20"/>
        </w:rPr>
        <w:t xml:space="preserve">Section 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Excepted Contracts, </w:t>
      </w:r>
      <w:r>
        <w:rPr>
          <w:rFonts w:ascii="Times New Roman" w:hAnsi="Times New Roman"/>
          <w:sz w:val="20"/>
          <w:u w:val="single"/>
        </w:rPr>
        <w:t>Section 3.13(a)</w:t>
      </w:r>
      <w:r>
        <w:rPr>
          <w:rFonts w:ascii="Times New Roman" w:hAnsi="Times New Roman"/>
          <w:sz w:val="20"/>
        </w:rPr>
        <w:t xml:space="preserve"> of the Company Disclosure Letter lists the following Company Contracts in effect as of the date of this Agreement other than the Series A Financing Agreement and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120" w:after="0"/>
        <w:jc w:val="left"/>
        <w:rPr>
          <w:rFonts w:ascii="Times New Roman" w:hAnsi="Times New Roman"/>
          <w:sz w:val="20"/>
        </w:rPr>
      </w:pPr>
      <w:r>
        <w:rPr>
          <w:rFonts w:ascii="Times New Roman" w:hAnsi="Times New Roman"/>
          <w:sz w:val="20"/>
        </w:rPr>
        <w:t xml:space="preserve">(iv) each Company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containing any royalty, dividend or similar arrangement based on the revenues or profits of the Company,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disposition or acquisition of material assets or any ownership interest in any Entity, in each case, involving payments in excess of $100,000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to which the Company is a party or by which any of its assets and properties is currently bound, which involves annual obligations of payment by, or annual payments to, the Company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entered into in settlement of any Legal Proceeding or other dispute pursuant to which the Company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Company Contract that is not terminable at will (with no penalty or payment)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(xiii) Company Real Estate Leases.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date of this Agreement, the Company entered into the Series A Financing Agreement and certain other agreements and side letters set forth on </w:t>
      </w:r>
      <w:r>
        <w:rPr>
          <w:rFonts w:ascii="Times New Roman" w:hAnsi="Times New Roman"/>
          <w:sz w:val="20"/>
          <w:u w:val="single"/>
        </w:rPr>
        <w:t>Section 3.13</w:t>
      </w:r>
      <w:r>
        <w:rPr>
          <w:rFonts w:ascii="Times New Roman" w:hAnsi="Times New Roman"/>
          <w:sz w:val="20"/>
        </w:rPr>
        <w:t xml:space="preserve"> of the Company Disclosure Letter (collectively, the “</w:t>
      </w:r>
      <w:r>
        <w:rPr>
          <w:rFonts w:ascii="Times New Roman" w:hAnsi="Times New Roman"/>
          <w:b/>
          <w:sz w:val="20"/>
        </w:rPr>
        <w:t>Series A Financing Agreements</w:t>
      </w:r>
      <w:r>
        <w:rPr>
          <w:rFonts w:ascii="Times New Roman" w:hAnsi="Times New Roman"/>
          <w:sz w:val="20"/>
        </w:rPr>
        <w:t xml:space="preserve">”) with certain investors in the Series A Financing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Series A Investors</w:t>
      </w:r>
      <w:r>
        <w:rPr>
          <w:rFonts w:ascii="Times New Roman" w:hAnsi="Times New Roman"/>
          <w:sz w:val="20"/>
        </w:rPr>
        <w:t xml:space="preserve">”), true and executed copies of which have been made available to Parent, pursuant to which, and on the terms and subject to the conditions of which, such Series A Investors have agreed to invest in a private placement of the Company Series A Preferred Stock for an aggregate amount of $138,000,000. Such Series A Financing Agreements are in full force and effect with respect to, and binding on, the Company and, to the Knowledge of the Company, on each Series A Investor party thereto, in accordance with its terms. Other than the Series A Financing Agreements, there are no other Contracts, including side letters, entered into by the Company in connection with the Series A Financing. </w:t>
      </w:r>
    </w:p>
    <w:p>
      <w:pPr>
        <w:pStyle w:val="TextBody"/>
        <w:bidi w:val="0"/>
        <w:spacing w:before="240" w:after="0"/>
        <w:jc w:val="left"/>
        <w:rPr>
          <w:rFonts w:ascii="Times New Roman" w:hAnsi="Times New Roman"/>
          <w:sz w:val="20"/>
        </w:rPr>
      </w:pPr>
      <w:bookmarkStart w:id="122" w:name="annextoc108148_30"/>
      <w:bookmarkEnd w:id="122"/>
      <w:r>
        <w:rPr>
          <w:rFonts w:ascii="Times New Roman" w:hAnsi="Times New Roman"/>
          <w:sz w:val="20"/>
        </w:rPr>
        <w:t xml:space="preserve">Section 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since April 2, 2026, has been in compliance with all applicable Laws, except where the failure to so comply would not, whether individually or in the aggregate, reasonably be expected to have a Company Material Adverse Effect. No investigation, claim, suit, proceeding, audit, Order or other Legal Proceeding or action by any Governmental Authority is pending or, to the Knowledge of the Company, threatened against the Company, which if determined unfavorably to the Company would reasonably be expected to have a Company Material Adverse Effect. There is no agreement or Order binding upon the Company which (i)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biological or medical device products (“</w:t>
      </w:r>
      <w:r>
        <w:rPr>
          <w:rFonts w:ascii="Times New Roman" w:hAnsi="Times New Roman"/>
          <w:b/>
          <w:sz w:val="20"/>
        </w:rPr>
        <w:t>Drug/Device Regulatory Agency</w:t>
      </w:r>
      <w:r>
        <w:rPr>
          <w:rFonts w:ascii="Times New Roman" w:hAnsi="Times New Roman"/>
          <w:sz w:val="20"/>
        </w:rPr>
        <w:t>”), the Company holds all required Governmental Authorizations for the operation of the business of the Company as 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as of the date of this Agreement and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(21 U.S.C. §§ 301 et seq.) and the regulations promulgated thereunder (“</w:t>
      </w:r>
      <w:r>
        <w:rPr>
          <w:rFonts w:ascii="Times New Roman" w:hAnsi="Times New Roman"/>
          <w:b/>
          <w:sz w:val="20"/>
        </w:rPr>
        <w:t>FDCA</w:t>
      </w:r>
      <w:r>
        <w:rPr>
          <w:rFonts w:ascii="Times New Roman" w:hAnsi="Times New Roman"/>
          <w:sz w:val="20"/>
        </w:rPr>
        <w:t>”), the Public Health Service Act and the regulations promulgated thereunder (42 U.S.C. § 262 et seq.) (“</w:t>
      </w:r>
      <w:r>
        <w:rPr>
          <w:rFonts w:ascii="Times New Roman" w:hAnsi="Times New Roman"/>
          <w:b/>
          <w:sz w:val="20"/>
        </w:rPr>
        <w:t>PHSA</w:t>
      </w:r>
      <w:r>
        <w:rPr>
          <w:rFonts w:ascii="Times New Roman" w:hAnsi="Times New Roman"/>
          <w:sz w:val="20"/>
        </w:rPr>
        <w:t xml:space="preserve">”),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material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in each case as currently conducted, of any of its product candidates (the “</w:t>
      </w:r>
      <w:r>
        <w:rPr>
          <w:rFonts w:ascii="Times New Roman" w:hAnsi="Times New Roman"/>
          <w:b/>
          <w:sz w:val="20"/>
        </w:rPr>
        <w:t>Company Product Candidates</w:t>
      </w:r>
      <w:r>
        <w:rPr>
          <w:rFonts w:ascii="Times New Roman" w:hAnsi="Times New Roman"/>
          <w:sz w:val="20"/>
        </w:rPr>
        <w:t>” and collectively, the “</w:t>
      </w:r>
      <w:r>
        <w:rPr>
          <w:rFonts w:ascii="Times New Roman" w:hAnsi="Times New Roman"/>
          <w:b/>
          <w:sz w:val="20"/>
        </w:rPr>
        <w:t>Company Regulatory Permits</w:t>
      </w:r>
      <w:r>
        <w:rPr>
          <w:rFonts w:ascii="Times New Roman" w:hAnsi="Times New Roman"/>
          <w:sz w:val="20"/>
        </w:rPr>
        <w:t xml:space="preserve">”) and since April 2, 2026 (and from January 1, 2024 through April 1, 2026, to the Company’s Knowledge) no such Company Regulatory Permit has been (i) revoked, withdrawn, suspended, cancelled or terminated or (ii) modified in any adverse manner, other than immaterial adverse modifications. The Company has maintained and is in compliance in all material respects with the terms of such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Company Regulatory Permit or (B) any revocation, withdrawal, suspension, cancellation, termination or material modification of any Company Regulatory Permit. </w:t>
      </w:r>
    </w:p>
    <w:p>
      <w:pPr>
        <w:pStyle w:val="TextBody"/>
        <w:bidi w:val="0"/>
        <w:spacing w:before="240" w:after="0"/>
        <w:jc w:val="left"/>
        <w:rPr>
          <w:rFonts w:ascii="Times New Roman" w:hAnsi="Times New Roman"/>
          <w:sz w:val="20"/>
        </w:rPr>
      </w:pPr>
      <w:r>
        <w:rPr>
          <w:rFonts w:ascii="Times New Roman" w:hAnsi="Times New Roman"/>
          <w:sz w:val="20"/>
        </w:rPr>
        <w:t>(e) All clinical, preclinical and other studies and tests conducted by or on behalf of, or sponsored by, the Company, in which the Company or its current product candidates, including the Company Product Candidates, have participated (collectively “</w:t>
      </w:r>
      <w:r>
        <w:rPr>
          <w:rFonts w:ascii="Times New Roman" w:hAnsi="Times New Roman"/>
          <w:b/>
          <w:sz w:val="20"/>
        </w:rPr>
        <w:t>Company Studies</w:t>
      </w:r>
      <w:r>
        <w:rPr>
          <w:rFonts w:ascii="Times New Roman" w:hAnsi="Times New Roman"/>
          <w:sz w:val="20"/>
        </w:rPr>
        <w:t xml:space="preserve">”), were since April 2, 2026 (and from January 1, 2024 through April 1, 2026, to the Company’s Knowledge), and, if still pending, are being conducted in accordance in all material respects with any applicable regulations of the Drug/Device Regulatory Agencies and other applicable Laws to which such Company Studies are or were subject.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such Company Studies, other than ordinary course communications regarding the design and implementation of such Company Studies. Further, no clinical investigator, researcher or clinical staff participating in any Company Study has been disqualified from participating in studies involving the Company Product Candidates, and to the Knowledge of the Company,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(the “</w:t>
      </w:r>
      <w:r>
        <w:rPr>
          <w:rFonts w:ascii="Times New Roman" w:hAnsi="Times New Roman"/>
          <w:b/>
          <w:sz w:val="20"/>
        </w:rPr>
        <w:t>Application Integrity Policy</w:t>
      </w:r>
      <w:r>
        <w:rPr>
          <w:rFonts w:ascii="Times New Roman" w:hAnsi="Times New Roman"/>
          <w:sz w:val="20"/>
        </w:rPr>
        <w:t xml:space="preserve">”) or by any other Drug/Device Regulatory Agency under a comparable policy. Since April 2, 2026 (and from January 1, 2024 through April 1, 2026, to the Company’s Knowledge), neither the Company, nor any of its officers, directors, employees or, to the Knowledge of the Company, agents have been debarred or excluded from participation in any federal healthcare programs. Since April 2, 2026 (and from January 1, 2024 through April 1, 2026, to the Company’s Knowledge), none of the Company or, to the Knowledge of the Company, any of their respective officers, employees, agents or contract manufacturers, with respect to any Company Product Candidate has committed any acts, made any statement or failed to make any statement, in each case in respect of its business or products that would violate the Application Integrity Policy or a comparable policy of any other Drug/Device Regulatory Agency. Since April 2, 2026 (and from January 1, 2024 through April 1, 2026, to the Company’s Knowledge), none of the Company, and to the Knowledge of the Company, any of their respective officers, employees, agents, or contract manufacturer with respect to any Company Product Candidate is currently or has been debarred, convicted of any crime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nor to the Knowledge of the Company, any of their respective officers, employees or agents, or contract manufacturers with respect to any Company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since April 2, 2026 (and from January 1, 2024 through April 1, 2026, to the Company’s Knowledge) have been and are being conducted in compliance in all material respects with applicable Laws, including, to the extent applicable, the FDCA, PHSA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in each case with respect such parties’ or site’s activities conducted with respect to any Company Product Candidate, (i) is subject to a Drug/Device Regulatory Agency shutdown or import or export prohibition or (ii) has since April 2, 2026 (and from January 1, 2024 through April 1, 2026, to the Company’s Knowledge) received any Form FDA 483, notice of violation, warning letter, untitled letter or similar correspondence or notice from the FDA or other Drug/Device Regulatory Agency alleging or asserting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noncompliance with any applicable Law, and in each case, that have not been complied with or closed to the satisfaction of the relevant Drug/Device Regulatory Agency, and, to the Knowledge of the Company, neither the FDA nor any other Drug/Device Regulatory Agency has threatened such action. </w:t>
      </w:r>
    </w:p>
    <w:p>
      <w:pPr>
        <w:pStyle w:val="TextBody"/>
        <w:bidi w:val="0"/>
        <w:spacing w:before="240" w:after="0"/>
        <w:jc w:val="left"/>
        <w:rPr>
          <w:rFonts w:ascii="Times New Roman" w:hAnsi="Times New Roman"/>
          <w:sz w:val="20"/>
        </w:rPr>
      </w:pPr>
      <w:bookmarkStart w:id="123" w:name="annextoc108148_31"/>
      <w:bookmarkEnd w:id="123"/>
      <w:r>
        <w:rPr>
          <w:rFonts w:ascii="Times New Roman" w:hAnsi="Times New Roman"/>
          <w:sz w:val="20"/>
        </w:rPr>
        <w:t xml:space="preserve">Section 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 </w:t>
      </w:r>
    </w:p>
    <w:p>
      <w:pPr>
        <w:pStyle w:val="TextBody"/>
        <w:bidi w:val="0"/>
        <w:spacing w:before="240" w:after="0"/>
        <w:jc w:val="left"/>
        <w:rPr>
          <w:rFonts w:ascii="Times New Roman" w:hAnsi="Times New Roman"/>
          <w:sz w:val="20"/>
        </w:rPr>
      </w:pPr>
      <w:bookmarkStart w:id="124" w:name="annextoc108148_32"/>
      <w:bookmarkEnd w:id="124"/>
      <w:r>
        <w:rPr>
          <w:rFonts w:ascii="Times New Roman" w:hAnsi="Times New Roman"/>
          <w:sz w:val="20"/>
        </w:rPr>
        <w:t xml:space="preserve">Section 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or any of its Subsidiaries does not file Tax Returns that the Company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and each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 and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than Encumbrances described in </w:t>
      </w:r>
      <w:r>
        <w:rPr>
          <w:rFonts w:ascii="Times New Roman" w:hAnsi="Times New Roman"/>
          <w:sz w:val="20"/>
          <w:u w:val="single"/>
        </w:rPr>
        <w:t>clause (i)</w:t>
      </w:r>
      <w:r>
        <w:rPr>
          <w:rFonts w:ascii="Times New Roman" w:hAnsi="Times New Roman"/>
          <w:sz w:val="20"/>
        </w:rPr>
        <w:t xml:space="preserve"> of the definition of “Permitted Encumbrances”) upon any of the assets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or any of its Subsidiaries. Neither the Company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years. </w:t>
      </w:r>
    </w:p>
    <w:p>
      <w:pPr>
        <w:pStyle w:val="TextBody"/>
        <w:bidi w:val="0"/>
        <w:spacing w:before="240" w:after="0"/>
        <w:jc w:val="left"/>
        <w:rPr>
          <w:rFonts w:ascii="Times New Roman" w:hAnsi="Times New Roman"/>
          <w:sz w:val="20"/>
        </w:rPr>
      </w:pPr>
      <w:r>
        <w:rPr>
          <w:rFonts w:ascii="Times New Roman" w:hAnsi="Times New Roman"/>
          <w:sz w:val="20"/>
        </w:rPr>
        <w:t>(g) Neither the Company nor any of its Subsidiaries is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has been a member of an affiliated group filing a consolidated U.S. federal income Tax Return (other than a group the common parent of which is the Company). Neither the Company nor any of its Subsidiaries has any material Liability for the Taxes of any Person (other than the Company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is aware of any facts or circumstances or has taken or agreed to take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125" w:name="annextoc108148_33"/>
      <w:bookmarkEnd w:id="125"/>
      <w:r>
        <w:rPr>
          <w:rFonts w:ascii="Times New Roman" w:hAnsi="Times New Roman"/>
          <w:sz w:val="20"/>
        </w:rPr>
        <w:t xml:space="preserve">Section 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 list (on an anonymized basis) setting forth, for each Company Associate who is an employee of the Company or any of its Subsidiaries, whether full- or part-time, such employee’s annual salary (or if hourly, hourly rate), most recent annual bonus received, and current annual bonus opportunity. No Company Key Employee has indicated to the Company, or any of its Subsidiaries,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and each of its Subsidiaries’ employees is terminable by the Company and/or its applicable Subsidiary at will. The Company has made available to Parent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is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Letter lists all material Company Employee Plans (other than employment arrangements which are terminable “at will” without any contractual obligation on the part of the Company or any of its Subsidiaries to make any severance, termination, change in control, retention or similar payment and that are substantively identical to the employment arrangements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the Company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provides for, and neither the Company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(k) The Company and each of its Subsidiaries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employees of the Company and any of its Subsidiaries: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of its Subsidiaries or any trustee of the Company or any of its Subsidiaries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any trustee or any trustee of any Subsidiary of the Company under any workers’ compensation policy or long-term disability policy. The Company is not a party to a conciliation agreement, consent decree or other agreement or Order with any federal, state or local agency or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issued any notification of a plant closing or mass layoff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WARN Act (nor has the Company or any of its Subsidiaries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is, nor has the Company nor any of its Subsidiaries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or any of its Subsidiaries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the Company or any of its Subsidiaries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the Company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or any of its Subsidiaries. </w:t>
      </w:r>
    </w:p>
    <w:p>
      <w:pPr>
        <w:pStyle w:val="TextBody"/>
        <w:bidi w:val="0"/>
        <w:spacing w:before="240" w:after="0"/>
        <w:jc w:val="left"/>
        <w:rPr>
          <w:rFonts w:ascii="Times New Roman" w:hAnsi="Times New Roman"/>
          <w:sz w:val="20"/>
        </w:rPr>
      </w:pPr>
      <w:bookmarkStart w:id="126" w:name="annextoc108148_34"/>
      <w:bookmarkEnd w:id="126"/>
      <w:r>
        <w:rPr>
          <w:rFonts w:ascii="Times New Roman" w:hAnsi="Times New Roman"/>
          <w:sz w:val="20"/>
        </w:rPr>
        <w:t xml:space="preserve">Section 3.18 </w:t>
      </w:r>
      <w:r>
        <w:rPr>
          <w:rFonts w:ascii="Times New Roman" w:hAnsi="Times New Roman"/>
          <w:sz w:val="20"/>
          <w:u w:val="single"/>
        </w:rPr>
        <w:t>Environmental Matters</w:t>
      </w:r>
      <w:r>
        <w:rPr>
          <w:rFonts w:ascii="Times New Roman" w:hAnsi="Times New Roman"/>
          <w:sz w:val="20"/>
        </w:rPr>
        <w:t xml:space="preserve">. Since the date of its incorporation,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Since the date of its incorporation,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 </w:t>
      </w:r>
    </w:p>
    <w:p>
      <w:pPr>
        <w:pStyle w:val="TextBody"/>
        <w:bidi w:val="0"/>
        <w:spacing w:before="240" w:after="0"/>
        <w:jc w:val="left"/>
        <w:rPr>
          <w:rFonts w:ascii="Times New Roman" w:hAnsi="Times New Roman"/>
          <w:sz w:val="20"/>
        </w:rPr>
      </w:pPr>
      <w:bookmarkStart w:id="127" w:name="annextoc108148_35"/>
      <w:bookmarkEnd w:id="127"/>
      <w:r>
        <w:rPr>
          <w:rFonts w:ascii="Times New Roman" w:hAnsi="Times New Roman"/>
          <w:sz w:val="20"/>
        </w:rPr>
        <w:t xml:space="preserve">Section 3.19 </w:t>
      </w:r>
      <w:r>
        <w:rPr>
          <w:rFonts w:ascii="Times New Roman" w:hAnsi="Times New Roman"/>
          <w:sz w:val="20"/>
          <w:u w:val="single"/>
        </w:rPr>
        <w:t>Insurance</w:t>
      </w:r>
      <w:r>
        <w:rPr>
          <w:rFonts w:ascii="Times New Roman" w:hAnsi="Times New Roman"/>
          <w:sz w:val="20"/>
        </w:rPr>
        <w:t xml:space="preserv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128" w:name="annextoc108148_36"/>
      <w:bookmarkEnd w:id="128"/>
      <w:r>
        <w:rPr>
          <w:rFonts w:ascii="Times New Roman" w:hAnsi="Times New Roman"/>
          <w:sz w:val="20"/>
        </w:rPr>
        <w:t xml:space="preserve">Section 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129" w:name="annextoc108148_37"/>
      <w:bookmarkEnd w:id="129"/>
      <w:r>
        <w:rPr>
          <w:rFonts w:ascii="Times New Roman" w:hAnsi="Times New Roman"/>
          <w:sz w:val="20"/>
        </w:rPr>
        <w:t xml:space="preserve">Section 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130" w:name="annextoc108148_38"/>
      <w:bookmarkEnd w:id="130"/>
      <w:r>
        <w:rPr>
          <w:rFonts w:ascii="Times New Roman" w:hAnsi="Times New Roman"/>
          <w:sz w:val="20"/>
        </w:rPr>
        <w:t xml:space="preserve">Section 3.22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April 2, 2026, each of Company and its Subsidiaries have complied with: (i) applicable Privacy Laws; (ii) Company’s and its Subsidiaries’ published and posted policies relating to Company and its Subsidiaries’ processing of Personal Information, as applicable to each of Company and any of its Subsidiaries; and (iii) applicable terms of any Company Contracts relating to privacy, security, collection or use of Personal Information (collectively, </w:t>
      </w:r>
      <w:r>
        <w:rPr>
          <w:rFonts w:ascii="Times New Roman" w:hAnsi="Times New Roman"/>
          <w:sz w:val="20"/>
          <w:u w:val="single"/>
        </w:rPr>
        <w:t>(i) – (iii)</w:t>
      </w:r>
      <w:r>
        <w:rPr>
          <w:rFonts w:ascii="Times New Roman" w:hAnsi="Times New Roman"/>
          <w:sz w:val="20"/>
        </w:rPr>
        <w:t>,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Data Protection Requirements</w:t>
      </w:r>
      <w:r>
        <w:rPr>
          <w:rFonts w:ascii="Times New Roman" w:hAnsi="Times New Roman"/>
          <w:sz w:val="20"/>
        </w:rPr>
        <w:t xml:space="preserve">”), except for such noncompliance as has not had, and would not reasonably be expected to have, individually or in the aggregate, a Company Material Adverse Effect. To the Knowledge of Company, since April 2, 2026, no claims have been asserted or threatened in writing against Company or any Subsidiary by any Person alleging a material violation of the Company Data Protection Requirements. To the Knowledge of Company, since April 2, 2026 (and from January 1, 2024 through April 1, 2026, to the Company’s Knowledge), there have been no personal data breaches compromising Personal Information in the custody or control of Company or its Subsidiaries or any service provider acting on behalf of Company or its Subsidiaries,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information technology assets and equipment of Company and its Subsidiaries (collectively, “</w:t>
      </w:r>
      <w:r>
        <w:rPr>
          <w:rFonts w:ascii="Times New Roman" w:hAnsi="Times New Roman"/>
          <w:b/>
          <w:sz w:val="20"/>
        </w:rPr>
        <w:t>Company IT Systems</w:t>
      </w:r>
      <w:r>
        <w:rPr>
          <w:rFonts w:ascii="Times New Roman" w:hAnsi="Times New Roman"/>
          <w:sz w:val="20"/>
        </w:rPr>
        <w:t xml:space="preserve">”) are adequate for, and operate and perform in all material respects as required in connection with the operation of the business of Company and its Subsidiaries as currently conducted, and to the Knowledge of Company, free and clear of all material bugs, errors, defects, Trojan horses, time bombs, malware and other corruptants. Company and its Subsidiaries have implemented and maintain commercially reasonable physical, technical and administrative safeguards to protect Personal Information processed by the Company and its Subsidiaries, any other material confidential information and the integrity and security of Company IT Systems used in connection with their businesses, and since April 2, 2026, there have been no breaches, violations, outages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bookmarkStart w:id="131" w:name="annextoc108148_39"/>
      <w:bookmarkEnd w:id="131"/>
      <w:r>
        <w:rPr>
          <w:rFonts w:ascii="Times New Roman" w:hAnsi="Times New Roman"/>
          <w:sz w:val="20"/>
        </w:rPr>
        <w:t xml:space="preserve">Section 3.23 </w:t>
      </w:r>
      <w:r>
        <w:rPr>
          <w:rFonts w:ascii="Times New Roman" w:hAnsi="Times New Roman"/>
          <w:sz w:val="20"/>
          <w:u w:val="single"/>
        </w:rPr>
        <w:t>Certain Payments</w:t>
      </w:r>
      <w:r>
        <w:rPr>
          <w:rFonts w:ascii="Times New Roman" w:hAnsi="Times New Roman"/>
          <w:sz w:val="20"/>
        </w:rPr>
        <w:t xml:space="preserve">. Since the Company’s incorporation, neither the Company nor any of its Subsidiaries nor, to the Knowledge of the Company, any of their respective directors, executives, Representatives, agents or employees (a) has used or is using any corporate funds for any illegal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 </w:t>
      </w:r>
    </w:p>
    <w:p>
      <w:pPr>
        <w:pStyle w:val="TextBody"/>
        <w:bidi w:val="0"/>
        <w:spacing w:before="240" w:after="0"/>
        <w:jc w:val="left"/>
        <w:rPr>
          <w:rFonts w:ascii="Times New Roman" w:hAnsi="Times New Roman"/>
          <w:sz w:val="20"/>
        </w:rPr>
      </w:pPr>
      <w:bookmarkStart w:id="132" w:name="annextoc108148_40"/>
      <w:bookmarkEnd w:id="132"/>
      <w:r>
        <w:rPr>
          <w:rFonts w:ascii="Times New Roman" w:hAnsi="Times New Roman"/>
          <w:sz w:val="20"/>
        </w:rPr>
        <w:t xml:space="preserve">Section 3.24 </w:t>
      </w:r>
      <w:r>
        <w:rPr>
          <w:rFonts w:ascii="Times New Roman" w:hAnsi="Times New Roman"/>
          <w:sz w:val="20"/>
          <w:u w:val="single"/>
        </w:rPr>
        <w:t>Trade Control Laws</w:t>
      </w:r>
      <w:r>
        <w:rPr>
          <w:rFonts w:ascii="Times New Roman" w:hAnsi="Times New Roman"/>
          <w:sz w:val="20"/>
        </w:rPr>
        <w:t>. Since the Company’s incorporation, the Company and its Subsidiaries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hAnsi="Times New Roman"/>
          <w:b/>
          <w:sz w:val="20"/>
        </w:rPr>
        <w:t>Trade Laws</w:t>
      </w:r>
      <w:r>
        <w:rPr>
          <w:rFonts w:ascii="Times New Roman" w:hAnsi="Times New Roman"/>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hAnsi="Times New Roman"/>
          <w:b/>
          <w:sz w:val="20"/>
        </w:rPr>
        <w:t>Trade Approvals</w:t>
      </w:r>
      <w:r>
        <w:rPr>
          <w:rFonts w:ascii="Times New Roman" w:hAnsi="Times New Roman"/>
          <w:sz w:val="20"/>
        </w:rPr>
        <w:t xml:space="preserve">”). There are no pending or threatened claims against the Company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33" w:name="annextoc108148_41"/>
      <w:bookmarkEnd w:id="133"/>
      <w:r>
        <w:rPr>
          <w:rFonts w:ascii="Times New Roman" w:hAnsi="Times New Roman"/>
          <w:sz w:val="20"/>
        </w:rPr>
        <w:t xml:space="preserve">Section 3.25 </w:t>
      </w:r>
      <w:r>
        <w:rPr>
          <w:rFonts w:ascii="Times New Roman" w:hAnsi="Times New Roman"/>
          <w:sz w:val="20"/>
          <w:u w:val="single"/>
        </w:rPr>
        <w:t>Ownership of Parent Capital Stock</w:t>
      </w:r>
      <w:r>
        <w:rPr>
          <w:rFonts w:ascii="Times New Roman" w:hAnsi="Times New Roman"/>
          <w:sz w:val="20"/>
        </w:rPr>
        <w:t xml:space="preserve">.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 </w:t>
      </w:r>
    </w:p>
    <w:p>
      <w:pPr>
        <w:pStyle w:val="TextBody"/>
        <w:bidi w:val="0"/>
        <w:spacing w:before="240" w:after="0"/>
        <w:jc w:val="left"/>
        <w:rPr>
          <w:rFonts w:ascii="Times New Roman" w:hAnsi="Times New Roman"/>
          <w:sz w:val="20"/>
        </w:rPr>
      </w:pPr>
      <w:bookmarkStart w:id="134" w:name="annextoc108148_42"/>
      <w:bookmarkEnd w:id="134"/>
      <w:r>
        <w:rPr>
          <w:rFonts w:ascii="Times New Roman" w:hAnsi="Times New Roman"/>
          <w:sz w:val="20"/>
        </w:rPr>
        <w:t xml:space="preserve">Section 3.26 </w:t>
      </w:r>
      <w:r>
        <w:rPr>
          <w:rFonts w:ascii="Times New Roman" w:hAnsi="Times New Roman"/>
          <w:sz w:val="20"/>
          <w:u w:val="single"/>
        </w:rPr>
        <w:t>Company Pre-Closing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delivered to Parent true, correct and complete copies of all definitive agreements related to the Company Pre-Closing Financing, including the Subscription Agreement, pursuant to which the purchasers party thereto have agreed, subject to the terms and conditions set forth therein, to purchase the shares of Company Capital Stock set forth therein in connection with the Contemplated Transactions. The Subscription Agreement has not been amended or modified prior to the date of this Agreement and, as of the date hereof, no such amendment or modification is contemplated, and the respective obligations and commitments contained in the Subscription Agreement have not been withdrawn or rescinded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other party thereto. There are no conditions precedent or other contingencies related to the funding of the full amount of the Company Pre-Closing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other party under the Subscription Agreement, and the Company has no reason to believe that any of the conditions to the Company Pre-Closing Financing will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Pre-Closing Financing has been structured and is being conducted in compliance with applicable exemptions from registration under the Securities Act, including Rule 506(b) or Rule 506(c) of Regulation D promulgated thereunder, and no “general solicitation” (within the meaning of Rule 502(c) of Regulation D) has occurred in connection with the Company Pre-Closing Financing. The structure of the Company Pre-Closing Financing does not create any integration risk (within the meaning of SEC Release No. 33-4552 or any successor guidance) with the issuance of shares of Parent Common Stock registered on the Registration Statement that would reasonably be expected to impair, delay or prevent the Registration Statement from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5" w:name="annextoc108148_43"/>
      <w:bookmarkEnd w:id="135"/>
      <w:r>
        <w:rPr>
          <w:rFonts w:ascii="Times New Roman" w:hAnsi="Times New Roman"/>
          <w:sz w:val="20"/>
        </w:rPr>
        <w:t xml:space="preserve">Section 3.27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Letter)) none of the Company, or any of its Representatives or stockholders, has relied on any such information (including the accuracy or completeness thereof). </w:t>
      </w:r>
    </w:p>
    <w:p>
      <w:pPr>
        <w:pStyle w:val="TextBody"/>
        <w:bidi w:val="0"/>
        <w:spacing w:before="480" w:after="0"/>
        <w:jc w:val="center"/>
        <w:rPr>
          <w:rFonts w:ascii="Times New Roman" w:hAnsi="Times New Roman"/>
          <w:sz w:val="20"/>
        </w:rPr>
      </w:pPr>
      <w:bookmarkStart w:id="136" w:name="annextoc108148_44"/>
      <w:bookmarkEnd w:id="136"/>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document delivered by Parent to the Company (the “</w:t>
      </w:r>
      <w:r>
        <w:rPr>
          <w:rFonts w:ascii="Times New Roman" w:hAnsi="Times New Roman"/>
          <w:b/>
          <w:sz w:val="20"/>
        </w:rPr>
        <w:t>Parent Disclosure Letter</w:t>
      </w:r>
      <w:r>
        <w:rPr>
          <w:rFonts w:ascii="Times New Roman" w:hAnsi="Times New Roman"/>
          <w:sz w:val="20"/>
        </w:rPr>
        <w:t xml:space="preserve">”)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and Merger Sub represent and warrant to the Company as follows: </w:t>
      </w:r>
    </w:p>
    <w:p>
      <w:pPr>
        <w:pStyle w:val="TextBody"/>
        <w:bidi w:val="0"/>
        <w:spacing w:before="240" w:after="0"/>
        <w:jc w:val="left"/>
        <w:rPr>
          <w:rFonts w:ascii="Times New Roman" w:hAnsi="Times New Roman"/>
          <w:sz w:val="20"/>
        </w:rPr>
      </w:pPr>
      <w:bookmarkStart w:id="137" w:name="annextoc108148_45"/>
      <w:bookmarkEnd w:id="137"/>
      <w:r>
        <w:rPr>
          <w:rFonts w:ascii="Times New Roman" w:hAnsi="Times New Roman"/>
          <w:sz w:val="20"/>
        </w:rPr>
        <w:t xml:space="preserve">Section 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is a corporation duly incorporated or formed, as applicable, validly existing and in good standing under the Laws of the jurisdiction of its incorporation or formation, as applicable,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Parent has no Subsidiaries other than Merger Sub and except as set forth on </w:t>
      </w:r>
      <w:r>
        <w:rPr>
          <w:rFonts w:ascii="Times New Roman" w:hAnsi="Times New Roman"/>
          <w:sz w:val="20"/>
          <w:u w:val="single"/>
        </w:rPr>
        <w:t>Section 4.1(c)</w:t>
      </w:r>
      <w:r>
        <w:rPr>
          <w:rFonts w:ascii="Times New Roman" w:hAnsi="Times New Roman"/>
          <w:sz w:val="20"/>
        </w:rPr>
        <w:t xml:space="preserve"> of the Parent Disclosure Letter, Parent does not own any capital stock of, or any equity ownership or profit sharing interest of any nature in, or control directly or indirectly, any other Entity other than Merger Sub. Except as set forth on </w:t>
      </w:r>
      <w:r>
        <w:rPr>
          <w:rFonts w:ascii="Times New Roman" w:hAnsi="Times New Roman"/>
          <w:sz w:val="20"/>
          <w:u w:val="single"/>
        </w:rPr>
        <w:t>Section 4.1(c)</w:t>
      </w:r>
      <w:r>
        <w:rPr>
          <w:rFonts w:ascii="Times New Roman" w:hAnsi="Times New Roman"/>
          <w:sz w:val="20"/>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8" w:name="annextoc108148_46"/>
      <w:bookmarkEnd w:id="138"/>
      <w:r>
        <w:rPr>
          <w:rFonts w:ascii="Times New Roman" w:hAnsi="Times New Roman"/>
          <w:sz w:val="20"/>
        </w:rPr>
        <w:t xml:space="preserve">Section 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Parent’s Organizational Documents. Parent is not in breach or violation of its Organizational Documents in any material respect. </w:t>
      </w:r>
    </w:p>
    <w:p>
      <w:pPr>
        <w:pStyle w:val="TextBody"/>
        <w:bidi w:val="0"/>
        <w:spacing w:before="240" w:after="0"/>
        <w:jc w:val="left"/>
        <w:rPr>
          <w:rFonts w:ascii="Times New Roman" w:hAnsi="Times New Roman"/>
          <w:sz w:val="20"/>
        </w:rPr>
      </w:pPr>
      <w:bookmarkStart w:id="139" w:name="annextoc108148_47"/>
      <w:bookmarkEnd w:id="139"/>
      <w:r>
        <w:rPr>
          <w:rFonts w:ascii="Times New Roman" w:hAnsi="Times New Roman"/>
          <w:sz w:val="20"/>
        </w:rPr>
        <w:t xml:space="preserve">Section 4.3 </w:t>
      </w:r>
      <w:r>
        <w:rPr>
          <w:rFonts w:ascii="Times New Roman" w:hAnsi="Times New Roman"/>
          <w:sz w:val="20"/>
          <w:u w:val="single"/>
        </w:rPr>
        <w:t>Authority; Binding Nature of Agreement</w:t>
      </w:r>
      <w:r>
        <w:rPr>
          <w:rFonts w:ascii="Times New Roman" w:hAnsi="Times New Roman"/>
          <w:sz w:val="20"/>
        </w:rPr>
        <w:t xml:space="preserve">. Each of Parent and Merger Sub has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the Parent to (i) approve the Parent Charter Amendment, (ii) effect the Nasdaq Reverse Split, and (iii) make such other changes as are mutually agreeable to Parent and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and the accuracy of the representation in </w:t>
      </w:r>
      <w:r>
        <w:rPr>
          <w:rFonts w:ascii="Times New Roman" w:hAnsi="Times New Roman"/>
          <w:sz w:val="20"/>
          <w:u w:val="single"/>
        </w:rPr>
        <w:t>Section 3.24</w:t>
      </w:r>
      <w:r>
        <w:rPr>
          <w:rFonts w:ascii="Times New Roman" w:hAnsi="Times New Roman"/>
          <w:sz w:val="20"/>
        </w:rPr>
        <w:t xml:space="preserve">, constitutes the legal, valid and binding obligation of Parent and Merger Sub, enforceable against each of Parent and Merger Sub in accordance with its terms, subject to the Enforceability Exceptions. </w:t>
      </w:r>
    </w:p>
    <w:p>
      <w:pPr>
        <w:pStyle w:val="TextBody"/>
        <w:bidi w:val="0"/>
        <w:spacing w:before="240" w:after="0"/>
        <w:jc w:val="left"/>
        <w:rPr>
          <w:rFonts w:ascii="Times New Roman" w:hAnsi="Times New Roman"/>
          <w:sz w:val="20"/>
        </w:rPr>
      </w:pPr>
      <w:bookmarkStart w:id="140" w:name="annextoc108148_48"/>
      <w:bookmarkEnd w:id="140"/>
      <w:r>
        <w:rPr>
          <w:rFonts w:ascii="Times New Roman" w:hAnsi="Times New Roman"/>
          <w:sz w:val="20"/>
        </w:rPr>
        <w:t xml:space="preserve">Section 4.4 </w:t>
      </w:r>
      <w:r>
        <w:rPr>
          <w:rFonts w:ascii="Times New Roman" w:hAnsi="Times New Roman"/>
          <w:sz w:val="20"/>
          <w:u w:val="single"/>
        </w:rPr>
        <w:t>Vote Required</w:t>
      </w:r>
      <w:r>
        <w:rPr>
          <w:rFonts w:ascii="Times New Roman" w:hAnsi="Times New Roman"/>
          <w:sz w:val="20"/>
        </w:rPr>
        <w:t>. (i) The affirmative vote of a majority of the shares of Parent Common Stock properly cast is the only vote of the holders of any class or series of Parent’s capital stock necessary to approve (a)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(b)</w:t>
      </w:r>
      <w:r>
        <w:rPr>
          <w:rFonts w:ascii="Times New Roman" w:hAnsi="Times New Roman"/>
          <w:sz w:val="20"/>
          <w:u w:val="single"/>
        </w:rPr>
        <w:t> clause (ii)</w:t>
      </w:r>
      <w:r>
        <w:rPr>
          <w:rFonts w:ascii="Times New Roman" w:hAnsi="Times New Roman"/>
          <w:sz w:val="20"/>
        </w:rPr>
        <w:t xml:space="preserve"> (</w:t>
      </w:r>
      <w:r>
        <w:rPr>
          <w:rFonts w:ascii="Times New Roman" w:hAnsi="Times New Roman"/>
          <w:i/>
          <w:sz w:val="20"/>
        </w:rPr>
        <w:t>Nasdaq Reverse Split</w:t>
      </w:r>
      <w:r>
        <w:rPr>
          <w:rFonts w:ascii="Times New Roman" w:hAnsi="Times New Roman"/>
          <w:sz w:val="20"/>
        </w:rPr>
        <w:t xml:space="preserve">) of the definition of “Parent Charter Amendment” and (ii) the affirmative vote of a majority of the shares of Parent Common Stock outstanding and entitled to vote thereon is the only vote of the holders of any class or series of Parent’s capital stock necessary to approve </w:t>
      </w:r>
      <w:r>
        <w:rPr>
          <w:rFonts w:ascii="Times New Roman" w:hAnsi="Times New Roman"/>
          <w:sz w:val="20"/>
          <w:u w:val="single"/>
        </w:rPr>
        <w:t>clause (iii)</w:t>
      </w:r>
      <w:r>
        <w:rPr>
          <w:rFonts w:ascii="Times New Roman" w:hAnsi="Times New Roman"/>
          <w:sz w:val="20"/>
        </w:rPr>
        <w:t xml:space="preserve"> (</w:t>
      </w:r>
      <w:r>
        <w:rPr>
          <w:rFonts w:ascii="Times New Roman" w:hAnsi="Times New Roman"/>
          <w:i/>
          <w:sz w:val="20"/>
        </w:rPr>
        <w:t>Increase in Authorized Shares</w:t>
      </w:r>
      <w:r>
        <w:rPr>
          <w:rFonts w:ascii="Times New Roman" w:hAnsi="Times New Roman"/>
          <w:sz w:val="20"/>
        </w:rPr>
        <w:t>) of the definition of “Parent Charter Amendment” (collectively, the “</w:t>
      </w:r>
      <w:r>
        <w:rPr>
          <w:rFonts w:ascii="Times New Roman" w:hAnsi="Times New Roman"/>
          <w:b/>
          <w:sz w:val="20"/>
        </w:rPr>
        <w:t>Required Parent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1" w:name="annextoc108148_49"/>
      <w:bookmarkEnd w:id="141"/>
      <w:r>
        <w:rPr>
          <w:rFonts w:ascii="Times New Roman" w:hAnsi="Times New Roman"/>
          <w:sz w:val="20"/>
        </w:rPr>
        <w:t xml:space="preserve">Section 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Parent Stockholder Vote and the filing of the Certificate of Merger required by the DGCL, and assuming the accuracy of the representation in </w:t>
      </w:r>
      <w:r>
        <w:rPr>
          <w:rFonts w:ascii="Times New Roman" w:hAnsi="Times New Roman"/>
          <w:sz w:val="20"/>
          <w:u w:val="single"/>
        </w:rPr>
        <w:t>Section 3.24</w:t>
      </w:r>
      <w:r>
        <w:rPr>
          <w:rFonts w:ascii="Times New Roman" w:hAnsi="Times New Roman"/>
          <w:sz w:val="20"/>
        </w:rPr>
        <w:t xml:space="preserve">, neither (x) the execution, delivery or performance of this Agreement by Parent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Authorization that is held by Parent or its Subsidiaries or that otherwise relates to the business of Parent, or any of the assets owned, leased or used by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4.5(a)</w:t>
      </w:r>
      <w:r>
        <w:rPr>
          <w:rFonts w:ascii="Times New Roman" w:hAnsi="Times New Roman"/>
          <w:sz w:val="20"/>
        </w:rPr>
        <w:t xml:space="preserve"> of the Parent Disclosure Letter under any Parent Contract, (ii) the Required Parent Stockholder Vote, (iii) the filing of the Certificate of Merger with the Secretary of State of the State of Delaware pursuant to the DGCL, (iv) such consents, waivers, approvals, orders, authorizations, registrations, declarations and filings as may be required under applicable federal and state securities laws, and (v) the filing of the pre-merger notification report under the HSR Act, and assuming the accuracy of the representation in </w:t>
      </w:r>
      <w:r>
        <w:rPr>
          <w:rFonts w:ascii="Times New Roman" w:hAnsi="Times New Roman"/>
          <w:sz w:val="20"/>
          <w:u w:val="single"/>
        </w:rPr>
        <w:t>Section 3.24</w:t>
      </w:r>
      <w:r>
        <w:rPr>
          <w:rFonts w:ascii="Times New Roman" w:hAnsi="Times New Roman"/>
          <w:sz w:val="20"/>
        </w:rPr>
        <w:t xml:space="preserve">,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Assuming the accuracy of the representation in </w:t>
      </w:r>
      <w:r>
        <w:rPr>
          <w:rFonts w:ascii="Times New Roman" w:hAnsi="Times New Roman"/>
          <w:sz w:val="20"/>
          <w:u w:val="single"/>
        </w:rPr>
        <w:t>Section 3.24</w:t>
      </w:r>
      <w:r>
        <w:rPr>
          <w:rFonts w:ascii="Times New Roman" w:hAnsi="Times New Roman"/>
          <w:sz w:val="20"/>
        </w:rPr>
        <w:t xml:space="preserve">,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142" w:name="annextoc108148_50"/>
      <w:bookmarkEnd w:id="142"/>
      <w:r>
        <w:rPr>
          <w:rFonts w:ascii="Times New Roman" w:hAnsi="Times New Roman"/>
          <w:sz w:val="20"/>
        </w:rPr>
        <w:t xml:space="preserve">Section 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(i) 700,000,000 shares of Parent Common Stock of which 22,474,777 shares have been issued and are outstanding as of June 15, 2026 (the “</w:t>
      </w:r>
      <w:r>
        <w:rPr>
          <w:rFonts w:ascii="Times New Roman" w:hAnsi="Times New Roman"/>
          <w:b/>
          <w:sz w:val="20"/>
        </w:rPr>
        <w:t>Capitalization Date</w:t>
      </w:r>
      <w:r>
        <w:rPr>
          <w:rFonts w:ascii="Times New Roman" w:hAnsi="Times New Roman"/>
          <w:sz w:val="20"/>
        </w:rPr>
        <w:t xml:space="preserve">”) and (ii) 70,000,000 shares of Parent Preferred Stock, par value $0.0001 per share, of which none have been designated and none are issued and outstanding as of the Capitalization Date. Parent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Parent’s 2024 Incentive Award Plan, Parent’s 2018 Equity Incentive Plan and the Parent ESPP (each as amended from time to time, collectively, the “</w:t>
      </w:r>
      <w:r>
        <w:rPr>
          <w:rFonts w:ascii="Times New Roman" w:hAnsi="Times New Roman"/>
          <w:b/>
          <w:sz w:val="20"/>
        </w:rPr>
        <w:t>Parent Stock Plans</w:t>
      </w:r>
      <w:r>
        <w:rPr>
          <w:rFonts w:ascii="Times New Roman" w:hAnsi="Times New Roman"/>
          <w:sz w:val="20"/>
        </w:rPr>
        <w:t xml:space="preserve">”), and except as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4.6(c)</w:t>
      </w:r>
      <w:r>
        <w:rPr>
          <w:rFonts w:ascii="Times New Roman" w:hAnsi="Times New Roman"/>
          <w:sz w:val="20"/>
        </w:rPr>
        <w:t xml:space="preserve"> of the Parent Disclosure Letter, Parent does not have any stock option plan or any other plan, program, agreement or arrangement providing for any equity-based compensation for any Person. As of the Capitalization Date, Parent has reserved 8,134,149 shares of Parent Common Stock for issuance to officers, directors, employees and consultants of Parent pursuant to the Parent Stock Plans. As of the Capitalization Date, except for the outstanding Parent Options, there are no other equity awards in issuance and 3,199,292 shares of Parent Common Stock remain available for future issuance pursuant to the Parent Stock Plans. Section 4.6(c) of the Parent Disclosure Letter sets forth the following information with respect to each Parent Option outstanding as of the Capitalization Date, as applicable: (i) the name of the holder, (ii) the number of shares of Parent Common Stock subject to such Parent Option as of the Capitalization Date, (iii) the exercise price of such Parent Option, (iv) the date on which such Parent Option was granted, (v) the applicable vesting schedule, including any acceleration provisions, (vi) whether such Parent Option is intended to be an “incentive stock option” (as defined in the Code) or a nonqualified stock option, and (vii) the plan pursuant to which such Parent Option was granted.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outstanding Parent Options, or as set forth on </w:t>
      </w:r>
      <w:r>
        <w:rPr>
          <w:rFonts w:ascii="Times New Roman" w:hAnsi="Times New Roman"/>
          <w:sz w:val="20"/>
          <w:u w:val="single"/>
        </w:rPr>
        <w:t>Section 4.6(d)</w:t>
      </w:r>
      <w:r>
        <w:rPr>
          <w:rFonts w:ascii="Times New Roman" w:hAnsi="Times New Roman"/>
          <w:sz w:val="20"/>
        </w:rPr>
        <w:t xml:space="preserve"> of the Parent Disclosure Letter, there is no: (i) outstanding subscription, option, call, warrant or right (whether or not currently exercisable) to acquire any shares of the capital stock or other securities of Parent, (ii) outstanding security, instrument or obligation that is or may become convertible into or exchangeable for any shares of the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Options, and other securities of Parent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(f) With respect to Parent Options granted pursuant to the Parent Stock Plans, (i) each grant of a Parent Option was duly authorized no later than the date on which the grant of such Parent Option was by its terms to be effective (the “</w:t>
      </w:r>
      <w:r>
        <w:rPr>
          <w:rFonts w:ascii="Times New Roman" w:hAnsi="Times New Roman"/>
          <w:b/>
          <w:sz w:val="20"/>
        </w:rPr>
        <w:t>Parent Grant Date</w:t>
      </w:r>
      <w:r>
        <w:rPr>
          <w:rFonts w:ascii="Times New Roman" w:hAnsi="Times New Roman"/>
          <w:sz w:val="20"/>
        </w:rPr>
        <w:t xml:space="preserv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 </w:t>
      </w:r>
    </w:p>
    <w:p>
      <w:pPr>
        <w:pStyle w:val="TextBody"/>
        <w:bidi w:val="0"/>
        <w:spacing w:before="240" w:after="0"/>
        <w:jc w:val="left"/>
        <w:rPr>
          <w:rFonts w:ascii="Times New Roman" w:hAnsi="Times New Roman"/>
          <w:sz w:val="20"/>
        </w:rPr>
      </w:pPr>
      <w:bookmarkStart w:id="143" w:name="annextoc108148_51"/>
      <w:bookmarkEnd w:id="143"/>
      <w:r>
        <w:rPr>
          <w:rFonts w:ascii="Times New Roman" w:hAnsi="Times New Roman"/>
          <w:sz w:val="20"/>
        </w:rPr>
        <w:t xml:space="preserve">Section 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has filed or furnished, as applicable, on a timely basis all forms, statements, certifications, reports and documents required to be filed or furnished by it with the SEC under the Exchange Act or the Securities Act since January 1, 2024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Parent Disclosure Letter,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bookmarkStart w:id="144" w:name="annextoc108148_52"/>
      <w:bookmarkEnd w:id="144"/>
      <w:r>
        <w:rPr>
          <w:rFonts w:ascii="Times New Roman" w:hAnsi="Times New Roman"/>
          <w:sz w:val="20"/>
        </w:rPr>
        <w:t xml:space="preserve">Section 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Letter, between March 31, 2026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45" w:name="annextoc108148_53"/>
      <w:bookmarkEnd w:id="145"/>
      <w:r>
        <w:rPr>
          <w:rFonts w:ascii="Times New Roman" w:hAnsi="Times New Roman"/>
          <w:sz w:val="20"/>
        </w:rPr>
        <w:t xml:space="preserve">Section 4.9 </w:t>
      </w:r>
      <w:r>
        <w:rPr>
          <w:rFonts w:ascii="Times New Roman" w:hAnsi="Times New Roman"/>
          <w:sz w:val="20"/>
          <w:u w:val="single"/>
        </w:rPr>
        <w:t>Absence of Undisclosed Liabilities</w:t>
      </w:r>
      <w:r>
        <w:rPr>
          <w:rFonts w:ascii="Times New Roman" w:hAnsi="Times New Roman"/>
          <w:sz w:val="20"/>
        </w:rPr>
        <w:t xml:space="preserve">. Since March 31, 2026, neither Parent nor any of its Subsidiaries has any Liability, in each case, of a type whether or not required to be reflected or reserved for on a balance sheet prepared in accordance with GAAP,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or any Parent Legacy Transaction, and (e) Liabilities described in </w:t>
      </w:r>
      <w:r>
        <w:rPr>
          <w:rFonts w:ascii="Times New Roman" w:hAnsi="Times New Roman"/>
          <w:sz w:val="20"/>
          <w:u w:val="single"/>
        </w:rPr>
        <w:t>Section 4.9</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46" w:name="annextoc108148_54"/>
      <w:bookmarkEnd w:id="146"/>
      <w:r>
        <w:rPr>
          <w:rFonts w:ascii="Times New Roman" w:hAnsi="Times New Roman"/>
          <w:sz w:val="20"/>
        </w:rPr>
        <w:t xml:space="preserve">Section 4.10 </w:t>
      </w:r>
      <w:r>
        <w:rPr>
          <w:rFonts w:ascii="Times New Roman" w:hAnsi="Times New Roman"/>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as being owned by Parent. All of such assets are owned or, in the case of leased assets, leased by Parent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147" w:name="annextoc108148_55"/>
      <w:bookmarkEnd w:id="147"/>
      <w:r>
        <w:rPr>
          <w:rFonts w:ascii="Times New Roman" w:hAnsi="Times New Roman"/>
          <w:sz w:val="20"/>
        </w:rPr>
        <w:t xml:space="preserve">Section 4.11 </w:t>
      </w:r>
      <w:r>
        <w:rPr>
          <w:rFonts w:ascii="Times New Roman" w:hAnsi="Times New Roman"/>
          <w:sz w:val="20"/>
          <w:u w:val="single"/>
        </w:rPr>
        <w:t>Real Property; Leasehold</w:t>
      </w:r>
      <w:r>
        <w:rPr>
          <w:rFonts w:ascii="Times New Roman" w:hAnsi="Times New Roman"/>
          <w:sz w:val="20"/>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hAnsi="Times New Roman"/>
          <w:b/>
          <w:sz w:val="20"/>
        </w:rPr>
        <w:t>Parent Real Estate Leases</w:t>
      </w:r>
      <w:r>
        <w:rPr>
          <w:rFonts w:ascii="Times New Roman" w:hAnsi="Times New Roman"/>
          <w:sz w:val="20"/>
        </w:rPr>
        <w:t xml:space="preserve">”), each of which is in full force and effect, with no existing material default thereunder by Parent or its Subsidiaries or, to Parent’s Knowledge, the other party thereto. </w:t>
      </w:r>
    </w:p>
    <w:p>
      <w:pPr>
        <w:pStyle w:val="TextBody"/>
        <w:bidi w:val="0"/>
        <w:spacing w:before="240" w:after="0"/>
        <w:jc w:val="left"/>
        <w:rPr>
          <w:rFonts w:ascii="Times New Roman" w:hAnsi="Times New Roman"/>
          <w:sz w:val="20"/>
        </w:rPr>
      </w:pPr>
      <w:bookmarkStart w:id="148" w:name="annextoc108148_56"/>
      <w:bookmarkEnd w:id="148"/>
      <w:r>
        <w:rPr>
          <w:rFonts w:ascii="Times New Roman" w:hAnsi="Times New Roman"/>
          <w:sz w:val="20"/>
        </w:rPr>
        <w:t xml:space="preserve">Section 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Letter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Letter accurately identifies (i) all Parent Contracts pursuant to which any Parent IP Rights are licensed to Parent (other than Excepted Contracts) and (ii) whether the license or licenses granted to Parent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(d) Parent or one of its Subsidiaries exclusively owns all right, title, and interest to and in the Parent Registered IP (other than Excepted Contracts),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any of its Subsidiaries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each of its Subsidiaries has taken reasonable steps to maintain the confidentiality of and otherwise protect and enforce its rights in all proprietary information that Parent or such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Parent or any of its Subsidiaries has not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Parent has delivered, or made available to the Company, a complete and accurate copy of all material Parent IP Rights Agreements. With respect to each of the Parent IP Rights Agreements: (i) each such agreement is valid and binding on the Parent and in full force and effect, (ii) Parent has not received any written notice of termination or cancellation under such agreement, or received any written notice of breach or default under such agreement, which breach has not been cured or waived and (iii) Parent, and to the Knowledge of Parent,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Parent,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Parent or its licensors is not a party to any Legal Proceeding (including, but not limited to, opposition, interference or other proceeding in any patent or other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 contesting the validity, ownership or right to use, sell, offer for sale, license or dispose of any Parent Registered IP. Parent or its licensors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(h) Each item of Parent Registered IP is and at all times has been filed and maintained in compliance in all material respects with all applicable Law and all filings, payments and other actions required to be made or taken to maintain such item of Parent Registered IP in full force and effect have been made by the applicable deadline. All Parent Registered IP is subsisting, and to the Knowledge of the Parent, all Parent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Parent, no registered trademark or trade name owned, used or applied for by Parent conflicts or interferes with any registered trademark or trade name owned, used or applied for by any other Person except as would not have a Parent Material Adverse Effect. None of the goodwill associated with or inherent in any registered trademark in which Parent has or purports to have an ownership interest has been impaired as determined by Parent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(j) Except as may be set forth in the Contracts listed on </w:t>
      </w:r>
      <w:r>
        <w:rPr>
          <w:rFonts w:ascii="Times New Roman" w:hAnsi="Times New Roman"/>
          <w:sz w:val="20"/>
          <w:u w:val="single"/>
        </w:rPr>
        <w:t>Section 4.12(b)</w:t>
      </w:r>
      <w:r>
        <w:rPr>
          <w:rFonts w:ascii="Times New Roman" w:hAnsi="Times New Roman"/>
          <w:sz w:val="20"/>
        </w:rPr>
        <w:t xml:space="preserve">, </w:t>
      </w:r>
      <w:r>
        <w:rPr>
          <w:rFonts w:ascii="Times New Roman" w:hAnsi="Times New Roman"/>
          <w:sz w:val="20"/>
          <w:u w:val="single"/>
        </w:rPr>
        <w:t>4.12(c)</w:t>
      </w:r>
      <w:r>
        <w:rPr>
          <w:rFonts w:ascii="Times New Roman" w:hAnsi="Times New Roman"/>
          <w:sz w:val="20"/>
        </w:rPr>
        <w:t xml:space="preserve"> or </w:t>
      </w:r>
      <w:r>
        <w:rPr>
          <w:rFonts w:ascii="Times New Roman" w:hAnsi="Times New Roman"/>
          <w:sz w:val="20"/>
          <w:u w:val="single"/>
        </w:rPr>
        <w:t>4.12(k)</w:t>
      </w:r>
      <w:r>
        <w:rPr>
          <w:rFonts w:ascii="Times New Roman" w:hAnsi="Times New Roman"/>
          <w:sz w:val="20"/>
        </w:rPr>
        <w:t xml:space="preserve"> of the Parent Disclosure Letter or as contained in license, distribution or service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Corporation and its Subsidiaries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any other provisions of this Agreement, Company acknowledges and agrees that the representations and warranties contained in this </w:t>
      </w:r>
      <w:r>
        <w:rPr>
          <w:rFonts w:ascii="Times New Roman" w:hAnsi="Times New Roman"/>
          <w:sz w:val="20"/>
          <w:u w:val="single"/>
        </w:rPr>
        <w:t>Section 4.12</w:t>
      </w:r>
      <w:r>
        <w:rPr>
          <w:rFonts w:ascii="Times New Roman" w:hAnsi="Times New Roman"/>
          <w:sz w:val="20"/>
        </w:rPr>
        <w:t xml:space="preserve"> are the only representations or warranties made by Parent with respect to Intellectual Property, and no other provisions of this Agreement shall be interpreted as containing any representation or warranty with respect thereto. </w:t>
      </w:r>
    </w:p>
    <w:p>
      <w:pPr>
        <w:pStyle w:val="TextBody"/>
        <w:bidi w:val="0"/>
        <w:spacing w:before="240" w:after="0"/>
        <w:jc w:val="left"/>
        <w:rPr>
          <w:rFonts w:ascii="Times New Roman" w:hAnsi="Times New Roman"/>
          <w:sz w:val="20"/>
        </w:rPr>
      </w:pPr>
      <w:bookmarkStart w:id="149" w:name="annextoc108148_57"/>
      <w:bookmarkEnd w:id="149"/>
      <w:r>
        <w:rPr>
          <w:rFonts w:ascii="Times New Roman" w:hAnsi="Times New Roman"/>
          <w:sz w:val="20"/>
        </w:rPr>
        <w:t xml:space="preserve">Section 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Excepted Contracts, and any Parent Employee Plans (or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r>
        <w:rPr>
          <w:rFonts w:ascii="Times New Roman" w:hAnsi="Times New Roman"/>
          <w:sz w:val="20"/>
          <w:u w:val="single"/>
        </w:rPr>
        <w:t>Section 4.13</w:t>
      </w:r>
      <w:r>
        <w:rPr>
          <w:rFonts w:ascii="Times New Roman" w:hAnsi="Times New Roman"/>
          <w:sz w:val="20"/>
        </w:rPr>
        <w:t xml:space="preserve"> of the Parent Disclosure Letter identifies each Parent Contract identified below that is in effect as of the date of this Agreement (each, a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relating to any material bonus, deferred compensation, severance, incentive compensation, pension, profit-sharing or retirement plans, or any other employee benefit plans or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relating to any agreement or plan, including any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containing any royalty, dividend or similar arrangement based on the revenues or profits of Parent,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entered into in settlement of any Legal Proceeding or other dispute pursuant to which Parent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(xii)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each Parent Contract with any Person, including any financial advisor, broker, finder, investment banker or other Person, providing advisory services to Parent in connection with the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and requiring payments by Parent after the date of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(xiv)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(xv) any Parent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(xvi)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Letter; or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bookmarkStart w:id="150" w:name="annextoc108148_58"/>
      <w:bookmarkEnd w:id="150"/>
      <w:r>
        <w:rPr>
          <w:rFonts w:ascii="Times New Roman" w:hAnsi="Times New Roman"/>
          <w:sz w:val="20"/>
        </w:rPr>
        <w:t xml:space="preserve">Section 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is, and since January 1, 2024, has been in compliance with all applicable Laws, except where the failure to so comply would not, whether individually or in the aggregate, reasonably be expected to have a Parent Material Adverse Effect. No investigation, claim, suit, proceeding, audit, Order or other action by any Governmental Authority is pending or, to the Knowledge of Parent, threatened against Parent or any of its Subsidiaries, which if determined unfavorably to such Person would reasonably be expected to have a Parent Material Adverse Effect.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Subsidiaries holds all required Governmental Authorizations that are material to the operation of the business of Parent and Merger Sub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Surviving Corporation immediately after the Effective Time on terms substantially identical to those enjoyed by Parent and its Subsidiaries as of the date of this Agreement and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any of its Subsidiaries of the FDCA, PHSA,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Each of Parent and its Subsidiaries holds all material required Governmental Authorizations issuable by any Drug/Device Regulatory Agency necessary for the conduct of the business of Parent and Merger Sub as currently conducted, and, as applicable, the development, testing, manufacturing, processing, storage, labeling, sale, marketing, advertising, distribution and importation or exportation, in each case as currently conducted, of any of its product candidates (the “</w:t>
      </w:r>
      <w:r>
        <w:rPr>
          <w:rFonts w:ascii="Times New Roman" w:hAnsi="Times New Roman"/>
          <w:b/>
          <w:sz w:val="20"/>
        </w:rPr>
        <w:t>Parent Product Candidates</w:t>
      </w:r>
      <w:r>
        <w:rPr>
          <w:rFonts w:ascii="Times New Roman" w:hAnsi="Times New Roman"/>
          <w:sz w:val="20"/>
        </w:rPr>
        <w:t>” and, collectively, the “</w:t>
      </w:r>
      <w:r>
        <w:rPr>
          <w:rFonts w:ascii="Times New Roman" w:hAnsi="Times New Roman"/>
          <w:b/>
          <w:sz w:val="20"/>
        </w:rPr>
        <w:t>Parent Regulatory Permits</w:t>
      </w:r>
      <w:r>
        <w:rPr>
          <w:rFonts w:ascii="Times New Roman" w:hAnsi="Times New Roman"/>
          <w:sz w:val="20"/>
        </w:rPr>
        <w:t xml:space="preserve">”) and since January 1, 2024 no such Parent Regulatory Permit has been (i) revoked, withdrawn, suspended, cancelled or terminated or (ii) modified in any adverse manner other than immaterial adverse modifications. Parent has maintained and is in compliance in all material respects with the terms of such Parent Regulatory Permits and neither Parent nor or any of its Subsidiaries has, since January 1, 2024,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w:t>
      </w:r>
    </w:p>
    <w:p>
      <w:pPr>
        <w:pStyle w:val="TextBody"/>
        <w:bidi w:val="0"/>
        <w:spacing w:before="240" w:after="0"/>
        <w:jc w:val="left"/>
        <w:rPr>
          <w:rFonts w:ascii="Times New Roman" w:hAnsi="Times New Roman"/>
          <w:sz w:val="20"/>
        </w:rPr>
      </w:pPr>
      <w:r>
        <w:rPr>
          <w:rFonts w:ascii="Times New Roman" w:hAnsi="Times New Roman"/>
          <w:sz w:val="20"/>
        </w:rPr>
        <w:t>(e) All clinical, pre-clinical and other studies and tests conducted by or on behalf of, or sponsored by, Parent or its Subsidiaries, in which Parent or its Subsidiaries or their respective product candidates, including the Parent Product Candidates, have participated (collectively “</w:t>
      </w:r>
      <w:r>
        <w:rPr>
          <w:rFonts w:ascii="Times New Roman" w:hAnsi="Times New Roman"/>
          <w:b/>
          <w:sz w:val="20"/>
        </w:rPr>
        <w:t>Parent Studies</w:t>
      </w:r>
      <w:r>
        <w:rPr>
          <w:rFonts w:ascii="Times New Roman" w:hAnsi="Times New Roman"/>
          <w:sz w:val="20"/>
        </w:rPr>
        <w:t xml:space="preserve">”) were, since January 1, 2024, and, if still pending, are being conducted in accordance in all material respects with any applicable regulations of the Drug/Device Regulatory Agencies and other applicable Law to which such Parent Studies are or were subject. Since January 1, 2024,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such Parent Studies, other than ordinary course communications regarding the design and implementation of such Parent Studies. Further, no clinical investigator, researcher or clinical staff participating in any Parent Study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the Application Integrity Policy or by any other Drug/Device Regulatory Agency under a comparable policy. Since January 1, 2024, neither Parent, nor any of its officers, directors, employees or, to the Knowledge of Parent, agents have been debarred or excluded from participation in any federal healthcare programs. Since January 1, 2024, neither Parent nor any of its Subsidiaries and, to the Knowledge of Parent, nor their respective officers, employees, agents, or contract manufacturers with respect to any Parent Product Candidate has committed any acts, made any statement or failed to make any statement, in each case in respect of its business or products that would violate the Application Integrity Policy or any comparable policy. None of Parent, any of its Subsidiaries, and to the Knowledge of Parent, any of their respective officers, employees, agents or contract manufacturers with respect to any Parent Product Candidate is currently or has been debarred, convicted of any crime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of their respective officers, employees, agents, or contract manufacturers with respect to any Parent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Subsidiaries in connection with any Parent Product Candidate, since January 1, 2024, have been and are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conducted in compliance in all material respects with applicable Laws, including to the extent applicable, the PHSA, the FDCA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any of its Subsidiaries, and to the Knowledge of Parent, any manufacturing site of a contract manufacturer or laboratory, in each case with respect to such parties’ or site’s activities conducted with respect to any Parent Product Candidate, (i) is subject to a Drug/Device Regulatory Agency shutdown or import or export prohibition or (ii) has since January 1, 2024,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has threatened such action. </w:t>
      </w:r>
    </w:p>
    <w:p>
      <w:pPr>
        <w:pStyle w:val="TextBody"/>
        <w:bidi w:val="0"/>
        <w:spacing w:before="240" w:after="0"/>
        <w:jc w:val="left"/>
        <w:rPr>
          <w:rFonts w:ascii="Times New Roman" w:hAnsi="Times New Roman"/>
          <w:sz w:val="20"/>
        </w:rPr>
      </w:pPr>
      <w:bookmarkStart w:id="151" w:name="annextoc108148_59"/>
      <w:bookmarkEnd w:id="151"/>
      <w:r>
        <w:rPr>
          <w:rFonts w:ascii="Times New Roman" w:hAnsi="Times New Roman"/>
          <w:sz w:val="20"/>
        </w:rPr>
        <w:t xml:space="preserve">Section 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w:t>
      </w:r>
      <w:r>
        <w:rPr>
          <w:rFonts w:ascii="Times New Roman" w:hAnsi="Times New Roman"/>
          <w:sz w:val="20"/>
        </w:rPr>
        <w:t xml:space="preserve"> of the Parent Disclosure Letter,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 </w:t>
      </w:r>
    </w:p>
    <w:p>
      <w:pPr>
        <w:pStyle w:val="TextBody"/>
        <w:bidi w:val="0"/>
        <w:spacing w:before="240" w:after="0"/>
        <w:jc w:val="left"/>
        <w:rPr>
          <w:rFonts w:ascii="Times New Roman" w:hAnsi="Times New Roman"/>
          <w:sz w:val="20"/>
        </w:rPr>
      </w:pPr>
      <w:bookmarkStart w:id="152" w:name="annextoc108148_60"/>
      <w:bookmarkEnd w:id="152"/>
      <w:r>
        <w:rPr>
          <w:rFonts w:ascii="Times New Roman" w:hAnsi="Times New Roman"/>
          <w:sz w:val="20"/>
        </w:rPr>
        <w:t xml:space="preserve">Section 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and each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than Encumbrances described in </w:t>
      </w:r>
      <w:r>
        <w:rPr>
          <w:rFonts w:ascii="Times New Roman" w:hAnsi="Times New Roman"/>
          <w:sz w:val="20"/>
          <w:u w:val="single"/>
        </w:rPr>
        <w:t>clause (i)</w:t>
      </w:r>
      <w:r>
        <w:rPr>
          <w:rFonts w:ascii="Times New Roman" w:hAnsi="Times New Roman"/>
          <w:sz w:val="20"/>
        </w:rPr>
        <w:t xml:space="preserve"> of the definition of “Permitted Encumbrances”) upon any of the assets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is aware of any facts or circumstances or has taken or agreed to take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153" w:name="annextoc108148_61"/>
      <w:bookmarkEnd w:id="153"/>
      <w:r>
        <w:rPr>
          <w:rFonts w:ascii="Times New Roman" w:hAnsi="Times New Roman"/>
          <w:sz w:val="20"/>
        </w:rPr>
        <w:t xml:space="preserve">Section 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ERISA Affiliates maintains, contributes to or is required to contribute to, or has, in the past six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incurred in the past six years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(l) Parent has no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To the Knowledge of Parent, within the past three years there has not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Parent is not, nor has Parent been in the past three years,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Parent or any of its Subsidiaries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Parent or any of its Subsidiaries. </w:t>
      </w:r>
    </w:p>
    <w:p>
      <w:pPr>
        <w:pStyle w:val="TextBody"/>
        <w:bidi w:val="0"/>
        <w:spacing w:before="240" w:after="0"/>
        <w:jc w:val="left"/>
        <w:rPr>
          <w:rFonts w:ascii="Times New Roman" w:hAnsi="Times New Roman"/>
          <w:sz w:val="20"/>
        </w:rPr>
      </w:pPr>
      <w:bookmarkStart w:id="154" w:name="annextoc108148_62"/>
      <w:bookmarkEnd w:id="154"/>
      <w:r>
        <w:rPr>
          <w:rFonts w:ascii="Times New Roman" w:hAnsi="Times New Roman"/>
          <w:sz w:val="20"/>
        </w:rPr>
        <w:t xml:space="preserve">Section 4.18 </w:t>
      </w:r>
      <w:r>
        <w:rPr>
          <w:rFonts w:ascii="Times New Roman" w:hAnsi="Times New Roman"/>
          <w:sz w:val="20"/>
          <w:u w:val="single"/>
        </w:rPr>
        <w:t>Environmental Matters</w:t>
      </w:r>
      <w:r>
        <w:rPr>
          <w:rFonts w:ascii="Times New Roman" w:hAnsi="Times New Roman"/>
          <w:sz w:val="20"/>
        </w:rPr>
        <w:t xml:space="preserve">. Since January 1, 2024,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2024,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2024,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 </w:t>
      </w:r>
    </w:p>
    <w:p>
      <w:pPr>
        <w:pStyle w:val="TextBody"/>
        <w:bidi w:val="0"/>
        <w:spacing w:before="240" w:after="0"/>
        <w:jc w:val="left"/>
        <w:rPr>
          <w:rFonts w:ascii="Times New Roman" w:hAnsi="Times New Roman"/>
          <w:sz w:val="20"/>
        </w:rPr>
      </w:pPr>
      <w:bookmarkStart w:id="155" w:name="annextoc108148_63"/>
      <w:bookmarkEnd w:id="155"/>
      <w:r>
        <w:rPr>
          <w:rFonts w:ascii="Times New Roman" w:hAnsi="Times New Roman"/>
          <w:sz w:val="20"/>
        </w:rPr>
        <w:t xml:space="preserve">Section 4.19 </w:t>
      </w:r>
      <w:r>
        <w:rPr>
          <w:rFonts w:ascii="Times New Roman" w:hAnsi="Times New Roman"/>
          <w:sz w:val="20"/>
          <w:u w:val="single"/>
        </w:rPr>
        <w:t>Insurance</w:t>
      </w:r>
      <w:r>
        <w:rPr>
          <w:rFonts w:ascii="Times New Roman" w:hAnsi="Times New Roman"/>
          <w:sz w:val="20"/>
        </w:rPr>
        <w:t xml:space="preserve">. Parent has delivered to the Company accurate and complete copies of all material insurance policies and all material self-insurance programs and arrangements relating to the business, assets, liabilities and operations of Parent and its Subsidiaries (including Merger Sub). Each of such insurance policies is in full force and effect and Parent and its Subsidiaries (including Merger Sub) are in compliance in all material respects with the terms thereof. Other than customary end of policy notifications from insurance carriers, since January 1, 2024, neither Parent nor any of its Subsidiaries has received any notice or other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any actual or possible: (i) cancellation or invalidation of any insurance policy or (ii) refusal or denial of any coverage, reservation of rights or rejection of any material claim under any insurance policy. Each of Parent and its Subsidiaries (including Merger Sub)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bookmarkStart w:id="156" w:name="annextoc108148_64"/>
      <w:bookmarkEnd w:id="156"/>
      <w:r>
        <w:rPr>
          <w:rFonts w:ascii="Times New Roman" w:hAnsi="Times New Roman"/>
          <w:sz w:val="20"/>
        </w:rPr>
        <w:t xml:space="preserve">Section 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 w:hAnsi="Times New Roman"/>
          <w:sz w:val="20"/>
          <w:u w:val="single"/>
        </w:rPr>
        <w:t>Section 4.20</w:t>
      </w:r>
      <w:r>
        <w:rPr>
          <w:rFonts w:ascii="Times New Roman" w:hAnsi="Times New Roman"/>
          <w:sz w:val="20"/>
        </w:rPr>
        <w:t xml:space="preserve"> of the Parent Disclosure Letter identifies each Person who is (or who may be deemed to be) an Affiliate of Parent as of the date of this Agreement. </w:t>
      </w:r>
    </w:p>
    <w:p>
      <w:pPr>
        <w:pStyle w:val="TextBody"/>
        <w:bidi w:val="0"/>
        <w:spacing w:before="240" w:after="0"/>
        <w:jc w:val="left"/>
        <w:rPr>
          <w:rFonts w:ascii="Times New Roman" w:hAnsi="Times New Roman"/>
          <w:sz w:val="20"/>
        </w:rPr>
      </w:pPr>
      <w:bookmarkStart w:id="157" w:name="annextoc108148_65"/>
      <w:bookmarkEnd w:id="157"/>
      <w:r>
        <w:rPr>
          <w:rFonts w:ascii="Times New Roman" w:hAnsi="Times New Roman"/>
          <w:sz w:val="20"/>
        </w:rPr>
        <w:t xml:space="preserve">Section 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bookmarkStart w:id="158" w:name="annextoc108148_66"/>
      <w:bookmarkEnd w:id="158"/>
      <w:r>
        <w:rPr>
          <w:rFonts w:ascii="Times New Roman" w:hAnsi="Times New Roman"/>
          <w:sz w:val="20"/>
        </w:rPr>
        <w:t xml:space="preserve">Section 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The Parent Common Stock issuable upon exercise of any Assumed Warrant has been duly reserved for issuance, and upon issuance in accordance with the terms of the applicable Assumed Warrant, will be validly issued, fully paid and nonassessable. </w:t>
      </w:r>
    </w:p>
    <w:p>
      <w:pPr>
        <w:pStyle w:val="TextBody"/>
        <w:bidi w:val="0"/>
        <w:spacing w:before="240" w:after="0"/>
        <w:jc w:val="left"/>
        <w:rPr>
          <w:rFonts w:ascii="Times New Roman" w:hAnsi="Times New Roman"/>
          <w:sz w:val="20"/>
        </w:rPr>
      </w:pPr>
      <w:bookmarkStart w:id="159" w:name="annextoc108148_67"/>
      <w:bookmarkEnd w:id="159"/>
      <w:r>
        <w:rPr>
          <w:rFonts w:ascii="Times New Roman" w:hAnsi="Times New Roman"/>
          <w:sz w:val="20"/>
        </w:rPr>
        <w:t xml:space="preserve">Section 4.23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past three years, each of Parent and its Subsidiaries have complied with all (i) applicable Privacy Laws, (ii) Parents and its Subsidiaries published and posted policies relating to Parent and its Subsidiaries’ processing of Personal Information, as applicable to each of Parent and any of its Subsidiaries; and (iii) applicable terms of any Parent Contracts relating to privacy, security, collection or use of Personal Information (“</w:t>
      </w:r>
      <w:r>
        <w:rPr>
          <w:rFonts w:ascii="Times New Roman" w:hAnsi="Times New Roman"/>
          <w:b/>
          <w:sz w:val="20"/>
        </w:rPr>
        <w:t>Parent Data Protection Requirements</w:t>
      </w:r>
      <w:r>
        <w:rPr>
          <w:rFonts w:ascii="Times New Roman" w:hAnsi="Times New Roman"/>
          <w:sz w:val="20"/>
        </w:rPr>
        <w:t xml:space="preserve">”), except for such noncompliance as has not had, and would not reasonably be expected to have, individually or in the aggregate, a Parent Material Adverse Effect. To the Knowledge of Parent, during the past three years, no claims have been asserted or threatened in writing against Parent or any Subsidiary by any Person alleging a material violation of the Parent Data Protection Requirements. To the Knowledge of Parent, there have been no personal data breaches compromising Personal Information in the custody or control of Parent or its Subsidiaries or any service provider acting on behalf of Parent, except as has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The information technology assets and equipment of Parent and its Subsidiaries (collectively, “</w:t>
      </w:r>
      <w:r>
        <w:rPr>
          <w:rFonts w:ascii="Times New Roman" w:hAnsi="Times New Roman"/>
          <w:b/>
          <w:sz w:val="20"/>
        </w:rPr>
        <w:t>Parent IT Systems</w:t>
      </w:r>
      <w:r>
        <w:rPr>
          <w:rFonts w:ascii="Times New Roman" w:hAnsi="Times New Roman"/>
          <w:sz w:val="20"/>
        </w:rPr>
        <w:t xml:space="preserve">”) are adequate for, and operate and perform in all material respects as required in connection with the operation of the business of Parent and its Subsidiaries as currently conducted, and to the Knowledge of Parent, free and clear of all material bugs, errors, defects, Trojan horses, time bombs, malware and other corruptants. Parent and its Subsidiaries have implemented and maintain commercially reasonable physical, technical and administrative safeguards to protect Personal Information processed by Parent and its Subsidiaries, any other material confidential information and the integrity and security of Parent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bookmarkStart w:id="160" w:name="annextoc108148_68"/>
      <w:bookmarkEnd w:id="160"/>
      <w:r>
        <w:rPr>
          <w:rFonts w:ascii="Times New Roman" w:hAnsi="Times New Roman"/>
          <w:sz w:val="20"/>
        </w:rPr>
        <w:t xml:space="preserve">Section 4.24 </w:t>
      </w:r>
      <w:r>
        <w:rPr>
          <w:rFonts w:ascii="Times New Roman" w:hAnsi="Times New Roman"/>
          <w:sz w:val="20"/>
          <w:u w:val="single"/>
        </w:rPr>
        <w:t>Certain Payments</w:t>
      </w:r>
      <w:r>
        <w:rPr>
          <w:rFonts w:ascii="Times New Roman" w:hAnsi="Times New Roman"/>
          <w:sz w:val="20"/>
        </w:rPr>
        <w:t xml:space="preserve">. Since January 1, 2021, neither Parent nor any of its Subsidiaries nor, to the Knowledge of Parent, any of their respective directors, executives, Representatives, agents or employees (a)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 </w:t>
      </w:r>
    </w:p>
    <w:p>
      <w:pPr>
        <w:pStyle w:val="TextBody"/>
        <w:bidi w:val="0"/>
        <w:spacing w:before="240" w:after="0"/>
        <w:jc w:val="left"/>
        <w:rPr>
          <w:rFonts w:ascii="Times New Roman" w:hAnsi="Times New Roman"/>
          <w:sz w:val="20"/>
        </w:rPr>
      </w:pPr>
      <w:bookmarkStart w:id="161" w:name="annextoc108148_69"/>
      <w:bookmarkEnd w:id="161"/>
      <w:r>
        <w:rPr>
          <w:rFonts w:ascii="Times New Roman" w:hAnsi="Times New Roman"/>
          <w:sz w:val="20"/>
        </w:rPr>
        <w:t xml:space="preserve">Section 4.25 </w:t>
      </w:r>
      <w:r>
        <w:rPr>
          <w:rFonts w:ascii="Times New Roman" w:hAnsi="Times New Roman"/>
          <w:sz w:val="20"/>
          <w:u w:val="single"/>
        </w:rPr>
        <w:t>Trade Control Laws</w:t>
      </w:r>
      <w:r>
        <w:rPr>
          <w:rFonts w:ascii="Times New Roman" w:hAnsi="Times New Roman"/>
          <w:sz w:val="20"/>
        </w:rPr>
        <w:t xml:space="preserve">. Since January 1, 2021,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62" w:name="annextoc108148_70"/>
      <w:bookmarkEnd w:id="162"/>
      <w:r>
        <w:rPr>
          <w:rFonts w:ascii="Times New Roman" w:hAnsi="Times New Roman"/>
          <w:sz w:val="20"/>
        </w:rPr>
        <w:t xml:space="preserve">Section 4.26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Parent,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Letter)) none of Parent, Merger Sub nor any of their respective Representatives or stockholders, has relied on any such information (including the accuracy or completeness thereof). </w:t>
      </w:r>
    </w:p>
    <w:p>
      <w:pPr>
        <w:pStyle w:val="TextBody"/>
        <w:bidi w:val="0"/>
        <w:spacing w:before="480" w:after="0"/>
        <w:jc w:val="center"/>
        <w:rPr>
          <w:rFonts w:ascii="Times New Roman" w:hAnsi="Times New Roman"/>
          <w:sz w:val="22"/>
        </w:rPr>
      </w:pPr>
      <w:bookmarkStart w:id="163" w:name="annextoc108148_71"/>
      <w:bookmarkEnd w:id="163"/>
      <w:r>
        <w:rPr>
          <w:rFonts w:ascii="Times New Roman" w:hAnsi="Times New Roman"/>
          <w:sz w:val="22"/>
        </w:rPr>
        <w:t xml:space="preserve">ARTICLE V. </w:t>
      </w:r>
    </w:p>
    <w:p>
      <w:pPr>
        <w:pStyle w:val="TextBody"/>
        <w:bidi w:val="0"/>
        <w:spacing w:before="120" w:after="0"/>
        <w:jc w:val="center"/>
        <w:rPr>
          <w:rFonts w:ascii="Times New Roman" w:hAnsi="Times New Roman"/>
          <w:sz w:val="22"/>
        </w:rPr>
      </w:pPr>
      <w:r>
        <w:rPr>
          <w:rFonts w:ascii="Times New Roman" w:hAnsi="Times New Roman"/>
          <w:sz w:val="22"/>
        </w:rPr>
        <w:t xml:space="preserve">CERTAIN COVENANTS OF THE PARTIES </w:t>
      </w:r>
    </w:p>
    <w:p>
      <w:pPr>
        <w:pStyle w:val="TextBody"/>
        <w:bidi w:val="0"/>
        <w:spacing w:before="240" w:after="0"/>
        <w:jc w:val="left"/>
        <w:rPr>
          <w:rFonts w:ascii="Times New Roman" w:hAnsi="Times New Roman"/>
          <w:sz w:val="20"/>
        </w:rPr>
      </w:pPr>
      <w:bookmarkStart w:id="164" w:name="annextoc108148_72"/>
      <w:bookmarkEnd w:id="164"/>
      <w:r>
        <w:rPr>
          <w:rFonts w:ascii="Times New Roman" w:hAnsi="Times New Roman"/>
          <w:sz w:val="20"/>
        </w:rPr>
        <w:t xml:space="preserve">Section 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in </w:t>
      </w:r>
      <w:r>
        <w:rPr>
          <w:rFonts w:ascii="Times New Roman" w:hAnsi="Times New Roman"/>
          <w:sz w:val="20"/>
          <w:u w:val="single"/>
        </w:rPr>
        <w:t>Section 5.1(a)</w:t>
      </w:r>
      <w:r>
        <w:rPr>
          <w:rFonts w:ascii="Times New Roman" w:hAnsi="Times New Roman"/>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(other than the Parent Pre-Closing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sell, issue, grant, pledge or otherwise dispose of or encumber or authorize the issuance of: (A) any capital stock or other security (except for Parent Common Stock issued upon the valid exercise of outstanding Parent Options),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in excess of $25,000;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 </w:t>
      </w:r>
    </w:p>
    <w:p>
      <w:pPr>
        <w:pStyle w:val="TextBody"/>
        <w:bidi w:val="0"/>
        <w:spacing w:before="120" w:after="0"/>
        <w:jc w:val="left"/>
        <w:rPr>
          <w:rFonts w:ascii="Times New Roman" w:hAnsi="Times New Roman"/>
          <w:sz w:val="20"/>
        </w:rPr>
      </w:pPr>
      <w:r>
        <w:rPr>
          <w:rFonts w:ascii="Times New Roman" w:hAnsi="Times New Roman"/>
          <w:sz w:val="20"/>
        </w:rPr>
        <w:t xml:space="preserve">(vii)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sell, assign, transfer, abandon, allow to lapse, license, sublicense or otherwise dispose of any Parent IP Rights (other than pursuant to non-exclusive licenses in the Ordinary Course of Business, pursuant to Patent prosecution in the Ordinary Course of Business or pursuant to the consummation of any Parent Legacy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(A) make (other than in the Ordinary Course of Business), change or revoke any material Tax election, (B) file any amended income or other material Tax Return, (C) adopt or change any material accounting method in respect of Taxes or Tax accounting period, (D) enter into any material Tax closing agreement or settle or compromise any material Tax claim or assessment, (E) consent to any extension or waiver of the limitation period applicable to or relating to any material Tax claim or assessment, (F) surrender any material claim for refund, or (G) initiate or enter into any voluntary disclosure or similar agreement with, or request any ruling from, or otherwise voluntarily disclose information to, any Governmental Authority with respect to any material Taxes;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Parent or any of its Subsidiaries, other than waivers, settlements or agreements (A) for an amount not in excess of $1,000,000 in the aggregate (excluding amounts to be paid under existing insurance policies or renewals thereof); (B) that do not impose any material restrictions on the operations or businesses of Parent or its Subsidiaries, taken as a whole, or any equitable relief on, or the admission of wrongdoing by Parent or any of its Subsidiaries; and (C) that do not cause the Parent Net Cash at Closing to drop below $0;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(xiii)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amend in a manner adverse to Parent or terminate any Parent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(xv) agree, resolve or commit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xml:space="preserve">), Parent may: </w:t>
      </w:r>
    </w:p>
    <w:p>
      <w:pPr>
        <w:pStyle w:val="TextBody"/>
        <w:bidi w:val="0"/>
        <w:spacing w:before="120" w:after="0"/>
        <w:jc w:val="left"/>
        <w:rPr>
          <w:rFonts w:ascii="Times New Roman" w:hAnsi="Times New Roman"/>
          <w:sz w:val="20"/>
        </w:rPr>
      </w:pPr>
      <w:r>
        <w:rPr>
          <w:rFonts w:ascii="Times New Roman" w:hAnsi="Times New Roman"/>
          <w:sz w:val="20"/>
        </w:rPr>
        <w:t xml:space="preserve">(i) engage in the sale, license, transfer, disposition, divestiture or other monetization transaction (i.e., a royalty transaction) in a transaction that is either an as-is, where-as sale or disposition or where the buyer’s recourse against Parent is solely limited to escrowed funds or a purchase price holdback mechanism such that Parent does not have more than </w:t>
      </w:r>
      <w:r>
        <w:rPr>
          <w:rFonts w:ascii="Times New Roman" w:hAnsi="Times New Roman"/>
          <w:i/>
          <w:sz w:val="20"/>
        </w:rPr>
        <w:t>de minimis</w:t>
      </w:r>
      <w:r>
        <w:rPr>
          <w:rFonts w:ascii="Times New Roman" w:hAnsi="Times New Roman"/>
          <w:sz w:val="20"/>
        </w:rPr>
        <w:t xml:space="preserve"> post- closing exposure for claims arising from such disposition or winding down of the Parent Legacy Business (including terminating its Parent Real Estate Leases and other Parent Contracts) (each, a “</w:t>
      </w:r>
      <w:r>
        <w:rPr>
          <w:rFonts w:ascii="Times New Roman" w:hAnsi="Times New Roman"/>
          <w:b/>
          <w:sz w:val="20"/>
        </w:rPr>
        <w:t>Parent Legacy Transaction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obligations of Parent that are more than </w:t>
      </w:r>
      <w:r>
        <w:rPr>
          <w:rFonts w:ascii="Times New Roman" w:hAnsi="Times New Roman"/>
          <w:i/>
          <w:sz w:val="20"/>
        </w:rPr>
        <w:t>de minimis</w:t>
      </w:r>
      <w:r>
        <w:rPr>
          <w:rFonts w:ascii="Times New Roman" w:hAnsi="Times New Roman"/>
          <w:sz w:val="20"/>
        </w:rPr>
        <w:t xml:space="preserve"> that will extend beyond Closing (other than the right of Parent to receive proceeds as a result of such Parent Legacy Transaction), such terms shall be reasonably acceptable to the Company and any such post-Closing obligations (if approved by the Company) shall be a reduction to Parent Net Cash; and </w:t>
      </w:r>
    </w:p>
    <w:p>
      <w:pPr>
        <w:pStyle w:val="TextBody"/>
        <w:bidi w:val="0"/>
        <w:spacing w:before="120" w:after="0"/>
        <w:jc w:val="left"/>
        <w:rPr>
          <w:rFonts w:ascii="Times New Roman" w:hAnsi="Times New Roman"/>
          <w:sz w:val="20"/>
        </w:rPr>
      </w:pPr>
      <w:r>
        <w:rPr>
          <w:rFonts w:ascii="Times New Roman" w:hAnsi="Times New Roman"/>
          <w:sz w:val="20"/>
        </w:rPr>
        <w:t xml:space="preserve">(ii) declare and pay a dividend on the shares of Parent Common Stock outstanding prior to the Effective Time (excluding for the avoidance of doubt any shares of Parent Common Stock issuable pursuant to the Contemplated Transactions) up to an amount, to be determined in accordance with </w:t>
      </w:r>
      <w:r>
        <w:rPr>
          <w:rFonts w:ascii="Times New Roman" w:hAnsi="Times New Roman"/>
          <w:sz w:val="20"/>
          <w:u w:val="single"/>
        </w:rPr>
        <w:t>Section 2.8</w:t>
      </w:r>
      <w:r>
        <w:rPr>
          <w:rFonts w:ascii="Times New Roman" w:hAnsi="Times New Roman"/>
          <w:sz w:val="20"/>
        </w:rPr>
        <w:t>, equal to the aggregate of Parent’s reasonable, good faith approximation of the amount by which Parent Net Cash will exceed $0 (excluding the proceeds of any Parent Legacy Transaction to the extent contingent or to be received following the Effective Time) (such dividend, the “</w:t>
      </w:r>
      <w:r>
        <w:rPr>
          <w:rFonts w:ascii="Times New Roman" w:hAnsi="Times New Roman"/>
          <w:b/>
          <w:sz w:val="20"/>
        </w:rPr>
        <w:t>Parent Pre-Closing Dividend</w:t>
      </w:r>
      <w:r>
        <w:rPr>
          <w:rFonts w:ascii="Times New Roman" w:hAnsi="Times New Roman"/>
          <w:sz w:val="20"/>
        </w:rPr>
        <w:t>” and such amount, the “</w:t>
      </w:r>
      <w:r>
        <w:rPr>
          <w:rFonts w:ascii="Times New Roman" w:hAnsi="Times New Roman"/>
          <w:b/>
          <w:sz w:val="20"/>
        </w:rPr>
        <w:t>Parent Pre-Closing Dividend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5" w:name="annextoc108148_73"/>
      <w:bookmarkEnd w:id="165"/>
      <w:r>
        <w:rPr>
          <w:rFonts w:ascii="Times New Roman" w:hAnsi="Times New Roman"/>
          <w:sz w:val="20"/>
        </w:rPr>
        <w:t xml:space="preserve">Section 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or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Letter, (iii) as required by applicable Law, (iv) with respect to the Series A Financing, which is expressly permitted, or (v) unless Parent shall otherwise consent in writing (which consent shall not be unreasonably withheld, delayed or conditioned), during the Pre-Closing Period the Company shall, and shall cause its Subsidiaries to, use commercially reasonable efforts to (x) conduct its business and operations in the Ordinary Course of Business and in material compliance with all applicable Law and the requirements of all Contracts that constitute Company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or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Letter, (iii) as required by applicable Law, (iv) in connection with the Series A Financing, which is expressly permitted, or actions taken in the Ordinary Course of Business, or (v) with the prior written consent of Parent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more than 25% of the shares of Company Capital Stock outstanding as of the date of this Agreement: (A) any capital stock or other security of the Company or any of its Subsidiaries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or (C) guarantee any debt securities of others;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 sell, assign, transfer, abandon, allow to lapse, license, sublicense or otherwise dispose of any material Company IP Rights (other than pursuant to non-exclusive licenses); </w:t>
      </w:r>
    </w:p>
    <w:p>
      <w:pPr>
        <w:pStyle w:val="TextBody"/>
        <w:bidi w:val="0"/>
        <w:spacing w:before="120" w:after="0"/>
        <w:jc w:val="left"/>
        <w:rPr>
          <w:rFonts w:ascii="Times New Roman" w:hAnsi="Times New Roman"/>
          <w:sz w:val="20"/>
        </w:rPr>
      </w:pPr>
      <w:r>
        <w:rPr>
          <w:rFonts w:ascii="Times New Roman" w:hAnsi="Times New Roman"/>
          <w:sz w:val="20"/>
        </w:rPr>
        <w:t xml:space="preserve">(viii)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forgive any loans to any Person, including its employees, officers, directors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in a manner adverse to the Company or terminate any Company Material Contract, including the License Agreement; or </w:t>
      </w:r>
    </w:p>
    <w:p>
      <w:pPr>
        <w:pStyle w:val="TextBody"/>
        <w:bidi w:val="0"/>
        <w:spacing w:before="120" w:after="0"/>
        <w:jc w:val="left"/>
        <w:rPr>
          <w:rFonts w:ascii="Times New Roman" w:hAnsi="Times New Roman"/>
          <w:sz w:val="20"/>
        </w:rPr>
      </w:pPr>
      <w:r>
        <w:rPr>
          <w:rFonts w:ascii="Times New Roman" w:hAnsi="Times New Roman"/>
          <w:sz w:val="20"/>
        </w:rPr>
        <w:t xml:space="preserve">(xi)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66" w:name="annextoc108148_74"/>
      <w:bookmarkEnd w:id="166"/>
      <w:r>
        <w:rPr>
          <w:rFonts w:ascii="Times New Roman" w:hAnsi="Times New Roman"/>
          <w:sz w:val="20"/>
        </w:rPr>
        <w:t xml:space="preserve">Section 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167" w:name="annextoc108148_75"/>
      <w:bookmarkEnd w:id="167"/>
      <w:r>
        <w:rPr>
          <w:rFonts w:ascii="Times New Roman" w:hAnsi="Times New Roman"/>
          <w:sz w:val="20"/>
        </w:rPr>
        <w:t xml:space="preserve">Section 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Company or Parent)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hAnsi="Times New Roman"/>
          <w:sz w:val="20"/>
          <w:u w:val="single"/>
        </w:rPr>
        <w:t>Section 5.4</w:t>
      </w:r>
      <w:r>
        <w:rPr>
          <w:rFonts w:ascii="Times New Roman" w:hAnsi="Times New Roman"/>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public disclosures made in compliance with </w:t>
      </w:r>
      <w:r>
        <w:rPr>
          <w:rFonts w:ascii="Times New Roman" w:hAnsi="Times New Roman"/>
          <w:sz w:val="20"/>
          <w:u w:val="single"/>
        </w:rPr>
        <w:t>Section 6.3(e)</w:t>
      </w:r>
      <w:r>
        <w:rPr>
          <w:rFonts w:ascii="Times New Roman" w:hAnsi="Times New Roman"/>
          <w:sz w:val="20"/>
        </w:rPr>
        <w:t xml:space="preserve"> shall not constitute a violation of this </w:t>
      </w:r>
      <w:r>
        <w:rPr>
          <w:rFonts w:ascii="Times New Roman" w:hAnsi="Times New Roman"/>
          <w:sz w:val="20"/>
          <w:u w:val="single"/>
        </w:rPr>
        <w:t>Section 5.4</w:t>
      </w:r>
      <w:r>
        <w:rPr>
          <w:rFonts w:ascii="Times New Roman" w:hAnsi="Times New Roman"/>
          <w:sz w:val="20"/>
        </w:rPr>
        <w:t xml:space="preserve"> and (y)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the Parent Stockholder Matters by the Required Parent Stockholder Vote,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Parent’s financial advisors and outside legal counsel, constitutes, or is reasonably likely to result in, a Superior Offer (and is not withdrawn) if: (A) such Acquisition Proposal was not obtained or made as a result of a breach of this Section 5.4(a) in any material respect, (B) the Parent Board concludes in good faith based on the advice of outside legal counsel, that the failure to take such action would reasonably be expected to be inconsistent with the Parent Board’s fiduciary duties under applicable Law, (C) at least forty-eight (48) hours prior to initially furnishing any such nonpublic information to, or entering into discussions with, such Person, Parent gives the Company written notice of the identity of such Person (unless such disclosure is prohibited pursuant to the terms of any confidentiality agreement with such Person or group that is in effect on the date of this Agreement), and of Parent’s intention to furnish nonpublic information to, or enter into discussions with, such Person, (D) Parent receives from such Person an executed Acceptable Confidentiality Agreement, and (E) at least two Business Days prior to furnishing any such nonpublic information to such Person, Parent furnishes such nonpublic information to the Company (to the extent such information has not been previously furnished by Parent to the Company). Notwithstanding anything to the contrary set forth in this Agreement, Parent and its Representatives (without the Parent Board having to make the determination in </w:t>
      </w:r>
      <w:r>
        <w:rPr>
          <w:rFonts w:ascii="Times New Roman" w:hAnsi="Times New Roman"/>
          <w:sz w:val="20"/>
          <w:u w:val="single"/>
        </w:rPr>
        <w:t>clause (B)</w:t>
      </w:r>
      <w:r>
        <w:rPr>
          <w:rFonts w:ascii="Times New Roman" w:hAnsi="Times New Roman"/>
          <w:sz w:val="20"/>
        </w:rPr>
        <w:t xml:space="preserve"> of the preceding sentence) may, in any event, contact any Person to (x) seek to clarify and understand the terms and conditions of any Acquisition Proposal made by such Person solely to determine whether such Acquisition Proposal constitutes, or is reasonably likely to result in, a Superior Offer and (y) inform such Person that has made or, to the knowledge of Parent is considering making an Acquisition Proposal, of the provisions of this </w:t>
      </w:r>
      <w:r>
        <w:rPr>
          <w:rFonts w:ascii="Times New Roman" w:hAnsi="Times New Roman"/>
          <w:sz w:val="20"/>
          <w:u w:val="single"/>
        </w:rPr>
        <w:t>Section 5.4</w:t>
      </w:r>
      <w:r>
        <w:rPr>
          <w:rFonts w:ascii="Times New Roman" w:hAnsi="Times New Roman"/>
          <w:sz w:val="20"/>
        </w:rPr>
        <w:t xml:space="preserve">. For the avoidance of doubt, the proviso in the preceding sentence shall not apply to the Company, and the Company shall not, and shall not permit any of its Subsidiaries or Representatives to, furnish any nonpublic information to, or enter into any discussions or negotiations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in connection with or in response to any Acquisition Proposal or Acquisition Inquiry.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24 hours following the execution and delivery of this Agreement. </w:t>
      </w:r>
    </w:p>
    <w:p>
      <w:pPr>
        <w:pStyle w:val="TextBody"/>
        <w:bidi w:val="0"/>
        <w:spacing w:before="240" w:after="0"/>
        <w:jc w:val="left"/>
        <w:rPr>
          <w:rFonts w:ascii="Times New Roman" w:hAnsi="Times New Roman"/>
          <w:sz w:val="20"/>
        </w:rPr>
      </w:pPr>
      <w:bookmarkStart w:id="168" w:name="annextoc108148_76"/>
      <w:bookmarkEnd w:id="168"/>
      <w:r>
        <w:rPr>
          <w:rFonts w:ascii="Times New Roman" w:hAnsi="Times New Roman"/>
          <w:sz w:val="20"/>
        </w:rPr>
        <w:t xml:space="preserve">Section 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169" w:name="annextoc108148_77"/>
      <w:bookmarkEnd w:id="169"/>
      <w:r>
        <w:rPr>
          <w:rFonts w:ascii="Times New Roman" w:hAnsi="Times New Roman"/>
          <w:sz w:val="20"/>
        </w:rPr>
        <w:t xml:space="preserve">Section 5.6 </w:t>
      </w:r>
      <w:r>
        <w:rPr>
          <w:rFonts w:ascii="Times New Roman" w:hAnsi="Times New Roman"/>
          <w:sz w:val="20"/>
          <w:u w:val="single"/>
        </w:rPr>
        <w:t>Parent Legacy Transaction</w:t>
      </w:r>
      <w:r>
        <w:rPr>
          <w:rFonts w:ascii="Times New Roman" w:hAnsi="Times New Roman"/>
          <w:sz w:val="20"/>
        </w:rPr>
        <w:t xml:space="preserve">. Each Party acknowledges that Parent may, in contemplation of any Parent Legacy Transaction, (a) establish one or more Subsidiaries to hold assets relating to the Parent Legacy Business, (b) transfer to any such Subsidiary any or all of such assets and the liabilities and obligations related thereto and (c) take such other steps that are reasonably necessary to prepare for any Parent Legacy Transaction. For clarity, if Parent transfers any assets relating to the Parent Legacy Business to one or more Subsidiaries, the terms of </w:t>
      </w:r>
      <w:r>
        <w:rPr>
          <w:rFonts w:ascii="Times New Roman" w:hAnsi="Times New Roman"/>
          <w:sz w:val="20"/>
          <w:u w:val="single"/>
        </w:rPr>
        <w:t>Section 5.1(c)</w:t>
      </w:r>
      <w:r>
        <w:rPr>
          <w:rFonts w:ascii="Times New Roman" w:hAnsi="Times New Roman"/>
          <w:sz w:val="20"/>
        </w:rPr>
        <w:t xml:space="preserve"> and this </w:t>
      </w:r>
      <w:r>
        <w:rPr>
          <w:rFonts w:ascii="Times New Roman" w:hAnsi="Times New Roman"/>
          <w:sz w:val="20"/>
          <w:u w:val="single"/>
        </w:rPr>
        <w:t>Section 5.6</w:t>
      </w:r>
      <w:r>
        <w:rPr>
          <w:rFonts w:ascii="Times New Roman" w:hAnsi="Times New Roman"/>
          <w:sz w:val="20"/>
        </w:rPr>
        <w:t xml:space="preserve"> shall apply to such Subsidiaries in addition to Parent. Each Party further acknowledges that Parent may not be successful in completing, or may determine not to proceed with, any Parent Legacy Transaction. </w:t>
      </w:r>
    </w:p>
    <w:p>
      <w:pPr>
        <w:pStyle w:val="TextBody"/>
        <w:bidi w:val="0"/>
        <w:spacing w:before="240" w:after="0"/>
        <w:jc w:val="center"/>
        <w:rPr>
          <w:rFonts w:ascii="Times New Roman" w:hAnsi="Times New Roman"/>
          <w:sz w:val="22"/>
        </w:rPr>
      </w:pPr>
      <w:bookmarkStart w:id="170" w:name="annextoc108148_78"/>
      <w:bookmarkEnd w:id="170"/>
      <w:r>
        <w:rPr>
          <w:rFonts w:ascii="Times New Roman" w:hAnsi="Times New Roman"/>
          <w:sz w:val="22"/>
        </w:rPr>
        <w:t xml:space="preserve">ARTICLE VI. </w:t>
      </w:r>
    </w:p>
    <w:p>
      <w:pPr>
        <w:pStyle w:val="TextBody"/>
        <w:bidi w:val="0"/>
        <w:spacing w:before="120" w:after="0"/>
        <w:jc w:val="center"/>
        <w:rPr>
          <w:rFonts w:ascii="Times New Roman" w:hAnsi="Times New Roman"/>
          <w:sz w:val="22"/>
        </w:rPr>
      </w:pPr>
      <w:r>
        <w:rPr>
          <w:rFonts w:ascii="Times New Roman" w:hAnsi="Times New Roman"/>
          <w:sz w:val="22"/>
        </w:rPr>
        <w:t xml:space="preserve">ADDITIONAL AGREEMENTS OF THE PARTIES </w:t>
      </w:r>
    </w:p>
    <w:p>
      <w:pPr>
        <w:pStyle w:val="TextBody"/>
        <w:bidi w:val="0"/>
        <w:spacing w:before="240" w:after="0"/>
        <w:jc w:val="left"/>
        <w:rPr>
          <w:rFonts w:ascii="Times New Roman" w:hAnsi="Times New Roman"/>
          <w:sz w:val="20"/>
        </w:rPr>
      </w:pPr>
      <w:bookmarkStart w:id="171" w:name="annextoc108148_79"/>
      <w:bookmarkEnd w:id="171"/>
      <w:r>
        <w:rPr>
          <w:rFonts w:ascii="Times New Roman" w:hAnsi="Times New Roman"/>
          <w:sz w:val="20"/>
        </w:rPr>
        <w:t xml:space="preserve">Section 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promptly as practicable after the date of this Agreement (but subject to the Company’s timely delivery of the Company Required S-4 Information in accordance with this </w:t>
      </w:r>
      <w:r>
        <w:rPr>
          <w:rFonts w:ascii="Times New Roman" w:hAnsi="Times New Roman"/>
          <w:sz w:val="20"/>
          <w:u w:val="single"/>
        </w:rPr>
        <w:t>Section 6.1</w:t>
      </w:r>
      <w:r>
        <w:rPr>
          <w:rFonts w:ascii="Times New Roman" w:hAnsi="Times New Roman"/>
          <w:sz w:val="20"/>
        </w:rPr>
        <w:t xml:space="preserve">), Parent, in cooperation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a proxy statement relating to the Parent Stockholder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Registration Statement no later than 30 Business Days following the date hereof; </w:t>
      </w:r>
      <w:r>
        <w:rPr>
          <w:rFonts w:ascii="Times New Roman" w:hAnsi="Times New Roman"/>
          <w:sz w:val="20"/>
          <w:u w:val="single"/>
        </w:rPr>
        <w:t>provided</w:t>
      </w:r>
      <w:r>
        <w:rPr>
          <w:rFonts w:ascii="Times New Roman" w:hAnsi="Times New Roman"/>
          <w:sz w:val="20"/>
        </w:rPr>
        <w:t xml:space="preserve">, that such 30 Business Day period shall be extended on a day-for-day basis to the extent the Company has failed to provide the Company Required S-4 Information reasonably required to be provided by or on behalf of the Company pursuant to </w:t>
      </w:r>
      <w:r>
        <w:rPr>
          <w:rFonts w:ascii="Times New Roman" w:hAnsi="Times New Roman"/>
          <w:sz w:val="20"/>
          <w:u w:val="single"/>
        </w:rPr>
        <w:t>Section 6.1(d)</w:t>
      </w:r>
      <w:r>
        <w:rPr>
          <w:rFonts w:ascii="Times New Roman" w:hAnsi="Times New Roman"/>
          <w:sz w:val="20"/>
        </w:rPr>
        <w:t xml:space="preserve"> or any other information reasonably requested by Parent for inclusion in the Registration Statement at least 10 days prior to the end of such 30 Business Day period.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(i) will comply as to form in all material respects with the requirements of applicable U.S. federal securities laws and the DGCL,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If at any time before the Effective Time, (i) Parent,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at the Company’s sole expense, Parent and its Representatives, with all true, correct and complete information regarding the Company that is required by Law to be included in the Registration Statement or reasonably requested by Parent to be included in the Registration Statement (including financial statements, management representation letters, accountants’ consent letters, and such other information or documents as may be required for inclusion in or in connection with the Registration Statement or any other filings with the SEC) (collectively, the “</w:t>
      </w:r>
      <w:r>
        <w:rPr>
          <w:rFonts w:ascii="Times New Roman" w:hAnsi="Times New Roman"/>
          <w:b/>
          <w:sz w:val="20"/>
        </w:rPr>
        <w:t>Company Required S-4 Information</w:t>
      </w:r>
      <w:r>
        <w:rPr>
          <w:rFonts w:ascii="Times New Roman" w:hAnsi="Times New Roman"/>
          <w:sz w:val="20"/>
        </w:rPr>
        <w:t xml:space="preserve">”) in connection with (i) Parent’s preparation of the Registration Statement, any amendments or supplements thereto, and any other filings with the SEC required in connection with the Contemplated Transactions, (ii) the preparation of any pro forma or other financial information required to be included in the Registration Statement or any such filing, and (iii) Parent’s efforts to cause the Registration Statement to comply with applicable Law and the rules and regulations of the SEC. Without limiting the foregoing, the Company will use commercially reasonable efforts to cause to be delivered to Parent a consent letter of the Company’s independent accounting firm, dated no later than one Business Day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During the Pre-Closing Period, in the event the SEC has comments, questions or requests relating to any information supplied by or on behalf of the Company for inclusion in the Registration Statement, or any other Company information contained or referenced therein, the Company shall use commercially reasonable efforts to reasonably assist and cooperate, and to cause its independent accountants (if any) and other Representatives to assist and cooperate, with Parent and the SEC to resolve any such comments, questions or requests, and to take such commercially reasonable actions with respect to any such information as are necessary for Parent to satisfy its filing and disclosure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Parent shall not be deemed to be in breach of any of its obligations under this </w:t>
      </w:r>
      <w:r>
        <w:rPr>
          <w:rFonts w:ascii="Times New Roman" w:hAnsi="Times New Roman"/>
          <w:sz w:val="20"/>
          <w:u w:val="single"/>
        </w:rPr>
        <w:t>Section 6.1</w:t>
      </w:r>
      <w:r>
        <w:rPr>
          <w:rFonts w:ascii="Times New Roman" w:hAnsi="Times New Roman"/>
          <w:sz w:val="20"/>
        </w:rPr>
        <w:t xml:space="preserve"> (including its obligations with respect to the filing, effectiveness or mailing of the Registration Statement or Proxy Statement) to the extent that any delay or failure to satisfy such obligations is caused by or results from (i) the Company’s failure to timely provide the Company Required S-4 Information or any other information required by applicable Law or reasonably requested by Parent for inclusion in or in connection with the Registration Statement or Proxy Statement, (ii) the Company’s failure, or the failure of the Company’s independent accountants (if any) or other Representatives, to timely respond to or cooperate with Parent or the SEC with respect to comments, questions or requests relating to information supplied by or on behalf of the Company, or (iii) the Company’s failure to otherwise cooperate with Parent as required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For the avoidance of doubt, any such delay or failure described in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not give rise to a right of termination by the Company under </w:t>
      </w:r>
      <w:r>
        <w:rPr>
          <w:rFonts w:ascii="Times New Roman" w:hAnsi="Times New Roman"/>
          <w:sz w:val="20"/>
          <w:u w:val="single"/>
        </w:rPr>
        <w:t>Section 10.1</w:t>
      </w:r>
      <w:r>
        <w:rPr>
          <w:rFonts w:ascii="Times New Roman" w:hAnsi="Times New Roman"/>
          <w:sz w:val="20"/>
        </w:rPr>
        <w:t xml:space="preserve">, and shall not constitute a failure by Parent to satisfy any condition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nextoc108148_80"/>
      <w:bookmarkEnd w:id="172"/>
      <w:r>
        <w:rPr>
          <w:rFonts w:ascii="Times New Roman" w:hAnsi="Times New Roman"/>
          <w:sz w:val="20"/>
        </w:rPr>
        <w:t xml:space="preserve">Section 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Contemporaneously with the consummation of the Series A Financing or any sale of Company Capital Stock issued pursuant to this Agreement following the date of this Agreement, the Company shall obtain and deliver to Parent executed copies of the Company Stockholder Support Agreements from such Company stockholders collectively constituting the Required Company Stockholder Vote as of such date; </w:t>
      </w:r>
      <w:r>
        <w:rPr>
          <w:rFonts w:ascii="Times New Roman" w:hAnsi="Times New Roman"/>
          <w:sz w:val="20"/>
          <w:u w:val="single"/>
        </w:rPr>
        <w:t>provided</w:t>
      </w:r>
      <w:r>
        <w:rPr>
          <w:rFonts w:ascii="Times New Roman" w:hAnsi="Times New Roman"/>
          <w:sz w:val="20"/>
        </w:rPr>
        <w:t xml:space="preserve"> that the Company shall not be obligated to obtain and deliver to Parent executed copies of Company Stockholder Support Agreements from Company stockholders that previously executed and provided to Parent a copy of the Company Stockholder Support Agreement. Promptly after the Registration Statement has been declared effective under the Securities Act, and in any event no later than two Business Days thereafter, the Company shall obtain the approval by written consent from Company stockholders sufficient for the Required Company Stockholder Vote in lieu of a meeting pursuant to Section 228 of the DGCL, in substantially the form attached hereto as </w:t>
      </w:r>
      <w:r>
        <w:rPr>
          <w:rFonts w:ascii="Times New Roman" w:hAnsi="Times New Roman"/>
          <w:sz w:val="20"/>
          <w:u w:val="single"/>
        </w:rPr>
        <w:t>Exhibit E</w:t>
      </w:r>
      <w:r>
        <w:rPr>
          <w:rFonts w:ascii="Times New Roman" w:hAnsi="Times New Roman"/>
          <w:sz w:val="20"/>
        </w:rPr>
        <w:t>,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Contemplated Transactions and shall use reasonable best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and (iii) the Company Board shall not make any “Company Board Adverse Recommendation Change” (i.e., any withholding, amendment, withdrawal or modification of the Company Board Recommendation in a manner adverse to Parent). </w:t>
      </w:r>
    </w:p>
    <w:p>
      <w:pPr>
        <w:pStyle w:val="TextBody"/>
        <w:bidi w:val="0"/>
        <w:spacing w:before="240" w:after="0"/>
        <w:jc w:val="left"/>
        <w:rPr>
          <w:rFonts w:ascii="Times New Roman" w:hAnsi="Times New Roman"/>
          <w:sz w:val="20"/>
        </w:rPr>
      </w:pPr>
      <w:r>
        <w:rPr>
          <w:rFonts w:ascii="Times New Roman" w:hAnsi="Times New Roman"/>
          <w:sz w:val="20"/>
        </w:rPr>
        <w:t xml:space="preserve">(d)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conditioned, delayed or otherwise affected by any event, circumstance, development, change, occurrence or other matter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3" w:name="annextoc108148_81"/>
      <w:bookmarkEnd w:id="173"/>
      <w:r>
        <w:rPr>
          <w:rFonts w:ascii="Times New Roman" w:hAnsi="Times New Roman"/>
          <w:sz w:val="20"/>
        </w:rPr>
        <w:t xml:space="preserve">Section 6.3 </w:t>
      </w:r>
      <w:r>
        <w:rPr>
          <w:rFonts w:ascii="Times New Roman" w:hAnsi="Times New Roman"/>
          <w:sz w:val="20"/>
          <w:u w:val="single"/>
        </w:rPr>
        <w:t>Parent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to approve (I) the issuance of Parent Common Stock that represent (or are convertible into) more than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w:t>
      </w:r>
      <w:r>
        <w:rPr>
          <w:rFonts w:ascii="Times New Roman" w:hAnsi="Times New Roman"/>
          <w:sz w:val="20"/>
          <w:u w:val="single"/>
        </w:rPr>
        <w:t> clause (ii)</w:t>
      </w:r>
      <w:r>
        <w:rPr>
          <w:rFonts w:ascii="Times New Roman" w:hAnsi="Times New Roman"/>
          <w:sz w:val="20"/>
        </w:rPr>
        <w:t xml:space="preserve"> (</w:t>
      </w:r>
      <w:r>
        <w:rPr>
          <w:rFonts w:ascii="Times New Roman" w:hAnsi="Times New Roman"/>
          <w:i/>
          <w:sz w:val="20"/>
        </w:rPr>
        <w:t>Nasdaq Reverse Split</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w:t>
      </w:r>
      <w:r>
        <w:rPr>
          <w:rFonts w:ascii="Times New Roman" w:hAnsi="Times New Roman"/>
          <w:i/>
          <w:sz w:val="20"/>
        </w:rPr>
        <w:t>Increase in Authorized Shares</w:t>
      </w:r>
      <w:r>
        <w:rPr>
          <w:rFonts w:ascii="Times New Roman" w:hAnsi="Times New Roman"/>
          <w:sz w:val="20"/>
        </w:rPr>
        <w:t>) of the definition of “Parent Charter Amendment” (collectively, the “</w:t>
      </w:r>
      <w:r>
        <w:rPr>
          <w:rFonts w:ascii="Times New Roman" w:hAnsi="Times New Roman"/>
          <w:b/>
          <w:sz w:val="20"/>
        </w:rPr>
        <w:t>Parent Stockholder Matters</w:t>
      </w:r>
      <w:r>
        <w:rPr>
          <w:rFonts w:ascii="Times New Roman" w:hAnsi="Times New Roman"/>
          <w:sz w:val="20"/>
        </w:rPr>
        <w:t>” and such meeting, the “</w:t>
      </w:r>
      <w:r>
        <w:rPr>
          <w:rFonts w:ascii="Times New Roman" w:hAnsi="Times New Roman"/>
          <w:b/>
          <w:sz w:val="20"/>
        </w:rPr>
        <w:t>Parent Stockholder Meeting</w:t>
      </w:r>
      <w:r>
        <w:rPr>
          <w:rFonts w:ascii="Times New Roman" w:hAnsi="Times New Roman"/>
          <w:sz w:val="20"/>
        </w:rPr>
        <w:t xml:space="preserve">”). The Parent Stockholder Meeting shall be held as promptly as practicable after the date that the Registration Statement is declared effective under the Securities Act, and in any event, no later than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(iii) that the failure to postpone or adjourn the Parent Stockholder Meeting would reasonably be expected to be inconsistent with its fiduciary obligations under applicable Law, (iv) a post-effective amendment to the Registration Statement has been filed with the SEC and has not yet been declared effective, or (v) the Nasdaq Listing Application has not yet received at least conditional approval from Nasdaq,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statement to the effect that the Parent Board recommends that Parent’s stockholders vote to approve the Parent Stockholder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the Parent Board may withhold, amend, withdraw or modify the Parent Board Recommendation (or publicly propose to withhold, amend, withdraw or modify the Parent Board Recommendation) in a manner adverse to the Company (a “</w:t>
      </w:r>
      <w:r>
        <w:rPr>
          <w:rFonts w:ascii="Times New Roman" w:hAnsi="Times New Roman"/>
          <w:b/>
          <w:sz w:val="20"/>
        </w:rPr>
        <w:t>Parent Board Adverse Recommendation Change</w:t>
      </w:r>
      <w:r>
        <w:rPr>
          <w:rFonts w:ascii="Times New Roman" w:hAnsi="Times New Roman"/>
          <w:sz w:val="20"/>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hAnsi="Times New Roman"/>
          <w:b/>
          <w:sz w:val="20"/>
        </w:rPr>
        <w:t>Parent Intervening Event</w:t>
      </w:r>
      <w:r>
        <w:rPr>
          <w:rFonts w:ascii="Times New Roman" w:hAnsi="Times New Roman"/>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(1) the Company receives written notice from Parent confirming that the Parent Board has determined to change its recommendation at least four Business Days in advance of the Parent Board Adverse Recommendation Change (the “</w:t>
      </w:r>
      <w:r>
        <w:rPr>
          <w:rFonts w:ascii="Times New Roman" w:hAnsi="Times New Roman"/>
          <w:b/>
          <w:sz w:val="20"/>
        </w:rPr>
        <w:t>Parent 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stockholders would receive as a result of such potential Superior Offer), Parent shall be required to provide the Company with notice of such material amendment and the Parent Notice Period shall be extended, if applicable, to ensure that at least three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Acquisition Proposal or Acquisition Inquiry,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(i)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hAnsi="Times New Roman"/>
          <w:sz w:val="20"/>
          <w:u w:val="single"/>
        </w:rPr>
        <w:t>Section 5.4</w:t>
      </w:r>
      <w:r>
        <w:rPr>
          <w:rFonts w:ascii="Times New Roman" w:hAnsi="Times New Roman"/>
          <w:sz w:val="20"/>
        </w:rPr>
        <w:t xml:space="preserve">; or (iv) making any disclosure that the Parent Board (or a committee thereof), after consultation with its outside legal counsel, has determined in good faith is required by applicable Law or by any listing or trading rules or regulations of Nasdaq; </w:t>
      </w:r>
      <w:r>
        <w:rPr>
          <w:rFonts w:ascii="Times New Roman" w:hAnsi="Times New Roman"/>
          <w:sz w:val="20"/>
          <w:u w:val="single"/>
        </w:rPr>
        <w:t>provided</w:t>
      </w:r>
      <w:r>
        <w:rPr>
          <w:rFonts w:ascii="Times New Roman" w:hAnsi="Times New Roman"/>
          <w:sz w:val="20"/>
        </w:rPr>
        <w:t xml:space="preserve"> that, in the case of (iv), Parent shall provide the Company with a reasonable opportunity to review any such disclosure not less than two Business Days prior to the making thereof (to the extent practicable) and shall consider in good faith any comments from the Company thereto. </w:t>
      </w:r>
    </w:p>
    <w:p>
      <w:pPr>
        <w:pStyle w:val="TextBody"/>
        <w:bidi w:val="0"/>
        <w:spacing w:before="240" w:after="0"/>
        <w:jc w:val="left"/>
        <w:rPr>
          <w:rFonts w:ascii="Times New Roman" w:hAnsi="Times New Roman"/>
          <w:sz w:val="20"/>
        </w:rPr>
      </w:pPr>
      <w:bookmarkStart w:id="174" w:name="annextoc108148_82"/>
      <w:bookmarkEnd w:id="174"/>
      <w:r>
        <w:rPr>
          <w:rFonts w:ascii="Times New Roman" w:hAnsi="Times New Roman"/>
          <w:sz w:val="20"/>
        </w:rPr>
        <w:t xml:space="preserve">Section 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obtain all regulatory approvals required by applicable Law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reasonable best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if required, the Parties shall prepare and file the notification and report forms required to be filed under the HSR Act and any notification or other document required to be filed in connection with the Merger under any applicable foreign Law relating to antitrust or competition matters (promptly, but in no event later than 10 Business Days, after the date of this Agreement). The Parties shall request early termination of the waiting period under the HSR Act and shall use reasonable best efforts to obtain any necessary approvals under applicable antitrust Laws. Notwithstanding anything to the contrary in this Agreement, the Company shall take, and shall cause its Affiliates to take, any and all reasonable best steps necessary to avoid or eliminate each and every impediment that may be asserted under the HSR Act or any other antitrust or competition Laws so as to enable the Parties to consummate the Contemplated Transactions as promptly as practicable. In furtherance of the foregoing, the Company shall not, and shall cause its Affiliates not to, acquire or agree to acquire any business, Entity or assets if doing so would reasonably be expected to (i) impose any material delay in obtaining, or materially increase the risk of not obtaining, any consent, approval or clearance necessary to consummate the Contemplated Transactions under the HSR Act or any other antitrust or competition Laws, or (ii) otherwise prevent or materially delay the consummation of the Contemplated Transactions. The Company and Parent shall bear equally all filing fees, costs and expenses incurred in connection with any filings or submissions made under the HSR Act and any other applicable antitrust or competition Laws.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keep the Company reasonably informed regarding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and shall promptly advise the Company of the initiation of, and keep the Company reasonably apprised of any material developments in connection with, any such Transaction Litigation. Prior to the Closing, Parent shall have the right to control the defense of any Transaction Litigation, but shall reasonably consult with the Company and consider in good faith any advice from the Company and its Representatives with respect to such Transaction Litigation. The Company shall promptly advise Parent of the initiation of, and keep Parent reasonably apprised of any material developments in connection with, any Legal Proceeding against the Company and/or its directors or officers relating to this Agreement or the Contemplated Transactions. Each Party shall cooperate with the other Party in the defense of any such Transaction Litigation, including by providing access to relevant documents and making its officers and other Representatives reasonably available. Neither Party shall settle, compromise or offer to settle any Transaction Litigation without the prior written consent of the other Party (such consent not to be unreasonably withheld, conditioned or delayed). </w:t>
      </w:r>
    </w:p>
    <w:p>
      <w:pPr>
        <w:pStyle w:val="TextBody"/>
        <w:bidi w:val="0"/>
        <w:spacing w:before="240" w:after="0"/>
        <w:jc w:val="left"/>
        <w:rPr>
          <w:rFonts w:ascii="Times New Roman" w:hAnsi="Times New Roman"/>
          <w:sz w:val="20"/>
        </w:rPr>
      </w:pPr>
      <w:bookmarkStart w:id="175" w:name="annextoc108148_83"/>
      <w:bookmarkEnd w:id="175"/>
      <w:r>
        <w:rPr>
          <w:rFonts w:ascii="Times New Roman" w:hAnsi="Times New Roman"/>
          <w:sz w:val="20"/>
        </w:rPr>
        <w:t xml:space="preserve">Section 6.5 </w:t>
      </w:r>
      <w:r>
        <w:rPr>
          <w:rFonts w:ascii="Times New Roman" w:hAnsi="Times New Roman"/>
          <w:sz w:val="20"/>
          <w:u w:val="single"/>
        </w:rPr>
        <w:t>Company Options; Company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Parent shall assume each Company Stock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Parent Board or compensation committee). The number of shares of Parent Common Stock subject to each such Assumed Option shall be equal to (i) the number of shares of Company Common Stock subject to the respective Company Option immediately prior to the Effective Time multiplied by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divided by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Effective Time, each Company Warrant (including any pre-funded Company Warrant issued pursuant to the Company Pre-Closing Financing), whether vested or unvested, that is outstanding immediately prior to the Effective Time shall, at the Effective Time, cease to represent a right to acquire shares of Company Capital Stock and shall be converted, at the Effective Time, into a warrant to purchase shares of Parent Common Stock (an “</w:t>
      </w:r>
      <w:r>
        <w:rPr>
          <w:rFonts w:ascii="Times New Roman" w:hAnsi="Times New Roman"/>
          <w:b/>
          <w:sz w:val="20"/>
        </w:rPr>
        <w:t>Assumed Warrant</w:t>
      </w:r>
      <w:r>
        <w:rPr>
          <w:rFonts w:ascii="Times New Roman" w:hAnsi="Times New Roman"/>
          <w:sz w:val="20"/>
        </w:rPr>
        <w:t xml:space="preserve">”), on the same terms and conditions (including any vesting provisions and any provisions providing for accelerated vesting upon certain events) as were applicable under such Assumed Warrant as of immediately prior to the Effective Time. The number of shares of Parent Common Stock subject to each such Assumed Warrant shall be equal to (i) the number of shares of the Company Common Stock subject to each Assumed Warrant immediately prior to the Effective Time (determined on an as-converted basis for any Company Warrant representing the right to acquire Company Preferred Stock)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Effective Time divided by (B) the Exchange Ratio. </w:t>
      </w:r>
    </w:p>
    <w:p>
      <w:pPr>
        <w:pStyle w:val="TextBody"/>
        <w:bidi w:val="0"/>
        <w:spacing w:before="240" w:after="0"/>
        <w:jc w:val="left"/>
        <w:rPr>
          <w:rFonts w:ascii="Times New Roman" w:hAnsi="Times New Roman"/>
          <w:sz w:val="20"/>
        </w:rPr>
      </w:pPr>
      <w:bookmarkStart w:id="176" w:name="annextoc108148_84"/>
      <w:bookmarkEnd w:id="176"/>
      <w:r>
        <w:rPr>
          <w:rFonts w:ascii="Times New Roman" w:hAnsi="Times New Roman"/>
          <w:sz w:val="20"/>
        </w:rPr>
        <w:t xml:space="preserve">Section 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comply with the terms of any Parent Employee Plan or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Parent Disclosure Letter, subject to the provisions of such plans or agreements, and the parties acknowledge and agree that the Merger shall constitute a “change in control” (or term of similar import) of Parent under each such Parent Employee Plan or agreement. The parties acknowledge and agree that the Merger shall not constitute a “change in control” (or term of similar import)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Parent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provide each such current or former Parent employee and his or her eligible dependents with credit for any co-payments and deductibles paid in the plan year that includes the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Following the Effective Time, Parent shall use commercially reasonable efforts to maintain and keep active each Parent Employee Plan set forth on </w:t>
      </w:r>
      <w:r>
        <w:rPr>
          <w:rFonts w:ascii="Times New Roman" w:hAnsi="Times New Roman"/>
          <w:sz w:val="20"/>
          <w:u w:val="single"/>
        </w:rPr>
        <w:t>Section 6.6(b)</w:t>
      </w:r>
      <w:r>
        <w:rPr>
          <w:rFonts w:ascii="Times New Roman" w:hAnsi="Times New Roman"/>
          <w:sz w:val="20"/>
        </w:rPr>
        <w:t xml:space="preserve"> of the Parent Disclosure Letter in accordance with the terms set forth on </w:t>
      </w:r>
      <w:r>
        <w:rPr>
          <w:rFonts w:ascii="Times New Roman" w:hAnsi="Times New Roman"/>
          <w:sz w:val="20"/>
          <w:u w:val="single"/>
        </w:rPr>
        <w:t>Section 6.6(b)</w:t>
      </w:r>
      <w:r>
        <w:rPr>
          <w:rFonts w:ascii="Times New Roman" w:hAnsi="Times New Roman"/>
          <w:sz w:val="20"/>
        </w:rPr>
        <w:t xml:space="preserve"> of the Parent Disclosure Letter (the out-of-pocket expense to be incurred by Parent as a result of the continued maintenance of such Parent Employee Plans, if any, as mutually agreed by the Company and Parent in writing no less than three Business Days prior to the Closing Date, which is referred to herein as the “</w:t>
      </w:r>
      <w:r>
        <w:rPr>
          <w:rFonts w:ascii="Times New Roman" w:hAnsi="Times New Roman"/>
          <w:b/>
          <w:sz w:val="20"/>
        </w:rPr>
        <w:t>Post-Closing Welfare Plan Continuation Expense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401(k) Plan</w:t>
      </w:r>
      <w:r>
        <w:rPr>
          <w:rFonts w:ascii="Times New Roman" w:hAnsi="Times New Roman"/>
          <w:sz w:val="20"/>
        </w:rPr>
        <w:t>. Unless directed otherwise by the Company in writing no less than three Business Days before the Closing Date, Parent shall have, at least one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hAnsi="Times New Roman"/>
          <w:b/>
          <w:sz w:val="20"/>
        </w:rPr>
        <w:t>401(k) Plans</w:t>
      </w:r>
      <w:r>
        <w:rPr>
          <w:rFonts w:ascii="Times New Roman" w:hAnsi="Times New Roman"/>
          <w:sz w:val="20"/>
        </w:rPr>
        <w:t xml:space="preserve">”)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day prior to the Closing Date. Parent shall provide the Company copies of all such corporate actions or documentation related to the same at least three Business Days before their adoption or approval for the Company’s reasonable review and comment.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Options</w:t>
      </w:r>
      <w:r>
        <w:rPr>
          <w:rFonts w:ascii="Times New Roman" w:hAnsi="Times New Roman"/>
          <w:sz w:val="20"/>
        </w:rPr>
        <w:t xml:space="preserve">. At the Effective Time, each Cancelled Parent Option that is then outstanding shall be cancelled for no consideration. At and following the Effective Time, each Continuing Parent Option shall remain outstanding and exercisable in accordance with its terms as in effect as of immediately prior to the Effective Time (taking into account any equitable adjustment made to each Continuing Parent Option to reflect the Parent Pre-Closing Dividend). Prior to the Closing, the Parent Board shall have adopted appropriate resolutions and taken all other actions reasonably necessary and appropriate to provide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shall adopt appropriate resolutions to provide that (i) no new offering periods under the Parent ESPP shall be commenced following or in addition to the offering periods underway as of the date of this Agreement (the “</w:t>
      </w:r>
      <w:r>
        <w:rPr>
          <w:rFonts w:ascii="Times New Roman" w:hAnsi="Times New Roman"/>
          <w:b/>
          <w:sz w:val="20"/>
        </w:rPr>
        <w:t>Current Offering Periods</w:t>
      </w:r>
      <w:r>
        <w:rPr>
          <w:rFonts w:ascii="Times New Roman" w:hAnsi="Times New Roman"/>
          <w:sz w:val="20"/>
        </w:rPr>
        <w:t xml:space="preserve">”), (ii) no payroll deductions or other contributions shall be made or effected after the completion of the Current Offering Periods with respect to the Parent ESPP, (iii) no individual who is not participating in the Parent ESPP as of the date of this Agreement may commence participation therein, (iv) no participant may increase his or her rate of payroll contributions under the Parent ESPP from the rate in effect as of the date of this Agreement, and (iv) if any Current Offering Period would otherwise still be in effect at the Effective Time, then the last day (and purchase date) of such Current Offering Period shall be accelerated to a date determined by the Parent Board that is prior to the Closing Date. </w:t>
      </w:r>
    </w:p>
    <w:p>
      <w:pPr>
        <w:pStyle w:val="TextBody"/>
        <w:bidi w:val="0"/>
        <w:spacing w:before="240" w:after="0"/>
        <w:jc w:val="left"/>
        <w:rPr>
          <w:rFonts w:ascii="Times New Roman" w:hAnsi="Times New Roman"/>
          <w:sz w:val="20"/>
        </w:rPr>
      </w:pPr>
      <w:bookmarkStart w:id="177" w:name="annextoc108148_85"/>
      <w:bookmarkEnd w:id="177"/>
      <w:r>
        <w:rPr>
          <w:rFonts w:ascii="Times New Roman" w:hAnsi="Times New Roman"/>
          <w:sz w:val="20"/>
        </w:rPr>
        <w:t xml:space="preserve">Section 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civil, criminal, administrative or investigative, arising out of or pertaining to the fact that the D&amp;O Indemnified Party is or was a director or officer of Parent or of the Company (including in connection with this Agreement, any of the Contemplated Transactions or Parent’s initial public offering of shares of Parent Common Stock),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(in advance of the final disposition thereof) from each of Parent and the Surviving Corporation, jointly and severally, upon receipt by Parent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Latham &amp; Watkins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 The provisions of the certificate of incorporation and bylaws of Parent and the Surviving Corporation with respect to indemnification, advancement of expenses and exculpation of present and former directors and officers shall not be amended, modified or repealed for a period of six years from the Effective Time in a manner that would adversely affect the rights thereunder of any D&amp;O Indemnified Party, unless such amendment, modification or repeal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Effective Time, a six-year prepaid “D&amp;O tail policy” for the non-cancelable extension of the directors’ and officers’ liability coverage of Parent’s existing directors’ and officers’ insurance policies for a claims reporting or discovery period of at least six years from and after the Effective Time (including in connection with this Agreement, any of the Contemplated Transactions or Parent’s initial public offering of shares of Parent Common Stock) with respect to any claim related to any period of time at or prior to the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Effective Time with respect to the procurement of such “D&amp;O tail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From and after the Effective Time, Parent shall pay all expenses, including reasonable attorneys’ fees, that are incurred by the persons referred to in this </w:t>
      </w:r>
      <w:r>
        <w:rPr>
          <w:rFonts w:ascii="Times New Roman" w:hAnsi="Times New Roman"/>
          <w:sz w:val="20"/>
          <w:u w:val="single"/>
        </w:rPr>
        <w:t>Section 6.7</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6.7</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sz w:val="20"/>
          <w:u w:val="single"/>
        </w:rPr>
        <w:t>Section 6.7</w:t>
      </w:r>
      <w:r>
        <w:rPr>
          <w:rFonts w:ascii="Times New Roman" w:hAnsi="Times New Roman"/>
          <w:sz w:val="20"/>
        </w:rPr>
        <w:t xml:space="preserve">. Parent shall cause the Surviving Corporation to perform all of the obligations of the Surviving Corporation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8" w:name="annextoc108148_86"/>
      <w:bookmarkEnd w:id="178"/>
      <w:r>
        <w:rPr>
          <w:rFonts w:ascii="Times New Roman" w:hAnsi="Times New Roman"/>
          <w:sz w:val="20"/>
        </w:rPr>
        <w:t xml:space="preserve">Section 6.8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sz w:val="20"/>
          <w:u w:val="single"/>
        </w:rPr>
        <w:t>Section 6.8</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9" w:name="annextoc108148_87"/>
      <w:bookmarkEnd w:id="179"/>
      <w:r>
        <w:rPr>
          <w:rFonts w:ascii="Times New Roman" w:hAnsi="Times New Roman"/>
          <w:sz w:val="20"/>
        </w:rPr>
        <w:t xml:space="preserve">Section 6.9 </w:t>
      </w:r>
      <w:r>
        <w:rPr>
          <w:rFonts w:ascii="Times New Roman" w:hAnsi="Times New Roman"/>
          <w:sz w:val="20"/>
          <w:u w:val="single"/>
        </w:rPr>
        <w:t>Listing</w:t>
      </w:r>
      <w:r>
        <w:rPr>
          <w:rFonts w:ascii="Times New Roman" w:hAnsi="Times New Roman"/>
          <w:sz w:val="20"/>
        </w:rPr>
        <w:t>. At or prior to the Effective Time, Parent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action contemplated by this </w:t>
      </w:r>
      <w:r>
        <w:rPr>
          <w:rFonts w:ascii="Times New Roman" w:hAnsi="Times New Roman"/>
          <w:sz w:val="20"/>
          <w:u w:val="single"/>
        </w:rPr>
        <w:t>Section 6.9</w:t>
      </w:r>
      <w:r>
        <w:rPr>
          <w:rFonts w:ascii="Times New Roman" w:hAnsi="Times New Roman"/>
          <w:sz w:val="20"/>
        </w:rPr>
        <w:t xml:space="preserve">. All Nasdaq fees associated with any action contemplated by this </w:t>
      </w:r>
      <w:r>
        <w:rPr>
          <w:rFonts w:ascii="Times New Roman" w:hAnsi="Times New Roman"/>
          <w:sz w:val="20"/>
          <w:u w:val="single"/>
        </w:rPr>
        <w:t>Section 6.9</w:t>
      </w:r>
      <w:r>
        <w:rPr>
          <w:rFonts w:ascii="Times New Roman" w:hAnsi="Times New Roman"/>
          <w:sz w:val="20"/>
        </w:rPr>
        <w:t>, including any fees related to the engagement of a consultant (the “</w:t>
      </w:r>
      <w:r>
        <w:rPr>
          <w:rFonts w:ascii="Times New Roman" w:hAnsi="Times New Roman"/>
          <w:b/>
          <w:sz w:val="20"/>
        </w:rPr>
        <w:t>Nasdaq Fees</w:t>
      </w:r>
      <w:r>
        <w:rPr>
          <w:rFonts w:ascii="Times New Roman" w:hAnsi="Times New Roman"/>
          <w:sz w:val="20"/>
        </w:rPr>
        <w:t xml:space="preserve">”), shall be paid by the Company. </w:t>
      </w:r>
    </w:p>
    <w:p>
      <w:pPr>
        <w:pStyle w:val="TextBody"/>
        <w:bidi w:val="0"/>
        <w:spacing w:before="240" w:after="0"/>
        <w:jc w:val="left"/>
        <w:rPr>
          <w:rFonts w:ascii="Times New Roman" w:hAnsi="Times New Roman"/>
          <w:sz w:val="20"/>
        </w:rPr>
      </w:pPr>
      <w:bookmarkStart w:id="180" w:name="annextoc108148_88"/>
      <w:bookmarkEnd w:id="180"/>
      <w:r>
        <w:rPr>
          <w:rFonts w:ascii="Times New Roman" w:hAnsi="Times New Roman"/>
          <w:sz w:val="20"/>
        </w:rPr>
        <w:t xml:space="preserve">Section 6.10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Effective Time, Parent becomes aware of any fact or circumstance that could reasonably be expected to prevent, cause a failure of, or impede the Intended Tax Treatment. The Company shall promptly notify Parent if, at any time before the Effective Time, the Company becomes aware of any fact or circumstance that could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and Proxy Statement, (i) Parent and Company shall each use its reasonable best efforts to cause Latham &amp; Watkins LLP (or other nationally recognized law firm reasonably satisfactory to Parent) and Gibson, Dunn &amp; Crutcher LLP (or other nationally recognized law firm reasonably satisfactory to Company), respectively, to furnish such opinion (as so required and subject to customary assumptions and limitations) and (ii) Parent and Company shall each deliver to Latham &amp; Watkins LLP (or other nationally recognized law firm reasonably satisfactory to Parent) and Gibson, Dunn &amp; Crutcher LLP (or other nationally recognized law firm reasonably satisfactory to Company) a Tax certificate, dated as of the date the Registration Statement and Proxy Statement shall have been declared effective by the SEC and signed by an officer of Parent or Company, as applicable, containing customary representations and covenants reasonably acceptable to Company and Parent, as applicable, in each case, as reasonably necessary and appropriate to enable such advisor to render such opinion (the “</w:t>
      </w:r>
      <w:r>
        <w:rPr>
          <w:rFonts w:ascii="Times New Roman" w:hAnsi="Times New Roman"/>
          <w:b/>
          <w:sz w:val="20"/>
        </w:rPr>
        <w:t>Tax Certificates</w:t>
      </w:r>
      <w:r>
        <w:rPr>
          <w:rFonts w:ascii="Times New Roman" w:hAnsi="Times New Roman"/>
          <w:sz w:val="20"/>
        </w:rPr>
        <w:t xml:space="preserve">”). Each of Parent and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bookmarkStart w:id="181" w:name="annextoc108148_89"/>
      <w:bookmarkEnd w:id="181"/>
      <w:r>
        <w:rPr>
          <w:rFonts w:ascii="Times New Roman" w:hAnsi="Times New Roman"/>
          <w:sz w:val="20"/>
        </w:rPr>
        <w:t xml:space="preserve">Section 6.11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Capital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2" w:name="annextoc108148_90"/>
      <w:bookmarkEnd w:id="182"/>
      <w:r>
        <w:rPr>
          <w:rFonts w:ascii="Times New Roman" w:hAnsi="Times New Roman"/>
          <w:sz w:val="20"/>
        </w:rPr>
        <w:t xml:space="preserve">Section 6.12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take all necessary action so that the Persons listed on </w:t>
      </w:r>
      <w:r>
        <w:rPr>
          <w:rFonts w:ascii="Times New Roman" w:hAnsi="Times New Roman"/>
          <w:sz w:val="20"/>
          <w:u w:val="single"/>
        </w:rPr>
        <w:t>Section 6.12</w:t>
      </w:r>
      <w:r>
        <w:rPr>
          <w:rFonts w:ascii="Times New Roman" w:hAnsi="Times New Roman"/>
          <w:sz w:val="20"/>
        </w:rPr>
        <w:t xml:space="preserve"> of the Company Disclosure Letter are elected or appointed, as applicable, to the positions of officers or directors of Parent and the Surviving Corporation, as set forth therein, to serve in such positions effective as of the Effective Time. If any Person listed on </w:t>
      </w:r>
      <w:r>
        <w:rPr>
          <w:rFonts w:ascii="Times New Roman" w:hAnsi="Times New Roman"/>
          <w:sz w:val="20"/>
          <w:u w:val="single"/>
        </w:rPr>
        <w:t>Section 6.12</w:t>
      </w:r>
      <w:r>
        <w:rPr>
          <w:rFonts w:ascii="Times New Roman" w:hAnsi="Times New Roman"/>
          <w:sz w:val="20"/>
        </w:rPr>
        <w:t xml:space="preserve"> of the Company Disclosure Letter is unable or unwilling to serve as officer or director of Parent or the Surviving Corporation, as set forth therein, the Company shall designate a successor. The Parties shall use reasonable best efforts to have each of the Persons that will serve as directors and officers of the Parent following the Closing to execute and deliver a Lock-Up Agreement prior to Closing. The number of directors constituting the board of directors of Parent and of the Surviving Corporation as of immediately following the Effective Time shall be determined by the Company in its sole discretion (subject to compliance with the director independence requirements of Nasdaq), and the individuals serving as such directors, and as the officers of Parent and the Surviving Corporation, shall be those designated by the Company as set forth on </w:t>
      </w:r>
      <w:r>
        <w:rPr>
          <w:rFonts w:ascii="Times New Roman" w:hAnsi="Times New Roman"/>
          <w:sz w:val="20"/>
          <w:u w:val="single"/>
        </w:rPr>
        <w:t>Section 6.12</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83" w:name="annextoc108148_91"/>
      <w:bookmarkEnd w:id="183"/>
      <w:r>
        <w:rPr>
          <w:rFonts w:ascii="Times New Roman" w:hAnsi="Times New Roman"/>
          <w:sz w:val="20"/>
        </w:rPr>
        <w:t xml:space="preserve">Section 6.13 </w:t>
      </w:r>
      <w:r>
        <w:rPr>
          <w:rFonts w:ascii="Times New Roman" w:hAnsi="Times New Roman"/>
          <w:sz w:val="20"/>
          <w:u w:val="single"/>
        </w:rPr>
        <w:t>Termination of Certain Agreements and Rights</w:t>
      </w:r>
      <w:r>
        <w:rPr>
          <w:rFonts w:ascii="Times New Roman" w:hAnsi="Times New Roman"/>
          <w:sz w:val="20"/>
        </w:rPr>
        <w:t>. Other than the Registration Rights Agreement, which shall remain in full force and effect following the Closing,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hAnsi="Times New Roman"/>
          <w:b/>
          <w:sz w:val="20"/>
        </w:rPr>
        <w:t>Investor Agreements</w:t>
      </w:r>
      <w:r>
        <w:rPr>
          <w:rFonts w:ascii="Times New Roman" w:hAnsi="Times New Roman"/>
          <w:sz w:val="20"/>
        </w:rPr>
        <w:t xml:space="preserve">”), including any such Contract granting any Person investor rights, rights of first refusal, registration rights or director registration rights, to be terminated immediately prior to the Effective Time, without any liability being imposed on the part of Parent or the Surviving Corporation. </w:t>
      </w:r>
    </w:p>
    <w:p>
      <w:pPr>
        <w:pStyle w:val="TextBody"/>
        <w:bidi w:val="0"/>
        <w:spacing w:before="240" w:after="0"/>
        <w:jc w:val="left"/>
        <w:rPr>
          <w:rFonts w:ascii="Times New Roman" w:hAnsi="Times New Roman"/>
          <w:sz w:val="20"/>
        </w:rPr>
      </w:pPr>
      <w:bookmarkStart w:id="184" w:name="annextoc108148_92"/>
      <w:bookmarkEnd w:id="184"/>
      <w:r>
        <w:rPr>
          <w:rFonts w:ascii="Times New Roman" w:hAnsi="Times New Roman"/>
          <w:sz w:val="20"/>
        </w:rPr>
        <w:t xml:space="preserve">Section 6.14 </w:t>
      </w:r>
      <w:r>
        <w:rPr>
          <w:rFonts w:ascii="Times New Roman" w:hAnsi="Times New Roman"/>
          <w:sz w:val="20"/>
          <w:u w:val="single"/>
        </w:rPr>
        <w:t>Section 16 Matters</w:t>
      </w:r>
      <w:r>
        <w:rPr>
          <w:rFonts w:ascii="Times New Roman" w:hAnsi="Times New Roman"/>
          <w:sz w:val="20"/>
        </w:rPr>
        <w:t xml:space="preserve">. Prior to the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85" w:name="annextoc108148_93"/>
      <w:bookmarkEnd w:id="185"/>
      <w:r>
        <w:rPr>
          <w:rFonts w:ascii="Times New Roman" w:hAnsi="Times New Roman"/>
          <w:sz w:val="20"/>
        </w:rPr>
        <w:t xml:space="preserve">Section 6.15 </w:t>
      </w:r>
      <w:r>
        <w:rPr>
          <w:rFonts w:ascii="Times New Roman" w:hAnsi="Times New Roman"/>
          <w:sz w:val="20"/>
          <w:u w:val="single"/>
        </w:rPr>
        <w:t>Allocation Information</w:t>
      </w:r>
      <w:r>
        <w:rPr>
          <w:rFonts w:ascii="Times New Roman" w:hAnsi="Times New Roman"/>
          <w:sz w:val="20"/>
        </w:rPr>
        <w:t>. The Company will prepare and deliver to Parent prior to the Closing a spreadsheet setting forth (as of immediately prior to the Effective Time) (a) each holder of (i) Company Capital Stock, (ii) Company Options and (iii) Company Warrants, (b) such holder’s name and address, (c) with respect to holders of Company Capital Stock, the number or percentage and type of Company Capital Stock held as of the Closing Date for each such holder and (d) the number of shares of Parent Capital Stock, Assumed Options and Assumed Warrants to be issued to such holder pursuant to this Agreement in respect of the Company Capital Stock, Company Options and Company Warrants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6" w:name="annextoc108148_94"/>
      <w:bookmarkEnd w:id="186"/>
      <w:r>
        <w:rPr>
          <w:rFonts w:ascii="Times New Roman" w:hAnsi="Times New Roman"/>
          <w:sz w:val="20"/>
        </w:rPr>
        <w:t xml:space="preserve">Section 6.16 </w:t>
      </w:r>
      <w:r>
        <w:rPr>
          <w:rFonts w:ascii="Times New Roman" w:hAnsi="Times New Roman"/>
          <w:sz w:val="20"/>
          <w:u w:val="single"/>
        </w:rPr>
        <w:t>Parent SEC Documents</w:t>
      </w:r>
      <w:r>
        <w:rPr>
          <w:rFonts w:ascii="Times New Roman" w:hAnsi="Times New Roman"/>
          <w:sz w:val="20"/>
        </w:rPr>
        <w:t>. From the date of this Agreement to the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other than with respect to information supplied by or on behalf of the Company to Parent for inclusion in such SEC Document, shall not contain any untrue statement of a material fact or omit to state any material fact required to be stated therein or necessary in order to make the statements made therein, in light of the circumstances under which they were made, not misleading. The Company shall (i) promptly provide all information reasonably requested by Parent to comply with Parent’s obligations under this </w:t>
      </w:r>
      <w:r>
        <w:rPr>
          <w:rFonts w:ascii="Times New Roman" w:hAnsi="Times New Roman"/>
          <w:sz w:val="20"/>
          <w:u w:val="single"/>
        </w:rPr>
        <w:t>Section 6.16</w:t>
      </w:r>
      <w:r>
        <w:rPr>
          <w:rFonts w:ascii="Times New Roman" w:hAnsi="Times New Roman"/>
          <w:sz w:val="20"/>
        </w:rPr>
        <w:t xml:space="preserve">, (ii) review and provide comments on any portions of any SEC Document that relate to the Company or the Contemplated Transactions promptly following of receipt thereof, and (iii) promptly notify Parent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becomes aware that any information previously provided by the Company for inclusion in any SEC Document has become inaccurate or incomplete in any material respect. </w:t>
      </w:r>
    </w:p>
    <w:p>
      <w:pPr>
        <w:pStyle w:val="TextBody"/>
        <w:bidi w:val="0"/>
        <w:spacing w:before="240" w:after="0"/>
        <w:jc w:val="left"/>
        <w:rPr>
          <w:rFonts w:ascii="Times New Roman" w:hAnsi="Times New Roman"/>
          <w:sz w:val="20"/>
        </w:rPr>
      </w:pPr>
      <w:bookmarkStart w:id="187" w:name="annextoc108148_95"/>
      <w:bookmarkEnd w:id="187"/>
      <w:r>
        <w:rPr>
          <w:rFonts w:ascii="Times New Roman" w:hAnsi="Times New Roman"/>
          <w:sz w:val="20"/>
        </w:rPr>
        <w:t xml:space="preserve">Section 6.17 </w:t>
      </w:r>
      <w:r>
        <w:rPr>
          <w:rFonts w:ascii="Times New Roman" w:hAnsi="Times New Roman"/>
          <w:sz w:val="20"/>
          <w:u w:val="single"/>
        </w:rPr>
        <w:t>Notice of Certain Transactions</w:t>
      </w:r>
      <w:r>
        <w:rPr>
          <w:rFonts w:ascii="Times New Roman" w:hAnsi="Times New Roman"/>
          <w:sz w:val="20"/>
        </w:rPr>
        <w:t xml:space="preserve">. Subject to </w:t>
      </w:r>
      <w:r>
        <w:rPr>
          <w:rFonts w:ascii="Times New Roman" w:hAnsi="Times New Roman"/>
          <w:sz w:val="20"/>
          <w:u w:val="single"/>
        </w:rPr>
        <w:t>Section 5.2</w:t>
      </w:r>
      <w:r>
        <w:rPr>
          <w:rFonts w:ascii="Times New Roman" w:hAnsi="Times New Roman"/>
          <w:sz w:val="20"/>
        </w:rPr>
        <w:t xml:space="preserve">, as reasonably practicable following the issuance, sale, transfer or other disposition of any Company Capital Stock (or securities convertible or exercisable into shares of Company Capital Stock) prior to the Closing, the Company shall provide notice to Parent (email being sufficient) setting forth in reasonable detail the terms of such transaction, including (if applicable) the amount of proceeds actually received by the Company in connection with such transaction. </w:t>
      </w:r>
    </w:p>
    <w:p>
      <w:pPr>
        <w:pStyle w:val="TextBody"/>
        <w:bidi w:val="0"/>
        <w:spacing w:before="240" w:after="0"/>
        <w:jc w:val="left"/>
        <w:rPr>
          <w:rFonts w:ascii="Times New Roman" w:hAnsi="Times New Roman"/>
          <w:sz w:val="20"/>
        </w:rPr>
      </w:pPr>
      <w:bookmarkStart w:id="188" w:name="annextoc108148_96"/>
      <w:bookmarkEnd w:id="188"/>
      <w:r>
        <w:rPr>
          <w:rFonts w:ascii="Times New Roman" w:hAnsi="Times New Roman"/>
          <w:sz w:val="20"/>
        </w:rPr>
        <w:t xml:space="preserve">Section 6.18 </w:t>
      </w:r>
      <w:r>
        <w:rPr>
          <w:rFonts w:ascii="Times New Roman" w:hAnsi="Times New Roman"/>
          <w:sz w:val="20"/>
          <w:u w:val="single"/>
        </w:rPr>
        <w:t>Obligations of Merger Sub</w:t>
      </w:r>
      <w:r>
        <w:rPr>
          <w:rFonts w:ascii="Times New Roman" w:hAnsi="Times New Roman"/>
          <w:sz w:val="20"/>
        </w:rPr>
        <w:t xml:space="preserve">. Parent will take all action necessary to cause each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89" w:name="annextoc108148_97"/>
      <w:bookmarkEnd w:id="189"/>
      <w:r>
        <w:rPr>
          <w:rFonts w:ascii="Times New Roman" w:hAnsi="Times New Roman"/>
          <w:sz w:val="20"/>
        </w:rPr>
        <w:t xml:space="preserve">Section 6.19 </w:t>
      </w:r>
      <w:r>
        <w:rPr>
          <w:rFonts w:ascii="Times New Roman" w:hAnsi="Times New Roman"/>
          <w:sz w:val="20"/>
          <w:u w:val="single"/>
        </w:rPr>
        <w:t>Company Pre-Closing Financing</w:t>
      </w:r>
      <w:r>
        <w:rPr>
          <w:rFonts w:ascii="Times New Roman" w:hAnsi="Times New Roman"/>
          <w:sz w:val="20"/>
        </w:rPr>
        <w:t>. Unless otherwise approved in writing by Parent (which approval shall not be unreasonably withheld, conditioned, delayed or denied), the Company shall not (a) reduce the subscription amount under the Series A Financing Agreement or otherwise reduce the aggregate proceeds to be received by the Company from the Company Pre-Closing Financing below the Company Pre-Closing Financing Minimum Amount, or (b) amend, waive or modify the Series A Financing Agreement or the Subscription Agreement in any manner that could reasonably be expected to delay or impede the consummation of the Contemplated Transactions.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w:t>
      </w:r>
      <w:r>
        <w:rPr>
          <w:rFonts w:ascii="Times New Roman" w:hAnsi="Times New Roman"/>
          <w:sz w:val="20"/>
          <w:u w:val="single"/>
        </w:rPr>
        <w:t>’</w:t>
      </w:r>
      <w:r>
        <w:rPr>
          <w:rFonts w:ascii="Times New Roman" w:hAnsi="Times New Roman"/>
          <w:sz w:val="20"/>
        </w:rPr>
        <w:t xml:space="preserve">s applicable Subscription Agreement in accordance with its terms. The Company shall use its commercially reasonable efforts to (A) maintain in effect the Subscription Agreement, (B) enforce its rights under the Subscription Agreement, and (C) comply with its obligations thereunder, and shall give Parent prompt notice of any actual or threatened breach, default, termination or repudiation by any party to the Subscription Agreement of which the Company becomes aware. The Company shall promptly provide information reasonably requested by Parent relating to any such breach, default, termination, or repudiation. </w:t>
      </w:r>
    </w:p>
    <w:p>
      <w:pPr>
        <w:pStyle w:val="TextBody"/>
        <w:bidi w:val="0"/>
        <w:spacing w:before="240" w:after="0"/>
        <w:jc w:val="left"/>
        <w:rPr>
          <w:rFonts w:ascii="Times New Roman" w:hAnsi="Times New Roman"/>
          <w:sz w:val="20"/>
        </w:rPr>
      </w:pPr>
      <w:bookmarkStart w:id="190" w:name="annextoc108148_98"/>
      <w:bookmarkEnd w:id="190"/>
      <w:r>
        <w:rPr>
          <w:rFonts w:ascii="Times New Roman" w:hAnsi="Times New Roman"/>
          <w:sz w:val="20"/>
        </w:rPr>
        <w:t xml:space="preserve">Section 6.20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prior to the Effective Time, Parent shall deposit the Parent Pre-Closing Dividend Amount with Parent’s transfer agent for further distribution to the holders of the shares of Parent Common Stock outstanding as of the record date of the Parent Pre-Closing Dividend. </w:t>
      </w:r>
    </w:p>
    <w:p>
      <w:pPr>
        <w:pStyle w:val="TextBody"/>
        <w:bidi w:val="0"/>
        <w:spacing w:before="0" w:after="0"/>
        <w:jc w:val="center"/>
        <w:rPr>
          <w:rFonts w:ascii="Times New Roman" w:hAnsi="Times New Roman"/>
          <w:sz w:val="22"/>
        </w:rPr>
      </w:pPr>
      <w:bookmarkStart w:id="191" w:name="annextoc108148_99"/>
      <w:bookmarkEnd w:id="191"/>
      <w:r>
        <w:rPr>
          <w:rFonts w:ascii="Times New Roman" w:hAnsi="Times New Roman"/>
          <w:sz w:val="22"/>
        </w:rPr>
        <w:t xml:space="preserve">ARTICLE VII. </w:t>
      </w:r>
    </w:p>
    <w:p>
      <w:pPr>
        <w:pStyle w:val="TextBody"/>
        <w:bidi w:val="0"/>
        <w:spacing w:before="120" w:after="0"/>
        <w:jc w:val="center"/>
        <w:rPr>
          <w:rFonts w:ascii="Times New Roman" w:hAnsi="Times New Roman"/>
          <w:sz w:val="22"/>
        </w:rPr>
      </w:pPr>
      <w:r>
        <w:rPr>
          <w:rFonts w:ascii="Times New Roman" w:hAnsi="Times New Roman"/>
          <w:sz w:val="22"/>
        </w:rPr>
        <w:t xml:space="preserve">CONDITIONS PRECEDENT TO OBLIGATIONS OF EACH PARTY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bookmarkStart w:id="192" w:name="annextoc108148_100"/>
      <w:bookmarkEnd w:id="192"/>
      <w:r>
        <w:rPr>
          <w:rFonts w:ascii="Times New Roman" w:hAnsi="Times New Roman"/>
          <w:sz w:val="20"/>
        </w:rPr>
        <w:t xml:space="preserve">Section 7.1 </w:t>
      </w:r>
      <w:r>
        <w:rPr>
          <w:rFonts w:ascii="Times New Roman" w:hAnsi="Times New Roman"/>
          <w:sz w:val="20"/>
          <w:u w:val="single"/>
        </w:rPr>
        <w:t>No Restraints</w:t>
      </w:r>
      <w:r>
        <w:rPr>
          <w:rFonts w:ascii="Times New Roman" w:hAnsi="Times New Roman"/>
          <w:sz w:val="20"/>
        </w:rPr>
        <w:t xml:space="preserve">.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193" w:name="annextoc108148_101"/>
      <w:bookmarkEnd w:id="193"/>
      <w:r>
        <w:rPr>
          <w:rFonts w:ascii="Times New Roman" w:hAnsi="Times New Roman"/>
          <w:sz w:val="20"/>
        </w:rPr>
        <w:t xml:space="preserve">Section 7.2 </w:t>
      </w:r>
      <w:r>
        <w:rPr>
          <w:rFonts w:ascii="Times New Roman" w:hAnsi="Times New Roman"/>
          <w:sz w:val="20"/>
          <w:u w:val="single"/>
        </w:rPr>
        <w:t>Stockholder Approval</w:t>
      </w:r>
      <w:r>
        <w:rPr>
          <w:rFonts w:ascii="Times New Roman" w:hAnsi="Times New Roman"/>
          <w:sz w:val="20"/>
        </w:rPr>
        <w:t xml:space="preserve">. (a) Parent shall have obtained the Required Parent Stockholder Vote (but solely with respect to such items as are necessary to consummate the transactions contemplated by this Agreement) and (b) the Company shall have obtained the Required Company Stockholder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4" w:name="annextoc108148_102"/>
      <w:bookmarkEnd w:id="194"/>
      <w:r>
        <w:rPr>
          <w:rFonts w:ascii="Times New Roman" w:hAnsi="Times New Roman"/>
          <w:sz w:val="20"/>
        </w:rPr>
        <w:t xml:space="preserve">Section 7.3 </w:t>
      </w:r>
      <w:r>
        <w:rPr>
          <w:rFonts w:ascii="Times New Roman" w:hAnsi="Times New Roman"/>
          <w:sz w:val="20"/>
          <w:u w:val="single"/>
        </w:rPr>
        <w:t>Listing</w:t>
      </w:r>
      <w:r>
        <w:rPr>
          <w:rFonts w:ascii="Times New Roman" w:hAnsi="Times New Roman"/>
          <w:sz w:val="20"/>
        </w:rPr>
        <w:t xml:space="preserve">. The Nasdaq Listing Application shall have been approved by Nasdaq. </w:t>
      </w:r>
    </w:p>
    <w:p>
      <w:pPr>
        <w:pStyle w:val="TextBody"/>
        <w:bidi w:val="0"/>
        <w:spacing w:before="240" w:after="0"/>
        <w:jc w:val="left"/>
        <w:rPr>
          <w:rFonts w:ascii="Times New Roman" w:hAnsi="Times New Roman"/>
          <w:sz w:val="20"/>
        </w:rPr>
      </w:pPr>
      <w:bookmarkStart w:id="195" w:name="annextoc108148_103"/>
      <w:bookmarkEnd w:id="195"/>
      <w:r>
        <w:rPr>
          <w:rFonts w:ascii="Times New Roman" w:hAnsi="Times New Roman"/>
          <w:sz w:val="20"/>
        </w:rPr>
        <w:t xml:space="preserve">Section 7.4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r>
        <w:rPr>
          <w:rFonts w:ascii="Times New Roman" w:hAnsi="Times New Roman"/>
          <w:sz w:val="20"/>
          <w:u w:val="single"/>
        </w:rPr>
        <w:t>provided</w:t>
      </w:r>
      <w:r>
        <w:rPr>
          <w:rFonts w:ascii="Times New Roman" w:hAnsi="Times New Roman"/>
          <w:sz w:val="20"/>
        </w:rPr>
        <w:t xml:space="preserve">, that the Company may not rely on the failure of this condition to be satisfied to refuse to consummate the Contemplated Transactions to the extent such failure was caused by or resulted from the Company’s breach of its obligations under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6" w:name="annextoc108148_104"/>
      <w:bookmarkEnd w:id="196"/>
      <w:r>
        <w:rPr>
          <w:rFonts w:ascii="Times New Roman" w:hAnsi="Times New Roman"/>
          <w:sz w:val="20"/>
        </w:rPr>
        <w:t xml:space="preserve">Section 7.5 </w:t>
      </w:r>
      <w:r>
        <w:rPr>
          <w:rFonts w:ascii="Times New Roman" w:hAnsi="Times New Roman"/>
          <w:sz w:val="20"/>
          <w:u w:val="single"/>
        </w:rPr>
        <w:t>Regulatory Approvals</w:t>
      </w:r>
      <w:r>
        <w:rPr>
          <w:rFonts w:ascii="Times New Roman" w:hAnsi="Times New Roman"/>
          <w:sz w:val="20"/>
        </w:rPr>
        <w:t xml:space="preserve">. Any applicable waiting periods (or extensions thereof) under the HSR Act shall have expired or otherwise been terminated. </w:t>
      </w:r>
    </w:p>
    <w:p>
      <w:pPr>
        <w:pStyle w:val="TextBody"/>
        <w:bidi w:val="0"/>
        <w:spacing w:before="480" w:after="0"/>
        <w:jc w:val="center"/>
        <w:rPr>
          <w:rFonts w:ascii="Times New Roman" w:hAnsi="Times New Roman"/>
          <w:sz w:val="22"/>
        </w:rPr>
      </w:pPr>
      <w:bookmarkStart w:id="197" w:name="annextoc108148_105"/>
      <w:bookmarkEnd w:id="197"/>
      <w:r>
        <w:rPr>
          <w:rFonts w:ascii="Times New Roman" w:hAnsi="Times New Roman"/>
          <w:sz w:val="22"/>
        </w:rPr>
        <w:t xml:space="preserve">ARTICLE VIII. </w:t>
      </w:r>
    </w:p>
    <w:p>
      <w:pPr>
        <w:pStyle w:val="TextBody"/>
        <w:bidi w:val="0"/>
        <w:spacing w:before="120" w:after="0"/>
        <w:jc w:val="center"/>
        <w:rPr>
          <w:rFonts w:ascii="Times New Roman" w:hAnsi="Times New Roman"/>
          <w:sz w:val="22"/>
        </w:rPr>
      </w:pPr>
      <w:r>
        <w:rPr>
          <w:rFonts w:ascii="Times New Roman" w:hAnsi="Times New Roman"/>
          <w:sz w:val="22"/>
        </w:rPr>
        <w:t xml:space="preserve">ADDITIONAL CONDITIONS PRECEDENT TO OBLIGATIONS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240" w:after="0"/>
        <w:jc w:val="left"/>
        <w:rPr>
          <w:rFonts w:ascii="Times New Roman" w:hAnsi="Times New Roman"/>
          <w:sz w:val="20"/>
        </w:rPr>
      </w:pPr>
      <w:bookmarkStart w:id="198" w:name="annextoc108148_106"/>
      <w:bookmarkEnd w:id="198"/>
      <w:r>
        <w:rPr>
          <w:rFonts w:ascii="Times New Roman" w:hAnsi="Times New Roman"/>
          <w:sz w:val="20"/>
        </w:rPr>
        <w:t xml:space="preserve">Section 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99" w:name="annextoc108148_107"/>
      <w:bookmarkEnd w:id="199"/>
      <w:r>
        <w:rPr>
          <w:rFonts w:ascii="Times New Roman" w:hAnsi="Times New Roman"/>
          <w:sz w:val="20"/>
        </w:rPr>
        <w:t xml:space="preserve">Section 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bookmarkStart w:id="200" w:name="annextoc108148_108"/>
      <w:bookmarkEnd w:id="200"/>
      <w:r>
        <w:rPr>
          <w:rFonts w:ascii="Times New Roman" w:hAnsi="Times New Roman"/>
          <w:sz w:val="20"/>
        </w:rPr>
        <w:t xml:space="preserve">Section 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(other than emails and addresses) set forth in the Allocation Certificate delivered by the company in accordance with </w:t>
      </w:r>
      <w:r>
        <w:rPr>
          <w:rFonts w:ascii="Times New Roman" w:hAnsi="Times New Roman"/>
          <w:sz w:val="20"/>
          <w:u w:val="single"/>
        </w:rPr>
        <w:t>Section 6.15</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Valuation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duly executed by the Persons listed on Section B of the Company Disclosure Letter, which shall be in full force and effect. </w:t>
      </w:r>
    </w:p>
    <w:p>
      <w:pPr>
        <w:pStyle w:val="TextBody"/>
        <w:bidi w:val="0"/>
        <w:spacing w:before="240" w:after="0"/>
        <w:jc w:val="left"/>
        <w:rPr>
          <w:rFonts w:ascii="Times New Roman" w:hAnsi="Times New Roman"/>
          <w:sz w:val="20"/>
        </w:rPr>
      </w:pPr>
      <w:bookmarkStart w:id="201" w:name="annextoc108148_109"/>
      <w:bookmarkEnd w:id="201"/>
      <w:r>
        <w:rPr>
          <w:rFonts w:ascii="Times New Roman" w:hAnsi="Times New Roman"/>
          <w:sz w:val="20"/>
        </w:rPr>
        <w:t xml:space="preserve">Section 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240" w:after="0"/>
        <w:jc w:val="left"/>
        <w:rPr>
          <w:rFonts w:ascii="Times New Roman" w:hAnsi="Times New Roman"/>
          <w:sz w:val="20"/>
        </w:rPr>
      </w:pPr>
      <w:bookmarkStart w:id="202" w:name="annextoc108148_110"/>
      <w:bookmarkEnd w:id="202"/>
      <w:r>
        <w:rPr>
          <w:rFonts w:ascii="Times New Roman" w:hAnsi="Times New Roman"/>
          <w:sz w:val="20"/>
        </w:rPr>
        <w:t xml:space="preserve">Section 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collectively constituting the Required Company Stockholder Vote shall have been obtained and remain in full force and effect. </w:t>
      </w:r>
    </w:p>
    <w:p>
      <w:pPr>
        <w:pStyle w:val="TextBody"/>
        <w:bidi w:val="0"/>
        <w:spacing w:before="240" w:after="0"/>
        <w:jc w:val="left"/>
        <w:rPr>
          <w:rFonts w:ascii="Times New Roman" w:hAnsi="Times New Roman"/>
          <w:sz w:val="20"/>
        </w:rPr>
      </w:pPr>
      <w:bookmarkStart w:id="203" w:name="annextoc108148_111"/>
      <w:bookmarkEnd w:id="203"/>
      <w:r>
        <w:rPr>
          <w:rFonts w:ascii="Times New Roman" w:hAnsi="Times New Roman"/>
          <w:sz w:val="20"/>
        </w:rPr>
        <w:t xml:space="preserve">Section 8.6 </w:t>
      </w:r>
      <w:r>
        <w:rPr>
          <w:rFonts w:ascii="Times New Roman" w:hAnsi="Times New Roman"/>
          <w:sz w:val="20"/>
          <w:u w:val="single"/>
        </w:rPr>
        <w:t>Termination of Investor Agreements</w:t>
      </w:r>
      <w:r>
        <w:rPr>
          <w:rFonts w:ascii="Times New Roman" w:hAnsi="Times New Roman"/>
          <w:sz w:val="20"/>
        </w:rPr>
        <w:t xml:space="preserve">. The Company’s Investor Agreements shall have been terminated (or will be terminated as of the Closing). </w:t>
      </w:r>
    </w:p>
    <w:p>
      <w:pPr>
        <w:pStyle w:val="TextBody"/>
        <w:bidi w:val="0"/>
        <w:spacing w:before="240" w:after="0"/>
        <w:jc w:val="left"/>
        <w:rPr>
          <w:rFonts w:ascii="Times New Roman" w:hAnsi="Times New Roman"/>
          <w:sz w:val="20"/>
        </w:rPr>
      </w:pPr>
      <w:bookmarkStart w:id="204" w:name="annextoc108148_112"/>
      <w:bookmarkEnd w:id="204"/>
      <w:r>
        <w:rPr>
          <w:rFonts w:ascii="Times New Roman" w:hAnsi="Times New Roman"/>
          <w:sz w:val="20"/>
        </w:rPr>
        <w:t xml:space="preserve">Section 8.7 </w:t>
      </w:r>
      <w:r>
        <w:rPr>
          <w:rFonts w:ascii="Times New Roman" w:hAnsi="Times New Roman"/>
          <w:sz w:val="20"/>
          <w:u w:val="single"/>
        </w:rPr>
        <w:t>License Agreement</w:t>
      </w:r>
      <w:r>
        <w:rPr>
          <w:rFonts w:ascii="Times New Roman" w:hAnsi="Times New Roman"/>
          <w:sz w:val="20"/>
        </w:rPr>
        <w:t xml:space="preserve">. The License Agreement shall be in full force and effect and shall not have been modified or amended in any manner that would have a materially adverse impact on the Surviving Corporation or Parent without Parent’s prior written consent. </w:t>
      </w:r>
    </w:p>
    <w:p>
      <w:pPr>
        <w:pStyle w:val="TextBody"/>
        <w:bidi w:val="0"/>
        <w:spacing w:before="240" w:after="0"/>
        <w:jc w:val="left"/>
        <w:rPr>
          <w:rFonts w:ascii="Times New Roman" w:hAnsi="Times New Roman"/>
          <w:sz w:val="20"/>
        </w:rPr>
      </w:pPr>
      <w:bookmarkStart w:id="205" w:name="annextoc108148_113"/>
      <w:bookmarkEnd w:id="205"/>
      <w:r>
        <w:rPr>
          <w:rFonts w:ascii="Times New Roman" w:hAnsi="Times New Roman"/>
          <w:sz w:val="20"/>
        </w:rPr>
        <w:t xml:space="preserve">Section 8.8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transactions contemplated by the Subscription Agreement. </w:t>
      </w:r>
    </w:p>
    <w:p>
      <w:pPr>
        <w:pStyle w:val="TextBody"/>
        <w:bidi w:val="0"/>
        <w:spacing w:before="480" w:after="0"/>
        <w:jc w:val="center"/>
        <w:rPr>
          <w:rFonts w:ascii="Times New Roman" w:hAnsi="Times New Roman"/>
          <w:sz w:val="22"/>
        </w:rPr>
      </w:pPr>
      <w:bookmarkStart w:id="206" w:name="annextoc108148_114"/>
      <w:bookmarkEnd w:id="206"/>
      <w:r>
        <w:rPr>
          <w:rFonts w:ascii="Times New Roman" w:hAnsi="Times New Roman"/>
          <w:sz w:val="22"/>
        </w:rPr>
        <w:t xml:space="preserve">ARTICLE IX. </w:t>
      </w:r>
    </w:p>
    <w:p>
      <w:pPr>
        <w:pStyle w:val="TextBody"/>
        <w:bidi w:val="0"/>
        <w:spacing w:before="120" w:after="0"/>
        <w:jc w:val="center"/>
        <w:rPr>
          <w:rFonts w:ascii="Times New Roman" w:hAnsi="Times New Roman"/>
          <w:sz w:val="22"/>
        </w:rPr>
      </w:pPr>
      <w:r>
        <w:rPr>
          <w:rFonts w:ascii="Times New Roman" w:hAnsi="Times New Roman"/>
          <w:sz w:val="22"/>
        </w:rPr>
        <w:t xml:space="preserve">ADDITIONAL CONDITIONS PRECEDENT TO OBLIGATION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bookmarkStart w:id="207" w:name="annextoc108148_115"/>
      <w:bookmarkEnd w:id="207"/>
      <w:r>
        <w:rPr>
          <w:rFonts w:ascii="Times New Roman" w:hAnsi="Times New Roman"/>
          <w:sz w:val="20"/>
        </w:rPr>
        <w:t xml:space="preserve">Section 9.1 </w:t>
      </w:r>
      <w:r>
        <w:rPr>
          <w:rFonts w:ascii="Times New Roman" w:hAnsi="Times New Roman"/>
          <w:sz w:val="20"/>
          <w:u w:val="single"/>
        </w:rPr>
        <w:t>Accuracy of Representations</w:t>
      </w:r>
      <w:r>
        <w:rPr>
          <w:rFonts w:ascii="Times New Roman" w:hAnsi="Times New Roman"/>
          <w:sz w:val="20"/>
        </w:rPr>
        <w:t xml:space="preserve">.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correct, subject to the qualifications as set forth in the preceding clause (x), as of such particular date). The representations and warranties of Parent and Merger Sub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208" w:name="annextoc108148_116"/>
      <w:bookmarkEnd w:id="208"/>
      <w:r>
        <w:rPr>
          <w:rFonts w:ascii="Times New Roman" w:hAnsi="Times New Roman"/>
          <w:sz w:val="20"/>
        </w:rPr>
        <w:t xml:space="preserve">Section 9.2 </w:t>
      </w:r>
      <w:r>
        <w:rPr>
          <w:rFonts w:ascii="Times New Roman" w:hAnsi="Times New Roman"/>
          <w:sz w:val="20"/>
          <w:u w:val="single"/>
        </w:rPr>
        <w:t>Performance of Covenants</w:t>
      </w:r>
      <w:r>
        <w:rPr>
          <w:rFonts w:ascii="Times New Roman" w:hAnsi="Times New Roman"/>
          <w:sz w:val="20"/>
        </w:rPr>
        <w:t xml:space="preserve">. Parent and Merger Sub shall have performed or complied with in all material respects all of their agreements and covenants required to be performed or complied with by each of them under this Agreement at or prior to the Effective Time. </w:t>
      </w:r>
    </w:p>
    <w:p>
      <w:pPr>
        <w:pStyle w:val="TextBody"/>
        <w:bidi w:val="0"/>
        <w:spacing w:before="240" w:after="0"/>
        <w:jc w:val="left"/>
        <w:rPr>
          <w:rFonts w:ascii="Times New Roman" w:hAnsi="Times New Roman"/>
          <w:sz w:val="20"/>
        </w:rPr>
      </w:pPr>
      <w:bookmarkStart w:id="209" w:name="annextoc108148_117"/>
      <w:bookmarkEnd w:id="209"/>
      <w:r>
        <w:rPr>
          <w:rFonts w:ascii="Times New Roman" w:hAnsi="Times New Roman"/>
          <w:sz w:val="20"/>
        </w:rPr>
        <w:t xml:space="preserve">Section 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6.12</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bookmarkStart w:id="210" w:name="annextoc108148_118"/>
      <w:bookmarkEnd w:id="210"/>
      <w:r>
        <w:rPr>
          <w:rFonts w:ascii="Times New Roman" w:hAnsi="Times New Roman"/>
          <w:sz w:val="20"/>
        </w:rPr>
        <w:t xml:space="preserve">Section 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that is continuing. </w:t>
      </w:r>
    </w:p>
    <w:p>
      <w:pPr>
        <w:pStyle w:val="TextBody"/>
        <w:bidi w:val="0"/>
        <w:spacing w:before="240" w:after="0"/>
        <w:jc w:val="left"/>
        <w:rPr>
          <w:rFonts w:ascii="Times New Roman" w:hAnsi="Times New Roman"/>
          <w:sz w:val="20"/>
        </w:rPr>
      </w:pPr>
      <w:bookmarkStart w:id="211" w:name="annextoc108148_119"/>
      <w:bookmarkEnd w:id="211"/>
      <w:r>
        <w:rPr>
          <w:rFonts w:ascii="Times New Roman" w:hAnsi="Times New Roman"/>
          <w:sz w:val="20"/>
        </w:rPr>
        <w:t xml:space="preserve">Section 9.5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 </w:t>
      </w:r>
    </w:p>
    <w:p>
      <w:pPr>
        <w:pStyle w:val="TextBody"/>
        <w:bidi w:val="0"/>
        <w:spacing w:before="480" w:after="0"/>
        <w:jc w:val="center"/>
        <w:rPr>
          <w:rFonts w:ascii="Times New Roman" w:hAnsi="Times New Roman"/>
          <w:sz w:val="22"/>
        </w:rPr>
      </w:pPr>
      <w:bookmarkStart w:id="212" w:name="annextoc108148_120"/>
      <w:bookmarkEnd w:id="212"/>
      <w:r>
        <w:rPr>
          <w:rFonts w:ascii="Times New Roman" w:hAnsi="Times New Roman"/>
          <w:sz w:val="22"/>
        </w:rPr>
        <w:t xml:space="preserve">ARTICLE X. </w:t>
      </w:r>
    </w:p>
    <w:p>
      <w:pPr>
        <w:pStyle w:val="TextBody"/>
        <w:bidi w:val="0"/>
        <w:spacing w:before="120" w:after="0"/>
        <w:jc w:val="center"/>
        <w:rPr>
          <w:rFonts w:ascii="Times New Roman" w:hAnsi="Times New Roman"/>
          <w:sz w:val="22"/>
        </w:rPr>
      </w:pPr>
      <w:r>
        <w:rPr>
          <w:rFonts w:ascii="Times New Roman" w:hAnsi="Times New Roman"/>
          <w:sz w:val="22"/>
        </w:rPr>
        <w:t xml:space="preserve">TERMINATION </w:t>
      </w:r>
    </w:p>
    <w:p>
      <w:pPr>
        <w:pStyle w:val="TextBody"/>
        <w:bidi w:val="0"/>
        <w:spacing w:before="240" w:after="0"/>
        <w:jc w:val="left"/>
        <w:rPr>
          <w:rFonts w:ascii="Times New Roman" w:hAnsi="Times New Roman"/>
          <w:sz w:val="20"/>
        </w:rPr>
      </w:pPr>
      <w:bookmarkStart w:id="213" w:name="annextoc108148_121"/>
      <w:bookmarkEnd w:id="213"/>
      <w:r>
        <w:rPr>
          <w:rFonts w:ascii="Times New Roman" w:hAnsi="Times New Roman"/>
          <w:sz w:val="20"/>
        </w:rPr>
        <w:t xml:space="preserve">Section 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Parent Stockholder Matters by Parent’s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March 23, 2027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(x) in the case of Parent, Merger Sub’s or (y) in the case of the Company, any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or Affiliates’) action or failure to act has been a principal cause of the failure of the Merger to occur on or before the End Date and such action or failure to act constitutes a breach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SEC has not declared effective under the Securities Act the Registration Statement by the date which is 90 days prior to the End Date, then either the Company or Parent shall be entitled to extend the End Date for an additional 90 days; </w:t>
      </w:r>
    </w:p>
    <w:p>
      <w:pPr>
        <w:pStyle w:val="TextBody"/>
        <w:bidi w:val="0"/>
        <w:spacing w:before="24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and evidence thereof has not been delivered to Parent within two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(whether timely or not),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Stockholder Matters by the Required Parent Stockholder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a Delisting Event occurs; </w:t>
      </w:r>
      <w:r>
        <w:rPr>
          <w:rFonts w:ascii="Times New Roman" w:hAnsi="Times New Roman"/>
          <w:sz w:val="20"/>
          <w:u w:val="single"/>
        </w:rPr>
        <w:t>provided</w:t>
      </w:r>
      <w:r>
        <w:rPr>
          <w:rFonts w:ascii="Times New Roman" w:hAnsi="Times New Roman"/>
          <w:sz w:val="20"/>
        </w:rPr>
        <w:t xml:space="preserve">, that if such Delisting Event was primarily caused by the Company’s refusal or unreasonable delay in consenting to reasonable actions by Parent to maintain the listing of Parent Common Stock on Nasdaq, the Company shall not be permitted to terminate this Agreement pursuant to this </w:t>
      </w:r>
      <w:r>
        <w:rPr>
          <w:rFonts w:ascii="Times New Roman" w:hAnsi="Times New Roman"/>
          <w:sz w:val="20"/>
          <w:u w:val="single"/>
        </w:rPr>
        <w:t>Section 10.1(h)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(A)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(B)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until the earlier of (i) the expiration of a 30-day period commencing upon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(it being understood that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(k) by Parent (at any time prior to the approval of the Parent Stockholder Matters by the Required Parent Stockholder Vote)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hAnsi="Times New Roman"/>
          <w:sz w:val="20"/>
          <w:u w:val="single"/>
        </w:rPr>
        <w:t>Section 10.3(c)</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(l) by Parent if (A) the conditions set forth in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were satisfied or waived on the date the Closing was required to have occurred pursuant to </w:t>
      </w:r>
      <w:r>
        <w:rPr>
          <w:rFonts w:ascii="Times New Roman" w:hAnsi="Times New Roman"/>
          <w:sz w:val="20"/>
          <w:u w:val="single"/>
        </w:rPr>
        <w:t>Section 2.3</w:t>
      </w:r>
      <w:r>
        <w:rPr>
          <w:rFonts w:ascii="Times New Roman" w:hAnsi="Times New Roman"/>
          <w:sz w:val="20"/>
        </w:rPr>
        <w:t xml:space="preserve"> (other than those conditions that by their nature are to be satisfied at the Closing but </w:t>
      </w:r>
      <w:r>
        <w:rPr>
          <w:rFonts w:ascii="Times New Roman" w:hAnsi="Times New Roman"/>
          <w:sz w:val="20"/>
          <w:u w:val="single"/>
        </w:rPr>
        <w:t>provided</w:t>
      </w:r>
      <w:r>
        <w:rPr>
          <w:rFonts w:ascii="Times New Roman" w:hAnsi="Times New Roman"/>
          <w:sz w:val="20"/>
        </w:rPr>
        <w:t xml:space="preserve"> that such conditions were capable of being satisfied if the Closing were to occur on such date), (B) the Company has failed to consummate the Closing on the date on which the Company is required to consummate the Closing pursuant to </w:t>
      </w:r>
      <w:r>
        <w:rPr>
          <w:rFonts w:ascii="Times New Roman" w:hAnsi="Times New Roman"/>
          <w:sz w:val="20"/>
          <w:u w:val="single"/>
        </w:rPr>
        <w:t>Section 2.3</w:t>
      </w:r>
      <w:r>
        <w:rPr>
          <w:rFonts w:ascii="Times New Roman" w:hAnsi="Times New Roman"/>
          <w:sz w:val="20"/>
        </w:rPr>
        <w:t xml:space="preserve">, (C) Parent has, on or after the date the Closing was required to have occurred and at least two Business Days prior to seeking to terminate this Agreement pursuant to this </w:t>
      </w:r>
      <w:r>
        <w:rPr>
          <w:rFonts w:ascii="Times New Roman" w:hAnsi="Times New Roman"/>
          <w:sz w:val="20"/>
          <w:u w:val="single"/>
        </w:rPr>
        <w:t>Section 10.1(l)</w:t>
      </w:r>
      <w:r>
        <w:rPr>
          <w:rFonts w:ascii="Times New Roman" w:hAnsi="Times New Roman"/>
          <w:sz w:val="20"/>
        </w:rPr>
        <w:t xml:space="preserve">, irrevocably confirmed in a written notice delivered to the Company that Parent is ready, willing and able to consummate the Closing and (D) the Company has not consummated the Closing by the earlier of (i) the End Date and (ii) the end of the second Business Day following delivery of such written confirmation.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214" w:name="annextoc108148_122"/>
      <w:bookmarkEnd w:id="214"/>
      <w:r>
        <w:rPr>
          <w:rFonts w:ascii="Times New Roman" w:hAnsi="Times New Roman"/>
          <w:sz w:val="20"/>
        </w:rPr>
        <w:t xml:space="preserve">Section 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(other than </w:t>
      </w:r>
      <w:r>
        <w:rPr>
          <w:rFonts w:ascii="Times New Roman" w:hAnsi="Times New Roman"/>
          <w:sz w:val="20"/>
          <w:u w:val="single"/>
        </w:rPr>
        <w:t>Section 11.8</w:t>
      </w:r>
      <w:r>
        <w:rPr>
          <w:rFonts w:ascii="Times New Roman" w:hAnsi="Times New Roman"/>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bookmarkStart w:id="215" w:name="annextoc108148_123"/>
      <w:bookmarkEnd w:id="215"/>
      <w:r>
        <w:rPr>
          <w:rFonts w:ascii="Times New Roman" w:hAnsi="Times New Roman"/>
          <w:sz w:val="20"/>
        </w:rPr>
        <w:t xml:space="preserve">Section 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all fees and expenses incurred in connection with this Agreement and the Contemplated Transactions shall be paid by the Party incurring such expenses,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not the Merger is consummated; </w:t>
      </w:r>
      <w:r>
        <w:rPr>
          <w:rFonts w:ascii="Times New Roman" w:hAnsi="Times New Roman"/>
          <w:sz w:val="20"/>
          <w:u w:val="single"/>
        </w:rPr>
        <w:t>provided</w:t>
      </w:r>
      <w:r>
        <w:rPr>
          <w:rFonts w:ascii="Times New Roman" w:hAnsi="Times New Roman"/>
          <w:sz w:val="20"/>
        </w:rPr>
        <w:t xml:space="preserve"> that, for the avoidance of doubt and without limitation to the other applicable provisions of this Agreement, Parent and the Company shall each pay 50% of (i) the fees paid in connection with filing the Registration Statement and any amendments and supplements thereto and (ii) 50% of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if this Agreement is terminated by Parent or the Company pursuant to </w:t>
      </w:r>
      <w:r>
        <w:rPr>
          <w:rFonts w:ascii="Times New Roman" w:hAnsi="Times New Roman"/>
          <w:sz w:val="20"/>
          <w:u w:val="single"/>
        </w:rPr>
        <w:t>Section 10.1(b)</w:t>
      </w:r>
      <w:r>
        <w:rPr>
          <w:rFonts w:ascii="Times New Roman" w:hAnsi="Times New Roman"/>
          <w:sz w:val="20"/>
        </w:rPr>
        <w:t xml:space="preserve"> (</w:t>
      </w:r>
      <w:r>
        <w:rPr>
          <w:rFonts w:ascii="Times New Roman" w:hAnsi="Times New Roman"/>
          <w:i/>
          <w:sz w:val="20"/>
        </w:rPr>
        <w:t>End Date</w:t>
      </w:r>
      <w:r>
        <w:rPr>
          <w:rFonts w:ascii="Times New Roman" w:hAnsi="Times New Roman"/>
          <w:sz w:val="20"/>
        </w:rPr>
        <w:t xml:space="preserve">) due to the failure of the Closing to occur on or prior to the End Date (as the same may have been extended), and such failure is primarily caused by (x) the Company’s failure or inability to timely provide the Company Required S-4 Information or any other information required or reasonably requested by Parent for inclusion in or in connection with the Registration Statement or Proxy Statement or (y) any material delay in the filing or effectiveness of the Registration Statement primarily attributable to the Company’s breach of its obligations under this Agreement, then the Company shall, within 10 Business Days after such termination, reimburse Parent for up to $1,000,000 of documented and reasonable out-of-pocket fees and expenses incurred by Parent in connection with the Contemplated Transactions (including fees and expenses of legal counsel, accountants, financial advisors, investment bankers, brokers, consultants and other advisors and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w:t>
      </w:r>
      <w:r>
        <w:rPr>
          <w:rFonts w:ascii="Times New Roman" w:hAnsi="Times New Roman"/>
          <w:i/>
          <w:sz w:val="20"/>
        </w:rPr>
        <w:t>Required Parent Stockholder Vote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xml:space="preserve"> (</w:t>
      </w:r>
      <w:r>
        <w:rPr>
          <w:rFonts w:ascii="Times New Roman" w:hAnsi="Times New Roman"/>
          <w:i/>
          <w:sz w:val="20"/>
        </w:rPr>
        <w:t>Parent Triggering Event</w:t>
      </w:r>
      <w:r>
        <w:rPr>
          <w:rFonts w:ascii="Times New Roman" w:hAnsi="Times New Roman"/>
          <w:sz w:val="20"/>
        </w:rPr>
        <w:t>) (and the Required Parent Stockholder Vote has not been obtained by Parent),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10 Business Days after termination (or, if applicable, upon such entry into a definitive agreement or consummation of a Subsequent Transaction), a nonrefundable fee in an amount equal to $1,000,000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Parent pursuant to </w:t>
      </w:r>
      <w:r>
        <w:rPr>
          <w:rFonts w:ascii="Times New Roman" w:hAnsi="Times New Roman"/>
          <w:sz w:val="20"/>
          <w:u w:val="single"/>
        </w:rPr>
        <w:t>Section 10.1(d)</w:t>
      </w:r>
      <w:r>
        <w:rPr>
          <w:rFonts w:ascii="Times New Roman" w:hAnsi="Times New Roman"/>
          <w:sz w:val="20"/>
        </w:rPr>
        <w:t xml:space="preserve"> (</w:t>
      </w:r>
      <w:r>
        <w:rPr>
          <w:rFonts w:ascii="Times New Roman" w:hAnsi="Times New Roman"/>
          <w:i/>
          <w:sz w:val="20"/>
        </w:rPr>
        <w:t>Required Company Stockholder Vote</w:t>
      </w:r>
      <w:r>
        <w:rPr>
          <w:rFonts w:ascii="Times New Roman" w:hAnsi="Times New Roman"/>
          <w:sz w:val="20"/>
        </w:rPr>
        <w:t xml:space="preserve">) or </w:t>
      </w:r>
      <w:r>
        <w:rPr>
          <w:rFonts w:ascii="Times New Roman" w:hAnsi="Times New Roman"/>
          <w:sz w:val="20"/>
          <w:u w:val="single"/>
        </w:rPr>
        <w:t>Section 10.1(g)</w:t>
      </w:r>
      <w:r>
        <w:rPr>
          <w:rFonts w:ascii="Times New Roman" w:hAnsi="Times New Roman"/>
          <w:sz w:val="20"/>
        </w:rPr>
        <w:t xml:space="preserve"> (</w:t>
      </w:r>
      <w:r>
        <w:rPr>
          <w:rFonts w:ascii="Times New Roman" w:hAnsi="Times New Roman"/>
          <w:i/>
          <w:sz w:val="20"/>
        </w:rPr>
        <w:t>Company Triggering Event</w:t>
      </w:r>
      <w:r>
        <w:rPr>
          <w:rFonts w:ascii="Times New Roman" w:hAnsi="Times New Roman"/>
          <w:sz w:val="20"/>
        </w:rPr>
        <w:t>), then the Company shall pay to Parent, within 10 Business Days after termination, a nonrefundable fee in an amount equal to $1,000,000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(i) this Agreement is terminated by Parent pursuant to </w:t>
      </w:r>
      <w:r>
        <w:rPr>
          <w:rFonts w:ascii="Times New Roman" w:hAnsi="Times New Roman"/>
          <w:sz w:val="20"/>
          <w:u w:val="single"/>
        </w:rPr>
        <w:t>Section 10.1(l)</w:t>
      </w:r>
      <w:r>
        <w:rPr>
          <w:rFonts w:ascii="Times New Roman" w:hAnsi="Times New Roman"/>
          <w:sz w:val="20"/>
        </w:rPr>
        <w:t xml:space="preserve"> (</w:t>
      </w:r>
      <w:r>
        <w:rPr>
          <w:rFonts w:ascii="Times New Roman" w:hAnsi="Times New Roman"/>
          <w:i/>
          <w:sz w:val="20"/>
        </w:rPr>
        <w:t>Company Failure to Close</w:t>
      </w:r>
      <w:r>
        <w:rPr>
          <w:rFonts w:ascii="Times New Roman" w:hAnsi="Times New Roman"/>
          <w:sz w:val="20"/>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12 months after the date of such termination, the Company enters into a definitive agreement with respect to a Subsequent Transaction or consummates a Subsequent Transaction, then the Company shall pay to Parent, within 10 Business Days after termination (or, if applicable, upon such entry into a definitive agreement or consummation of a Subsequent Transaction),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10.3(g)</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480" w:after="0"/>
        <w:jc w:val="center"/>
        <w:rPr>
          <w:rFonts w:ascii="Times New Roman" w:hAnsi="Times New Roman"/>
          <w:sz w:val="20"/>
        </w:rPr>
      </w:pPr>
      <w:bookmarkStart w:id="216" w:name="annextoc108148_124"/>
      <w:bookmarkEnd w:id="216"/>
      <w:r>
        <w:rPr>
          <w:rFonts w:ascii="Times New Roman" w:hAnsi="Times New Roman"/>
          <w:sz w:val="20"/>
        </w:rPr>
        <w:t xml:space="preserve">ARTICLE XI.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bookmarkStart w:id="217" w:name="annextoc108148_125"/>
      <w:bookmarkEnd w:id="217"/>
      <w:r>
        <w:rPr>
          <w:rFonts w:ascii="Times New Roman" w:hAnsi="Times New Roman"/>
          <w:sz w:val="20"/>
        </w:rPr>
        <w:t xml:space="preserve">Section 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bookmarkStart w:id="218" w:name="annextoc108148_126"/>
      <w:bookmarkEnd w:id="218"/>
      <w:r>
        <w:rPr>
          <w:rFonts w:ascii="Times New Roman" w:hAnsi="Times New Roman"/>
          <w:sz w:val="20"/>
        </w:rPr>
        <w:t xml:space="preserve">Section 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Required Parent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before="240" w:after="0"/>
        <w:jc w:val="left"/>
        <w:rPr>
          <w:rFonts w:ascii="Times New Roman" w:hAnsi="Times New Roman"/>
          <w:sz w:val="20"/>
        </w:rPr>
      </w:pPr>
      <w:bookmarkStart w:id="219" w:name="annextoc108148_127"/>
      <w:bookmarkEnd w:id="219"/>
      <w:r>
        <w:rPr>
          <w:rFonts w:ascii="Times New Roman" w:hAnsi="Times New Roman"/>
          <w:sz w:val="20"/>
        </w:rPr>
        <w:t xml:space="preserve">Section 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20" w:name="annextoc108148_128"/>
      <w:bookmarkEnd w:id="220"/>
      <w:r>
        <w:rPr>
          <w:rFonts w:ascii="Times New Roman" w:hAnsi="Times New Roman"/>
          <w:sz w:val="20"/>
        </w:rPr>
        <w:t xml:space="preserve">Section 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only Exhibit D (including Exhibit A to such Exhibit) is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221" w:name="annextoc108148_129"/>
      <w:bookmarkEnd w:id="221"/>
      <w:r>
        <w:rPr>
          <w:rFonts w:ascii="Times New Roman" w:hAnsi="Times New Roman"/>
          <w:sz w:val="20"/>
        </w:rPr>
        <w:t xml:space="preserve">Section 11.5 </w:t>
      </w:r>
      <w:r>
        <w:rPr>
          <w:rFonts w:ascii="Times New Roman" w:hAnsi="Times New Roman"/>
          <w:sz w:val="20"/>
          <w:u w:val="single"/>
        </w:rPr>
        <w:t>Applicable Law; Jurisdiction; WAIVER OF RIGHT TO TRIAL BY JURY</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222" w:name="annextoc108148_130"/>
      <w:bookmarkEnd w:id="222"/>
      <w:r>
        <w:rPr>
          <w:rFonts w:ascii="Times New Roman" w:hAnsi="Times New Roman"/>
          <w:sz w:val="20"/>
        </w:rPr>
        <w:t xml:space="preserve">Section 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223" w:name="annextoc108148_131"/>
      <w:bookmarkEnd w:id="223"/>
      <w:r>
        <w:rPr>
          <w:rFonts w:ascii="Times New Roman" w:hAnsi="Times New Roman"/>
          <w:sz w:val="20"/>
        </w:rPr>
        <w:t xml:space="preserve">Section 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9:00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650 Town Center Drive, 20th Floor </w:t>
      </w:r>
    </w:p>
    <w:p>
      <w:pPr>
        <w:pStyle w:val="TextBody"/>
        <w:bidi w:val="0"/>
        <w:spacing w:before="0" w:after="0"/>
        <w:jc w:val="left"/>
        <w:rPr>
          <w:rFonts w:ascii="Times New Roman" w:hAnsi="Times New Roman"/>
          <w:sz w:val="20"/>
        </w:rPr>
      </w:pPr>
      <w:r>
        <w:rPr>
          <w:rFonts w:ascii="Times New Roman" w:hAnsi="Times New Roman"/>
          <w:sz w:val="20"/>
        </w:rPr>
        <w:t xml:space="preserve">Costa Mesa, CA 92626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Rees, Shannon Cheng </w:t>
      </w:r>
    </w:p>
    <w:p>
      <w:pPr>
        <w:pStyle w:val="TextBody"/>
        <w:bidi w:val="0"/>
        <w:spacing w:before="0" w:after="0"/>
        <w:jc w:val="left"/>
        <w:rPr>
          <w:rFonts w:ascii="Times New Roman" w:hAnsi="Times New Roman"/>
          <w:sz w:val="20"/>
        </w:rPr>
      </w:pPr>
      <w:r>
        <w:rPr>
          <w:rFonts w:ascii="Times New Roman" w:hAnsi="Times New Roman"/>
          <w:sz w:val="20"/>
        </w:rPr>
        <w:t xml:space="preserve">Email: Daniel.Rees@lw.com, Shannon.Cheng@lw.com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Serapha Bio, Inc.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240" w:after="0"/>
        <w:jc w:val="left"/>
        <w:rPr>
          <w:rFonts w:ascii="Times New Roman" w:hAnsi="Times New Roman"/>
          <w:sz w:val="20"/>
        </w:rPr>
      </w:pPr>
      <w:bookmarkStart w:id="224" w:name="annextoc108148_132"/>
      <w:bookmarkEnd w:id="224"/>
      <w:r>
        <w:rPr>
          <w:rFonts w:ascii="Times New Roman" w:hAnsi="Times New Roman"/>
          <w:sz w:val="20"/>
        </w:rPr>
        <w:t xml:space="preserve">Section 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225" w:name="annextoc108148_133"/>
      <w:bookmarkEnd w:id="225"/>
      <w:r>
        <w:rPr>
          <w:rFonts w:ascii="Times New Roman" w:hAnsi="Times New Roman"/>
          <w:sz w:val="20"/>
        </w:rPr>
        <w:t xml:space="preserve">Section 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226" w:name="annextoc108148_134"/>
      <w:bookmarkEnd w:id="226"/>
      <w:r>
        <w:rPr>
          <w:rFonts w:ascii="Times New Roman" w:hAnsi="Times New Roman"/>
          <w:sz w:val="20"/>
        </w:rPr>
        <w:t xml:space="preserve">Section 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The Parties acknowledge and agree that (a) each of the Parties shall be entitled to specific performance, injunctive relief or other equitable relief to prevent breaches of this Agreement and to enforce specifically the terms and provisions of this Agreement, in each case, without proof of damages, this being in addition to any other remedy to which the Parties are entitled under this Agreement, and (b)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 of specific enforcement under this </w:t>
      </w:r>
      <w:r>
        <w:rPr>
          <w:rFonts w:ascii="Times New Roman" w:hAnsi="Times New Roman"/>
          <w:sz w:val="20"/>
          <w:u w:val="single"/>
        </w:rPr>
        <w:t>Section 11.10</w:t>
      </w:r>
      <w:r>
        <w:rPr>
          <w:rFonts w:ascii="Times New Roman" w:hAnsi="Times New Roman"/>
          <w:sz w:val="20"/>
        </w:rPr>
        <w:t xml:space="preserve"> is an integral part of the transactions contemplated by this Agreement and without that right, none of the Parties would have entered into this Agreement. </w:t>
      </w:r>
    </w:p>
    <w:p>
      <w:pPr>
        <w:pStyle w:val="TextBody"/>
        <w:bidi w:val="0"/>
        <w:spacing w:before="240" w:after="0"/>
        <w:jc w:val="left"/>
        <w:rPr>
          <w:rFonts w:ascii="Times New Roman" w:hAnsi="Times New Roman"/>
          <w:sz w:val="20"/>
        </w:rPr>
      </w:pPr>
      <w:bookmarkStart w:id="227" w:name="annextoc108148_135"/>
      <w:bookmarkEnd w:id="227"/>
      <w:r>
        <w:rPr>
          <w:rFonts w:ascii="Times New Roman" w:hAnsi="Times New Roman"/>
          <w:sz w:val="20"/>
        </w:rPr>
        <w:t xml:space="preserve">Section 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6.7</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B</w:t>
            </w:r>
            <w:r>
              <w:rPr>
                <w:b/>
                <w:sz w:val="20"/>
                <w:u w:val="single"/>
              </w:rPr>
              <w:t>OUNDLESS</w:t>
            </w:r>
            <w:r>
              <w:rPr>
                <w:b/>
              </w:rPr>
              <w:t xml:space="preserve"> B</w:t>
            </w:r>
            <w:r>
              <w:rPr>
                <w:b/>
                <w:sz w:val="20"/>
                <w:u w:val="single"/>
              </w:rPr>
              <w:t>IO</w:t>
            </w:r>
            <w:r>
              <w:rPr>
                <w:b/>
              </w:rPr>
              <w:t>, I</w:t>
            </w:r>
            <w:r>
              <w:rPr>
                <w:b/>
                <w:sz w:val="20"/>
                <w:u w:val="single"/>
              </w:rPr>
              <w:t>NC</w:t>
            </w:r>
            <w:r>
              <w:rPr>
                <w:b/>
              </w:rPr>
              <w:t>.</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Zachary D. Hornby</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Zachary D. Hornby</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B</w:t>
            </w:r>
            <w:r>
              <w:rPr>
                <w:b/>
                <w:sz w:val="20"/>
                <w:u w:val="single"/>
              </w:rPr>
              <w:t>OULDER</w:t>
            </w:r>
            <w:r>
              <w:rPr>
                <w:b/>
              </w:rPr>
              <w:t xml:space="preserve"> M</w:t>
            </w:r>
            <w:r>
              <w:rPr>
                <w:b/>
                <w:sz w:val="20"/>
                <w:u w:val="single"/>
              </w:rPr>
              <w:t>ERGER</w:t>
            </w:r>
            <w:r>
              <w:rPr>
                <w:b/>
              </w:rPr>
              <w:t xml:space="preserve"> S</w:t>
            </w:r>
            <w:r>
              <w:rPr>
                <w:b/>
                <w:sz w:val="20"/>
                <w:u w:val="single"/>
              </w:rPr>
              <w:t>UB</w:t>
            </w:r>
            <w:r>
              <w:rPr>
                <w:b/>
              </w:rPr>
              <w:t xml:space="preserve"> C</w:t>
            </w:r>
            <w:r>
              <w:rPr>
                <w:b/>
                <w:sz w:val="20"/>
                <w:u w:val="single"/>
              </w:rPr>
              <w:t>ORP</w:t>
            </w:r>
            <w:r>
              <w:rPr>
                <w:b/>
              </w:rPr>
              <w:t>.</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Jessica Oien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Jesssica Oien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Secretary</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S</w:t>
            </w:r>
            <w:r>
              <w:rPr>
                <w:b/>
                <w:sz w:val="20"/>
                <w:u w:val="single"/>
              </w:rPr>
              <w:t>ERAPHA</w:t>
            </w:r>
            <w:r>
              <w:rPr>
                <w:b/>
              </w:rPr>
              <w:t xml:space="preserve"> B</w:t>
            </w:r>
            <w:r>
              <w:rPr>
                <w:b/>
                <w:sz w:val="20"/>
                <w:u w:val="single"/>
              </w:rPr>
              <w:t>IO</w:t>
            </w:r>
            <w:r>
              <w:rPr>
                <w:b/>
              </w:rPr>
              <w:t>, I</w:t>
            </w:r>
            <w:r>
              <w:rPr>
                <w:b/>
                <w:sz w:val="20"/>
                <w:u w:val="single"/>
              </w:rPr>
              <w:t>NC</w:t>
            </w:r>
            <w:r>
              <w:rPr>
                <w:b/>
              </w:rPr>
              <w:t>.</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Alice Lee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Alice Lee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120" w:after="0"/>
        <w:jc w:val="center"/>
        <w:rPr>
          <w:rFonts w:ascii="Times New Roman" w:hAnsi="Times New Roman"/>
          <w:sz w:val="20"/>
        </w:rPr>
      </w:pPr>
      <w:r>
        <w:rPr>
          <w:rFonts w:ascii="Times New Roman" w:hAnsi="Times New Roman"/>
          <w:b/>
          <w:sz w:val="20"/>
        </w:rPr>
        <w:t>FORM OF COMPANY STOCKHOLDER WRITTEN CONSENT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AMENDMENT NO.</w:t>
      </w:r>
      <w:r>
        <w:rPr>
          <w:rFonts w:ascii="Times New Roman" w:hAnsi="Times New Roman"/>
          <w:sz w:val="20"/>
        </w:rPr>
        <w:t> </w:t>
      </w:r>
      <w:r>
        <w:rPr>
          <w:rFonts w:ascii="Times New Roman" w:hAnsi="Times New Roman"/>
          <w:b/>
          <w:sz w:val="20"/>
        </w:rPr>
        <w:t>1 TO AGREEMENT AND PLAN OF MERGER AND REORGANIZATION</w:t>
      </w:r>
      <w:r>
        <w:rPr>
          <w:rFonts w:ascii="Times New Roman" w:hAnsi="Times New Roman"/>
          <w:sz w:val="20"/>
        </w:rPr>
        <w:t xml:space="preserve"> (this “</w:t>
      </w:r>
      <w:r>
        <w:rPr>
          <w:rFonts w:ascii="Times New Roman" w:hAnsi="Times New Roman"/>
          <w:b/>
          <w:i/>
          <w:sz w:val="20"/>
        </w:rPr>
        <w:t>Amendment</w:t>
      </w:r>
      <w:r>
        <w:rPr>
          <w:rFonts w:ascii="Times New Roman" w:hAnsi="Times New Roman"/>
          <w:sz w:val="20"/>
        </w:rPr>
        <w:t>”) is made as of August 28, 2026, with respect to that certain Agreement and Plan of Merger and Reorganization (as amended to date, the “</w:t>
      </w:r>
      <w:r>
        <w:rPr>
          <w:rFonts w:ascii="Times New Roman" w:hAnsi="Times New Roman"/>
          <w:b/>
          <w:i/>
          <w:sz w:val="20"/>
        </w:rPr>
        <w:t>Merger Agreement</w:t>
      </w:r>
      <w:r>
        <w:rPr>
          <w:rFonts w:ascii="Times New Roman" w:hAnsi="Times New Roman"/>
          <w:sz w:val="20"/>
        </w:rPr>
        <w:t>”), dated as of June 22, 2026 (the “</w:t>
      </w:r>
      <w:r>
        <w:rPr>
          <w:rFonts w:ascii="Times New Roman" w:hAnsi="Times New Roman"/>
          <w:b/>
          <w:i/>
          <w:sz w:val="20"/>
        </w:rPr>
        <w:t>Agreement Date</w:t>
      </w:r>
      <w:r>
        <w:rPr>
          <w:rFonts w:ascii="Times New Roman" w:hAnsi="Times New Roman"/>
          <w:sz w:val="20"/>
        </w:rPr>
        <w:t>”), by and among Boundless Bio, Inc., a Delaware corporation (“</w:t>
      </w:r>
      <w:r>
        <w:rPr>
          <w:rFonts w:ascii="Times New Roman" w:hAnsi="Times New Roman"/>
          <w:b/>
          <w:i/>
          <w:sz w:val="20"/>
        </w:rPr>
        <w:t>Parent</w:t>
      </w:r>
      <w:r>
        <w:rPr>
          <w:rFonts w:ascii="Times New Roman" w:hAnsi="Times New Roman"/>
          <w:sz w:val="20"/>
        </w:rPr>
        <w:t>”), Boulder Merger Sub Corp., a Delaware corporation and wholly owned subsidiary of Parent (“</w:t>
      </w:r>
      <w:r>
        <w:rPr>
          <w:rFonts w:ascii="Times New Roman" w:hAnsi="Times New Roman"/>
          <w:b/>
          <w:i/>
          <w:sz w:val="20"/>
        </w:rPr>
        <w:t>Merger Sub</w:t>
      </w:r>
      <w:r>
        <w:rPr>
          <w:rFonts w:ascii="Times New Roman" w:hAnsi="Times New Roman"/>
          <w:sz w:val="20"/>
        </w:rPr>
        <w:t>”), and Serapha Bio, Inc., a Delaware corporation (the “</w:t>
      </w:r>
      <w:r>
        <w:rPr>
          <w:rFonts w:ascii="Times New Roman" w:hAnsi="Times New Roman"/>
          <w:b/>
          <w:i/>
          <w:sz w:val="20"/>
        </w:rPr>
        <w:t>Company</w:t>
      </w:r>
      <w:r>
        <w:rPr>
          <w:rFonts w:ascii="Times New Roman" w:hAnsi="Times New Roman"/>
          <w:sz w:val="20"/>
        </w:rPr>
        <w:t xml:space="preserve">”). All capitalized terms used but not otherwise defined herein shall have the respective meanings ascribed to them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11.2 of the Merger Agreement, the Merger Agreement may be amended by any instrument in writing signed on behalf of the Company, Parent and Merger Sub, with the approval of the respective boards of directors of the Company, Parent and Merger Sub;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and Merger Sub desire to amend the Merger Agreement as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the mutual covenants and agreements set forth herein, and other good and valuable consideration, the receipt and sufficiency of which are hereby acknowledged, intending to be legally bound, the Company, Parent and Merger Sub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AMENDMENTS TO THE MERGER AGREEMENT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95"/>
        <w:gridCol w:w="1040"/>
      </w:tblGrid>
      <w:tr>
        <w:trPr/>
        <w:tc>
          <w:tcPr>
            <w:tcW w:w="395" w:type="dxa"/>
            <w:tcBorders/>
            <w:vAlign w:val="center"/>
          </w:tcPr>
          <w:p>
            <w:pPr>
              <w:pStyle w:val="TableContents"/>
              <w:bidi w:val="0"/>
              <w:spacing w:before="0" w:after="283"/>
              <w:jc w:val="left"/>
              <w:rPr/>
            </w:pPr>
            <w:r>
              <w:rPr/>
              <w:t>1.1.</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1.1.1</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1.1(a) of the Merger Agreement is hereby amended by adding the following defined term in appropriate alphabetical order: </w:t>
            </w:r>
          </w:p>
        </w:tc>
      </w:tr>
    </w:tbl>
    <w:p>
      <w:pPr>
        <w:pStyle w:val="TextBody"/>
        <w:bidi w:val="0"/>
        <w:spacing w:before="120" w:after="0"/>
        <w:jc w:val="left"/>
        <w:rPr/>
      </w:pPr>
      <w:r>
        <w:rPr/>
        <w:t>“</w:t>
      </w:r>
      <w:r>
        <w:rPr>
          <w:rFonts w:ascii="Times New Roman" w:hAnsi="Times New Roman"/>
          <w:b/>
          <w:sz w:val="20"/>
        </w:rPr>
        <w:t>Company RSUs</w:t>
      </w:r>
      <w:r>
        <w:rPr>
          <w:rFonts w:ascii="Times New Roman" w:hAnsi="Times New Roman"/>
          <w:sz w:val="20"/>
        </w:rPr>
        <w:t xml:space="preserve">” means restricted stock unit awards covering shares of Company Common Stock issued by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1.1.2</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Outstanding Shares” under Section 1.1(a)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b/>
          <w:sz w:val="20"/>
        </w:rPr>
        <w:t>Company Outstanding Shares</w:t>
      </w:r>
      <w:r>
        <w:rPr>
          <w:rFonts w:ascii="Times New Roman" w:hAnsi="Times New Roman"/>
          <w:sz w:val="20"/>
        </w:rPr>
        <w:t xml:space="preserve">” means, without duplication, the total number of shares of Company Capital Stock outstanding immediately prior to the Effective Time (including any shares of Company Common Stock or Company Preferred Stock that are issued in, or issuable upon the exercise or conversion of securities issued in, the Company Pre-Closing Financing, Series A-1 Preferred Stock equal to the Company Series A-1 Preferred Stock Initial Amount or any additional Series A-1 Preferred Stock in excess of the Company Series A-1 Preferred Stock Remeasurement Maximum Amount), expressed on a fully diluted and as converted to Company Common Stock basis assuming, without limitation or duplication, the exercise and/or settlement (as applicable)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Effective Time, provided that “Company Outstanding Shares” shall exclude a number of shares of Company Series A-1 Preferred Stock issued or issuable upon the exercise of the Yoltech Warrant equal to the Company Series A-1 Preferred Stock Remeasurement Maximum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1.1.3</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“Company Stock Plans” under Section 1.1(a) of the Merger Agreement is hereby amended by replacing the words “that may be adopted by the Company from time to time following the date hereof” with the words “that has been or may be adopted by the Company on or following the date hereof”.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395"/>
        <w:gridCol w:w="2795"/>
      </w:tblGrid>
      <w:tr>
        <w:trPr/>
        <w:tc>
          <w:tcPr>
            <w:tcW w:w="395" w:type="dxa"/>
            <w:tcBorders/>
            <w:vAlign w:val="center"/>
          </w:tcPr>
          <w:p>
            <w:pPr>
              <w:pStyle w:val="TableContents"/>
              <w:bidi w:val="0"/>
              <w:spacing w:before="0" w:after="283"/>
              <w:jc w:val="left"/>
              <w:rPr/>
            </w:pPr>
            <w:r>
              <w:rPr/>
              <w:t>1.2.</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Company Pre-Closing Financing</w:t>
            </w:r>
            <w:r>
              <w:rPr>
                <w:rFonts w:ascii="Times New Roman" w:hAnsi="Times New Roman"/>
                <w:sz w:val="20"/>
              </w:rPr>
              <w:t xml:space="preserve">.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500"/>
        <w:gridCol w:w="813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1.2.1</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Recital K of the Merger Agreement is hereby amended and restated in its entirety to read as follows: </w:t>
            </w:r>
          </w:p>
        </w:tc>
      </w:tr>
    </w:tbl>
    <w:p>
      <w:pPr>
        <w:pStyle w:val="TextBody"/>
        <w:bidi w:val="0"/>
        <w:spacing w:before="120" w:after="0"/>
        <w:jc w:val="left"/>
        <w:rPr/>
      </w:pPr>
      <w:r>
        <w:rPr/>
        <w:t>“</w:t>
      </w:r>
      <w:r>
        <w:rPr>
          <w:rFonts w:ascii="Times New Roman" w:hAnsi="Times New Roman"/>
          <w:sz w:val="20"/>
        </w:rPr>
        <w:t>Concurrently with the execution and delivery of this Agreement, certain investors are executing and delivering a Securities Purchase Agreement in the form attached hereto as Exhibit C among the Company and the Persons named therein (including as may be amended, restated and/or superseded from time to time, the “</w:t>
      </w:r>
      <w:r>
        <w:rPr>
          <w:rFonts w:ascii="Times New Roman" w:hAnsi="Times New Roman"/>
          <w:b/>
          <w:sz w:val="20"/>
        </w:rPr>
        <w:t>Subscription Agreement</w:t>
      </w:r>
      <w:r>
        <w:rPr>
          <w:rFonts w:ascii="Times New Roman" w:hAnsi="Times New Roman"/>
          <w:sz w:val="20"/>
        </w:rPr>
        <w:t>”), pursuant to which such Persons will agree to purchase, in the amounts set forth therein, shares of Company Capital Stock (together with the Series A Financing,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1.2.2</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furtherance of </w:t>
            </w:r>
            <w:r>
              <w:rPr>
                <w:rFonts w:ascii="Times New Roman" w:hAnsi="Times New Roman"/>
                <w:sz w:val="20"/>
                <w:u w:val="single"/>
              </w:rPr>
              <w:t>Section 1.2.1</w:t>
            </w:r>
            <w:r>
              <w:rPr>
                <w:rFonts w:ascii="Times New Roman" w:hAnsi="Times New Roman"/>
                <w:sz w:val="20"/>
              </w:rPr>
              <w:t xml:space="preserve"> of this Amendment, the definition of “Acquisition Transaction” in Section 1.1(a) of the Merger Agreement is hereby amended by deleting the words “the Series A Financing,” appearing after “any Parent Legacy Transaction,”.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500"/>
        <w:gridCol w:w="768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1.2.3</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8.8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The Subscription Agreement and the Series A Financing Agreement shall each be in full force and effect and aggregate gross cash proceeds of not less than the Company Pre-Closing Financing Minimum Amount shall have been received by the Company, or will be received by the Company substantially contemporaneously with the Closing, in connection with the consummation of the Company Pre-Closing Financing.”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395"/>
        <w:gridCol w:w="1415"/>
      </w:tblGrid>
      <w:tr>
        <w:trPr/>
        <w:tc>
          <w:tcPr>
            <w:tcW w:w="395" w:type="dxa"/>
            <w:tcBorders/>
            <w:vAlign w:val="center"/>
          </w:tcPr>
          <w:p>
            <w:pPr>
              <w:pStyle w:val="TableContents"/>
              <w:bidi w:val="0"/>
              <w:spacing w:before="0" w:after="283"/>
              <w:jc w:val="left"/>
              <w:rPr/>
            </w:pPr>
            <w:r>
              <w:rPr/>
              <w:t>1.3.</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Company RSUs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1.3.1</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2.5(d) of the Merger Agreement is hereby amended by adding the following sentence to the end thereof: “All Company RSUs outstanding immediately prior to the Effective Time shall be treated in accordance with </w:t>
            </w:r>
            <w:r>
              <w:rPr>
                <w:rFonts w:ascii="Times New Roman" w:hAnsi="Times New Roman"/>
                <w:sz w:val="20"/>
                <w:u w:val="single"/>
              </w:rPr>
              <w:t>Section 6.5(c)</w:t>
            </w:r>
            <w:r>
              <w:rPr>
                <w:rFonts w:ascii="Times New Roman" w:hAnsi="Times New Roman"/>
                <w:sz w:val="20"/>
              </w:rPr>
              <w:t xml:space="preserve">.”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500"/>
        <w:gridCol w:w="786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1.3.2</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2.5(f)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If, between the date of this Agreement and the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500"/>
        <w:gridCol w:w="78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1.3.3</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3.6(c)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The Company has entered into an employment agreement pursuant to which the Company will reserve a number of shares equal to 5% of the fully-diluted issued and outstanding Company Capital Stock through the closing of the Pre-Closing Financing, which awards will be issued under the Company’s 2026 Equity Incentive Plan (the “</w:t>
      </w:r>
      <w:r>
        <w:rPr>
          <w:rFonts w:ascii="Times New Roman" w:hAnsi="Times New Roman"/>
          <w:b/>
          <w:sz w:val="20"/>
        </w:rPr>
        <w:t>Stock Plan</w:t>
      </w:r>
      <w:r>
        <w:rPr>
          <w:rFonts w:ascii="Times New Roman" w:hAnsi="Times New Roman"/>
          <w:sz w:val="20"/>
        </w:rPr>
        <w:t xml:space="preserve">”). As of the date hereof, there are no other Company Options, Company RSUs, or other equity awards issued, outstanding or subject to executed employment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70" w:type="dxa"/>
        <w:jc w:val="left"/>
        <w:tblInd w:w="0" w:type="dxa"/>
        <w:tblLayout w:type="fixed"/>
        <w:tblCellMar>
          <w:top w:w="0" w:type="dxa"/>
          <w:left w:w="0" w:type="dxa"/>
          <w:bottom w:w="0" w:type="dxa"/>
          <w:right w:w="0" w:type="dxa"/>
        </w:tblCellMar>
      </w:tblPr>
      <w:tblGrid>
        <w:gridCol w:w="75"/>
        <w:gridCol w:w="500"/>
        <w:gridCol w:w="78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1.3.4</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3.6(e)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1.3.5</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heading of Section 6.5 of the Merger Agreement is hereby amended and restated in its entirety as “</w:t>
            </w:r>
            <w:r>
              <w:rPr>
                <w:rFonts w:ascii="Times New Roman" w:hAnsi="Times New Roman"/>
                <w:sz w:val="20"/>
                <w:u w:val="single"/>
              </w:rPr>
              <w:t>Company Options; Company Warrants; Company RSUs</w:t>
            </w:r>
            <w:r>
              <w:rPr>
                <w:rFonts w:ascii="Times New Roman" w:hAnsi="Times New Roman"/>
                <w:sz w:val="20"/>
              </w:rPr>
              <w:t xml:space="preserve">”.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500"/>
        <w:gridCol w:w="858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1.3.6</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6.5 of the Merger Agreement is hereby amended by adding the following as a new Section 6.5(c): </w:t>
            </w:r>
          </w:p>
        </w:tc>
      </w:tr>
    </w:tbl>
    <w:p>
      <w:pPr>
        <w:pStyle w:val="TextBody"/>
        <w:bidi w:val="0"/>
        <w:spacing w:before="120" w:after="0"/>
        <w:jc w:val="left"/>
        <w:rPr/>
      </w:pPr>
      <w:r>
        <w:rPr/>
        <w:t>“</w:t>
      </w:r>
      <w:r>
        <w:rPr>
          <w:rFonts w:ascii="Times New Roman" w:hAnsi="Times New Roman"/>
          <w:sz w:val="20"/>
        </w:rPr>
        <w:t>(c) At the Effective Time, each Company RSU, whether vested or unvested, that is outstanding immediately prior to the Effective Time shall, at the Effective Time, cease to represent a right to receive shares of Company Common Stock and shall be converted, at the Effective Time, into a restricted stock unit award covering shares of Parent Common Stock (an “</w:t>
      </w:r>
      <w:r>
        <w:rPr>
          <w:rFonts w:ascii="Times New Roman" w:hAnsi="Times New Roman"/>
          <w:b/>
          <w:sz w:val="20"/>
        </w:rPr>
        <w:t>Assumed RSU</w:t>
      </w:r>
      <w:r>
        <w:rPr>
          <w:rFonts w:ascii="Times New Roman" w:hAnsi="Times New Roman"/>
          <w:sz w:val="20"/>
        </w:rPr>
        <w:t xml:space="preserve">”), on the same terms and conditions (including any vesting provisions, any provisions providing for vesting upon or following a listing of Parent Common Stock, and any provisions providing for accelerated vesting upon certain events) as were applicable under such Company RSU as of immediately prior to the Effective Time, except for administrative or ministerial changes as determined by the Company Board (or, following the Effective Time, the Parent Board or compensation committee). The number of shares of Parent Common Stock subject to each such Assumed RSU shall be equal to (i) the number of shares of Company Common Stock subject to the respective Company RSU immediately prior to the Effective Time multiplied by (ii) the Exchange Ratio, rounded down, if necessary, to the nearest whole share of Parent Common Stock; provided that, in the case of any Assumed RSU to which Section 409A of the Code applies as of the Effective Time, the number of shares of Parent Common Stock subject to such restricted stock unit award and the terms and conditions of such restricted stock unit award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500"/>
        <w:gridCol w:w="779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1.3.7</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6.15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u w:val="single"/>
        </w:rPr>
        <w:t>Allocation Information</w:t>
      </w:r>
      <w:r>
        <w:rPr>
          <w:rFonts w:ascii="Times New Roman" w:hAnsi="Times New Roman"/>
          <w:sz w:val="20"/>
        </w:rPr>
        <w:t>. The Company will prepare and deliver to Parent prior to the Closing a spreadsheet setting forth (as of immediately prior to the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RSUs, and Assumed Warrants to be issued to such holder pursuant to this Agreement in respect of the Company Capital Stock, Company Options, Company RSUs, and Company Warrants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395"/>
        <w:gridCol w:w="2795"/>
      </w:tblGrid>
      <w:tr>
        <w:trPr/>
        <w:tc>
          <w:tcPr>
            <w:tcW w:w="395" w:type="dxa"/>
            <w:tcBorders/>
            <w:vAlign w:val="center"/>
          </w:tcPr>
          <w:p>
            <w:pPr>
              <w:pStyle w:val="TableContents"/>
              <w:bidi w:val="0"/>
              <w:spacing w:before="0" w:after="283"/>
              <w:jc w:val="left"/>
              <w:rPr/>
            </w:pPr>
            <w:r>
              <w:rPr/>
              <w:t>1.4.</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Limitation</w:t>
            </w:r>
            <w:r>
              <w:rPr>
                <w:rFonts w:ascii="Times New Roman" w:hAnsi="Times New Roman"/>
                <w:sz w:val="20"/>
              </w:rPr>
              <w:t xml:space="preserve">.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500"/>
        <w:gridCol w:w="813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1.4.1</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2.5(a)(ii) of the Merger Agreement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the Company Pre-Closing Financing) outstanding immediately prior to the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shall be converted solely into the right to receive a number of shares of Parent Common Stock equal to the Exchange Ratio;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aggregate number of shares of Parent Common Stock issued to any holder of Company Capital Stock at Closing would result in the issuance of shares of Parent Common Stock in an amount (when aggregated with all shares of Parent Common Stock and any other securities of Parent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xml:space="preserve">”), pre-funded warrants, substantially in the form attached hereto as </w:t>
      </w:r>
      <w:r>
        <w:rPr>
          <w:rFonts w:ascii="Times New Roman" w:hAnsi="Times New Roman"/>
          <w:sz w:val="20"/>
          <w:u w:val="single"/>
        </w:rPr>
        <w:t>Exhibit F</w:t>
      </w:r>
      <w:r>
        <w:rPr>
          <w:rFonts w:ascii="Times New Roman" w:hAnsi="Times New Roman"/>
          <w:sz w:val="20"/>
        </w:rPr>
        <w:t xml:space="preserve"> (“</w:t>
      </w:r>
      <w:r>
        <w:rPr>
          <w:rFonts w:ascii="Times New Roman" w:hAnsi="Times New Roman"/>
          <w:b/>
          <w:sz w:val="20"/>
        </w:rPr>
        <w:t>Pre-Funded Warrants</w:t>
      </w:r>
      <w:r>
        <w:rPr>
          <w:rFonts w:ascii="Times New Roman" w:hAnsi="Times New Roman"/>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 (such shares of Parent Common Stock and Pre-Funded Warrants, collectively,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500"/>
        <w:gridCol w:w="63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1.4.2</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new Section 2.5(g) is hereby inserted into the Merger Agreement as follows: </w:t>
            </w:r>
          </w:p>
        </w:tc>
      </w:tr>
    </w:tbl>
    <w:p>
      <w:pPr>
        <w:pStyle w:val="TextBody"/>
        <w:bidi w:val="0"/>
        <w:spacing w:before="120" w:after="0"/>
        <w:jc w:val="left"/>
        <w:rPr/>
      </w:pPr>
      <w:r>
        <w:rPr/>
        <w:t>“</w:t>
      </w:r>
      <w:r>
        <w:rPr>
          <w:rFonts w:ascii="Times New Roman" w:hAnsi="Times New Roman"/>
          <w:sz w:val="20"/>
        </w:rPr>
        <w:t>(g) The “</w:t>
      </w:r>
      <w:r>
        <w:rPr>
          <w:rFonts w:ascii="Times New Roman" w:hAnsi="Times New Roman"/>
          <w:b/>
          <w:sz w:val="20"/>
        </w:rPr>
        <w:t>Beneficial Ownership Limitation</w:t>
      </w:r>
      <w:r>
        <w:rPr>
          <w:rFonts w:ascii="Times New Roman" w:hAnsi="Times New Roman"/>
          <w:sz w:val="20"/>
        </w:rPr>
        <w:t xml:space="preserve">” may be set at the discretion of each holder of Company Capital Stock to a percentage designated by such Person in writing to Parent and to the Company between 0% and 19.99% of the number of shares of the Parent Common Stock outstanding immediately after giving effect to the issuance of the Merger Consideration; </w:t>
      </w:r>
      <w:r>
        <w:rPr>
          <w:rFonts w:ascii="Times New Roman" w:hAnsi="Times New Roman"/>
          <w:sz w:val="20"/>
          <w:u w:val="single"/>
        </w:rPr>
        <w:t>provided</w:t>
      </w:r>
      <w:r>
        <w:rPr>
          <w:rFonts w:ascii="Times New Roman" w:hAnsi="Times New Roman"/>
          <w:sz w:val="20"/>
        </w:rPr>
        <w:t xml:space="preserve">, that, for any holder of Company Capital Stock that does not make such designation in writing to Parent and to the Company at least ten (10) Business Days prior to the Closing, such percentage shall be set at (x) if such holder is an “Investor” under and as defined in the Subscription Agreement, the Beneficial Ownership Limitation applicable to such holder under the Subscription Agreement as in effect as of immediately prior to the Effective Time and (y) otherwise, 9.99%. Notwithstanding the foregoing, by written notice to the Surviving Corporation, any Person may reset the Beneficial Ownership Limitation percentage to a higher or lower percentage, not to exceed 19.99%; </w:t>
      </w:r>
      <w:r>
        <w:rPr>
          <w:rFonts w:ascii="Times New Roman" w:hAnsi="Times New Roman"/>
          <w:sz w:val="20"/>
          <w:u w:val="single"/>
        </w:rPr>
        <w:t>provided</w:t>
      </w:r>
      <w:r>
        <w:rPr>
          <w:rFonts w:ascii="Times New Roman" w:hAnsi="Times New Roman"/>
          <w:sz w:val="20"/>
        </w:rPr>
        <w:t xml:space="preserve">, that any increase will not be effective until the sixty-first (61st) day after such written notice is delivered to the Surviving Corporation.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2.5(g)</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1.4.3</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new Exhibit F to the Merger Agreement shall be, and hereby is, inserted into the Merger Agreement with the form of Pre-Funded Warrant attached hereto as </w:t>
            </w:r>
            <w:r>
              <w:rPr>
                <w:rFonts w:ascii="Times New Roman" w:hAnsi="Times New Roman"/>
                <w:sz w:val="20"/>
                <w:u w:val="single"/>
              </w:rPr>
              <w:t>Exhibit A</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1.4.4</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4.22 of the Merger Agreement is hereby amended by adding the following at the end thereof: “Each Pre-Funded Warrant, when issued in accordance with the provisions of this Agreement, will constitute a valid and binding obligation of Parent, enforceable against Parent in accordance with its terms, subject to the Enforceability Exceptions. The Parent Common Stock issuable upon exercise of the Pre-Funded Warrants will, as of the Effective Time, be duly reserved for issuance and, upon issuance in accordance with the terms of the Pre-Funded Warrants, will be validly issued, fully paid and nonassessable.”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1.4.5</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6.9 of the Merger Agreement is hereby amended by replacing the words “the shares of Parent Common Stock to be issued in connection with the Contemplated Transactions” with the words “the shares of Parent Common Stock to be issued in connection with the Contemplated Transactions (including the shares of Parent Common Stock issuable upon exercise of the Pre-Funded Warrants)”.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395"/>
        <w:gridCol w:w="2900"/>
      </w:tblGrid>
      <w:tr>
        <w:trPr/>
        <w:tc>
          <w:tcPr>
            <w:tcW w:w="395" w:type="dxa"/>
            <w:tcBorders/>
            <w:vAlign w:val="center"/>
          </w:tcPr>
          <w:p>
            <w:pPr>
              <w:pStyle w:val="TableContents"/>
              <w:bidi w:val="0"/>
              <w:spacing w:before="0" w:after="283"/>
              <w:jc w:val="left"/>
              <w:rPr/>
            </w:pPr>
            <w:r>
              <w:rPr/>
              <w:t>1.5.</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Required Parent Stockholder Vote.</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1.5.1</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amended by deleting the designation “(i)” appearing at the beginning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1.5.2</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“the Nasdaq rules and (b)” with the words “the Nasdaq rules, (b)”.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1.5.3</w:t>
            </w:r>
          </w:p>
        </w:tc>
        <w:tc>
          <w:tcPr>
            <w:tcW w:w="9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Section 4.4 of the Merger Agreement is hereby further amended by replacing the words “and (ii) the affirmative vote of a majority of the shares of Parent Common Stock outstanding and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thereon is the only vote of the holders of any class or series of Parent’s capital stock necessary to approve clause (iii)” with the words “and (c) clause (iii)”.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MISCELLANEOUS </w:t>
      </w:r>
    </w:p>
    <w:p>
      <w:pPr>
        <w:pStyle w:val="TextBody"/>
        <w:bidi w:val="0"/>
        <w:spacing w:before="240" w:after="0"/>
        <w:jc w:val="left"/>
        <w:rPr>
          <w:rFonts w:ascii="Times New Roman" w:hAnsi="Times New Roman"/>
          <w:sz w:val="20"/>
        </w:rPr>
      </w:pPr>
      <w:r>
        <w:rPr>
          <w:rFonts w:ascii="Times New Roman" w:hAnsi="Times New Roman"/>
          <w:sz w:val="20"/>
        </w:rPr>
        <w:t xml:space="preserve">2.1. Except as specifically modified herein, the Merger Agreement remains in full force and effect, and the Parties hereto reserve all of their respective rights and remedies with respect to all other matters and claims, whether known or unknown, arising under the Merger Agreement. In the event of any conflict or inconsistency between this Amendment and the Merger Agreement, this Amendment shall control. All references in the Merger Agreement to “this Agreement” or “herein” or words of similar import shall be deemed to refer to the Merger Agreement as amended by this Amendment. The Merger Agreement (including as amended hereby) and the other schedules, exhibits, certificates, instruments and agreements referred to in the Merger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2.2. This Amendment may be executed in one or more counterparts, each of which shall be deemed an original, but all of which together shall constitute one and the same instrument, with the same effect as if the signatures thereto were in the same instrument. The exchange of a fully executed Amendment (in counterparts or otherwise) by all Parties by electronic transmission in PDF format shall be sufficient to bind the Parties to the terms and conditions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2.3. Sections 11.2 through 11.11 of the Merger Agreement are hereby incorporated by reference into this Amendment,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560"/>
        <w:gridCol w:w="60"/>
        <w:gridCol w:w="5240"/>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5860"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530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Jessica Oien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President, Chief Legal Officer and Corporate Secretary</w:t>
            </w:r>
          </w:p>
        </w:tc>
      </w:tr>
      <w:tr>
        <w:trPr/>
        <w:tc>
          <w:tcPr>
            <w:tcW w:w="5860" w:type="dxa"/>
            <w:gridSpan w:val="3"/>
            <w:tcBorders/>
            <w:vAlign w:val="center"/>
          </w:tcPr>
          <w:p>
            <w:pPr>
              <w:pStyle w:val="TableContents"/>
              <w:bidi w:val="0"/>
              <w:spacing w:before="0" w:after="283"/>
              <w:jc w:val="left"/>
              <w:rPr>
                <w:sz w:val="4"/>
                <w:szCs w:val="4"/>
              </w:rPr>
            </w:pPr>
            <w:r>
              <w:rPr>
                <w:sz w:val="4"/>
                <w:szCs w:val="4"/>
              </w:rPr>
            </w:r>
          </w:p>
        </w:tc>
      </w:tr>
      <w:tr>
        <w:trPr/>
        <w:tc>
          <w:tcPr>
            <w:tcW w:w="5860"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BOULDER MERGER SUB CORP.</w:t>
            </w:r>
          </w:p>
        </w:tc>
      </w:tr>
      <w:tr>
        <w:trPr/>
        <w:tc>
          <w:tcPr>
            <w:tcW w:w="560" w:type="dxa"/>
            <w:tcBorders/>
            <w:vAlign w:val="center"/>
          </w:tcPr>
          <w:p>
            <w:pPr>
              <w:pStyle w:val="TableContents"/>
              <w:bidi w:val="0"/>
              <w:spacing w:before="0" w:after="283"/>
              <w:jc w:val="left"/>
              <w:rPr>
                <w:sz w:val="4"/>
                <w:szCs w:val="4"/>
              </w:rPr>
            </w:pPr>
            <w:r>
              <w:rPr>
                <w:sz w:val="4"/>
                <w:szCs w:val="4"/>
              </w:rPr>
            </w:r>
          </w:p>
        </w:tc>
        <w:tc>
          <w:tcPr>
            <w:tcW w:w="530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Oien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Jessica Oien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President and Secretary</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as of the date first above written.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560"/>
        <w:gridCol w:w="60"/>
        <w:gridCol w:w="1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See 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1580"/>
        <w:gridCol w:w="120"/>
        <w:gridCol w:w="279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pPr>
            <w:r>
              <w:rPr/>
              <w:t>Warrant No. [●]</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Serapha 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as adjusted from time to time as provided in </w:t>
      </w:r>
      <w:r>
        <w:rPr>
          <w:rFonts w:ascii="Times New Roman" w:hAnsi="Times New Roman"/>
          <w:sz w:val="20"/>
          <w:u w:val="single"/>
        </w:rPr>
        <w:t>Section 9</w:t>
      </w:r>
      <w:r>
        <w:rPr>
          <w:rFonts w:ascii="Times New Roman" w:hAnsi="Times New Roman"/>
          <w:sz w:val="20"/>
        </w:rPr>
        <w:t>, at an exercise price per share equal to $0.00001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200"/>
        <w:gridCol w:w="79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1.</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tc>
      </w:tr>
    </w:tbl>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(as defined below). </w:t>
      </w:r>
    </w:p>
    <w:p>
      <w:pPr>
        <w:pStyle w:val="TextBody"/>
        <w:bidi w:val="0"/>
        <w:spacing w:before="24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Stock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(as defined below),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4.</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Exercise of Warrants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its representations contained in Sections 4.1 and 4.3 through 4.14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200"/>
        <w:gridCol w:w="24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5.</w:t>
            </w:r>
          </w:p>
        </w:tc>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Delivery of Warrant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At Custodian system or (ii) in book-entry form via a direct registration system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is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to the nearest share.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320"/>
        <w:gridCol w:w="21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11.</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Limitations on Exercise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320"/>
        <w:gridCol w:w="132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15.</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1849" w:type="dxa"/>
        <w:jc w:val="left"/>
        <w:tblInd w:w="0" w:type="dxa"/>
        <w:tblLayout w:type="fixed"/>
        <w:tblCellMar>
          <w:top w:w="0" w:type="dxa"/>
          <w:left w:w="0" w:type="dxa"/>
          <w:bottom w:w="0" w:type="dxa"/>
          <w:right w:w="0" w:type="dxa"/>
        </w:tblCellMar>
      </w:tblPr>
      <w:tblGrid>
        <w:gridCol w:w="1455"/>
        <w:gridCol w:w="174"/>
        <w:gridCol w:w="220"/>
      </w:tblGrid>
      <w:tr>
        <w:trPr/>
        <w:tc>
          <w:tcPr>
            <w:tcW w:w="145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SERAPHA BIO, INC.</w:t>
            </w:r>
          </w:p>
        </w:tc>
      </w:tr>
      <w:tr>
        <w:trPr/>
        <w:tc>
          <w:tcPr>
            <w:tcW w:w="1455" w:type="dxa"/>
            <w:tcBorders/>
            <w:vAlign w:val="center"/>
          </w:tcPr>
          <w:p>
            <w:pPr>
              <w:pStyle w:val="TableContents"/>
              <w:bidi w:val="0"/>
              <w:spacing w:before="0" w:after="283"/>
              <w:jc w:val="left"/>
              <w:rPr>
                <w:sz w:val="4"/>
                <w:szCs w:val="4"/>
              </w:rPr>
            </w:pPr>
            <w:r>
              <w:rPr>
                <w:sz w:val="4"/>
                <w:szCs w:val="4"/>
              </w:rPr>
            </w:r>
          </w:p>
        </w:tc>
        <w:tc>
          <w:tcPr>
            <w:tcW w:w="394" w:type="dxa"/>
            <w:gridSpan w:val="2"/>
            <w:tcBorders/>
            <w:vAlign w:val="center"/>
          </w:tcPr>
          <w:p>
            <w:pPr>
              <w:pStyle w:val="TableContents"/>
              <w:bidi w:val="0"/>
              <w:spacing w:before="0" w:after="283"/>
              <w:jc w:val="left"/>
              <w:rPr>
                <w:sz w:val="4"/>
                <w:szCs w:val="4"/>
              </w:rPr>
            </w:pPr>
            <w:r>
              <w:rPr>
                <w:sz w:val="4"/>
                <w:szCs w:val="4"/>
              </w:rPr>
            </w:r>
          </w:p>
        </w:tc>
      </w:tr>
      <w:tr>
        <w:trPr/>
        <w:tc>
          <w:tcPr>
            <w:tcW w:w="1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74" w:type="dxa"/>
            <w:tcBorders/>
            <w:vAlign w:val="center"/>
          </w:tcPr>
          <w:p>
            <w:pPr>
              <w:pStyle w:val="TableContents"/>
              <w:bidi w:val="0"/>
              <w:spacing w:before="0" w:after="283"/>
              <w:jc w:val="left"/>
              <w:rPr/>
            </w:pPr>
            <w:r>
              <w:rPr/>
              <w:t> </w:t>
            </w:r>
          </w:p>
        </w:tc>
        <w:tc>
          <w:tcPr>
            <w:tcW w:w="220" w:type="dxa"/>
            <w:tcBorders/>
            <w:vAlign w:val="center"/>
          </w:tcPr>
          <w:p>
            <w:pPr>
              <w:pStyle w:val="TableContents"/>
              <w:pBdr>
                <w:bottom w:val="single" w:sz="2" w:space="1" w:color="000000"/>
              </w:pBdr>
              <w:bidi w:val="0"/>
              <w:spacing w:before="0" w:after="20"/>
              <w:jc w:val="left"/>
              <w:rPr/>
            </w:pPr>
            <w:r>
              <w:rPr/>
              <w:t> </w:t>
            </w:r>
          </w:p>
        </w:tc>
      </w:tr>
      <w:tr>
        <w:trPr/>
        <w:tc>
          <w:tcPr>
            <w:tcW w:w="1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7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r>
      <w:tr>
        <w:trPr/>
        <w:tc>
          <w:tcPr>
            <w:tcW w:w="1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7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Serapha Bio,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75"/>
        <w:gridCol w:w="230"/>
        <w:gridCol w:w="1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230"/>
        <w:gridCol w:w="4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jc w:val="left"/>
              <w:rPr/>
            </w:pPr>
            <w:r>
              <w:rPr/>
              <w:t>“</w:t>
            </w:r>
            <w:r>
              <w:rPr>
                <w:rFonts w:ascii="Times New Roman" w:hAnsi="Times New Roman"/>
                <w:sz w:val="20"/>
              </w:rPr>
              <w:t xml:space="preserve">Cashless Exercise” under </w:t>
            </w:r>
            <w:r>
              <w:rPr>
                <w:rFonts w:ascii="Times New Roman" w:hAnsi="Times New Roman"/>
                <w:sz w:val="20"/>
                <w:u w:val="single"/>
              </w:rPr>
              <w:t>Section 10</w:t>
            </w:r>
            <w:r>
              <w:rPr>
                <w:rFonts w:ascii="Times New Roman" w:hAnsi="Times New Roman"/>
                <w:sz w:val="20"/>
              </w:rPr>
              <w:t xml:space="preserve">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245"/>
        <w:gridCol w:w="60"/>
        <w:gridCol w:w="4145"/>
        <w:gridCol w:w="60"/>
        <w:gridCol w:w="7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to the following DWAC Account Number: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bl>
    <w:tbl>
      <w:tblPr>
        <w:tblW w:w="5178" w:type="dxa"/>
        <w:jc w:val="left"/>
        <w:tblInd w:w="0" w:type="dxa"/>
        <w:tblLayout w:type="fixed"/>
        <w:tblCellMar>
          <w:top w:w="0" w:type="dxa"/>
          <w:left w:w="0" w:type="dxa"/>
          <w:bottom w:w="0" w:type="dxa"/>
          <w:right w:w="0" w:type="dxa"/>
        </w:tblCellMar>
      </w:tblPr>
      <w:tblGrid>
        <w:gridCol w:w="245"/>
        <w:gridCol w:w="60"/>
        <w:gridCol w:w="4715"/>
        <w:gridCol w:w="120"/>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4775"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in book-entry form via a direct registration system</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6083" w:type="dxa"/>
        <w:jc w:val="left"/>
        <w:tblInd w:w="0" w:type="dxa"/>
        <w:tblLayout w:type="fixed"/>
        <w:tblCellMar>
          <w:top w:w="0" w:type="dxa"/>
          <w:left w:w="0" w:type="dxa"/>
          <w:bottom w:w="0" w:type="dxa"/>
          <w:right w:w="0" w:type="dxa"/>
        </w:tblCellMar>
      </w:tblPr>
      <w:tblGrid>
        <w:gridCol w:w="245"/>
        <w:gridCol w:w="60"/>
        <w:gridCol w:w="5217"/>
        <w:gridCol w:w="85"/>
        <w:gridCol w:w="476"/>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5277" w:type="dxa"/>
            <w:gridSpan w:val="2"/>
            <w:tcBorders/>
            <w:vAlign w:val="center"/>
          </w:tcPr>
          <w:p>
            <w:pPr>
              <w:pStyle w:val="TableContents"/>
              <w:bidi w:val="0"/>
              <w:spacing w:before="0" w:after="283"/>
              <w:jc w:val="left"/>
              <w:rPr>
                <w:sz w:val="4"/>
                <w:szCs w:val="4"/>
              </w:rPr>
            </w:pPr>
            <w:r>
              <w:rPr>
                <w:sz w:val="4"/>
                <w:szCs w:val="4"/>
              </w:rPr>
            </w:r>
          </w:p>
        </w:tc>
        <w:tc>
          <w:tcPr>
            <w:tcW w:w="56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7" w:type="dxa"/>
            <w:tcBorders/>
            <w:vAlign w:val="center"/>
          </w:tcPr>
          <w:p>
            <w:pPr>
              <w:pStyle w:val="TableContents"/>
              <w:bidi w:val="0"/>
              <w:spacing w:before="0" w:after="283"/>
              <w:jc w:val="left"/>
              <w:rPr/>
            </w:pPr>
            <w:r>
              <w:rPr/>
              <w:t>by physical delivery of a certificate to: </w:t>
            </w:r>
          </w:p>
        </w:tc>
        <w:tc>
          <w:tcPr>
            <w:tcW w:w="85" w:type="dxa"/>
            <w:tcBorders/>
            <w:vAlign w:val="center"/>
          </w:tcPr>
          <w:p>
            <w:pPr>
              <w:pStyle w:val="TableContents"/>
              <w:bidi w:val="0"/>
              <w:spacing w:before="0" w:after="283"/>
              <w:jc w:val="left"/>
              <w:rPr/>
            </w:pPr>
            <w:r>
              <w:rPr/>
              <w:t> </w:t>
            </w:r>
          </w:p>
        </w:tc>
        <w:tc>
          <w:tcPr>
            <w:tcW w:w="476" w:type="dxa"/>
            <w:tcBorders/>
            <w:vAlign w:val="center"/>
          </w:tcPr>
          <w:p>
            <w:pPr>
              <w:pStyle w:val="TableContents"/>
              <w:pBdr>
                <w:bottom w:val="single" w:sz="2" w:space="1" w:color="000000"/>
              </w:pBdr>
              <w:bidi w:val="0"/>
              <w:spacing w:before="0" w:after="20"/>
              <w:jc w:val="left"/>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5277" w:type="dxa"/>
            <w:gridSpan w:val="2"/>
            <w:tcBorders/>
            <w:vAlign w:val="center"/>
          </w:tcPr>
          <w:p>
            <w:pPr>
              <w:pStyle w:val="TableContents"/>
              <w:bidi w:val="0"/>
              <w:spacing w:before="0" w:after="283"/>
              <w:jc w:val="left"/>
              <w:rPr>
                <w:sz w:val="4"/>
                <w:szCs w:val="4"/>
              </w:rPr>
            </w:pPr>
            <w:r>
              <w:rPr>
                <w:sz w:val="4"/>
                <w:szCs w:val="4"/>
              </w:rPr>
            </w:r>
          </w:p>
        </w:tc>
        <w:tc>
          <w:tcPr>
            <w:tcW w:w="561"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476" w:type="dxa"/>
            <w:tcBorders/>
            <w:vAlign w:val="center"/>
          </w:tcPr>
          <w:p>
            <w:pPr>
              <w:pStyle w:val="TableContents"/>
              <w:pBdr>
                <w:bottom w:val="single" w:sz="2" w:space="1" w:color="000000"/>
              </w:pBdr>
              <w:bidi w:val="0"/>
              <w:spacing w:before="0" w:after="20"/>
              <w:jc w:val="left"/>
              <w:rPr/>
            </w:pPr>
            <w:r>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583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78" w:type="dxa"/>
            <w:gridSpan w:val="3"/>
            <w:tcBorders/>
            <w:vAlign w:val="center"/>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1505" w:type="dxa"/>
        <w:jc w:val="left"/>
        <w:tblInd w:w="0" w:type="dxa"/>
        <w:tblLayout w:type="fixed"/>
        <w:tblCellMar>
          <w:top w:w="0" w:type="dxa"/>
          <w:left w:w="0" w:type="dxa"/>
          <w:bottom w:w="0" w:type="dxa"/>
          <w:right w:w="0" w:type="dxa"/>
        </w:tblCellMar>
      </w:tblPr>
      <w:tblGrid>
        <w:gridCol w:w="1370"/>
        <w:gridCol w:w="6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8" w:name="tx108148_45"/>
      <w:bookmarkEnd w:id="228"/>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C</w:t>
      </w:r>
      <w:r>
        <w:rPr>
          <w:rFonts w:ascii="Times New Roman" w:hAnsi="Times New Roman"/>
          <w:b/>
          <w:sz w:val="20"/>
          <w:u w:val="single"/>
        </w:rPr>
        <w:t>ERTIFICATE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A</w:t>
      </w:r>
      <w:r>
        <w:rPr>
          <w:rFonts w:ascii="Times New Roman" w:hAnsi="Times New Roman"/>
          <w:b/>
          <w:sz w:val="20"/>
          <w:u w:val="single"/>
        </w:rPr>
        <w:t>MENDMENT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ESTATED</w:t>
      </w:r>
      <w:r>
        <w:rPr>
          <w:rFonts w:ascii="Times New Roman" w:hAnsi="Times New Roman"/>
          <w:b/>
          <w:sz w:val="20"/>
        </w:rPr>
        <w:t xml:space="preserve"> C</w:t>
      </w:r>
      <w:r>
        <w:rPr>
          <w:rFonts w:ascii="Times New Roman" w:hAnsi="Times New Roman"/>
          <w:b/>
          <w:sz w:val="20"/>
          <w:u w:val="single"/>
        </w:rPr>
        <w:t>ERTIFICATE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I</w:t>
      </w:r>
      <w:r>
        <w:rPr>
          <w:rFonts w:ascii="Times New Roman" w:hAnsi="Times New Roman"/>
          <w:b/>
          <w:sz w:val="20"/>
          <w:u w:val="single"/>
        </w:rPr>
        <w:t>NCORPORATION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B</w:t>
      </w:r>
      <w:r>
        <w:rPr>
          <w:rFonts w:ascii="Times New Roman" w:hAnsi="Times New Roman"/>
          <w:b/>
          <w:sz w:val="20"/>
          <w:u w:val="single"/>
        </w:rPr>
        <w:t>OUNDLESS</w:t>
      </w:r>
      <w:r>
        <w:rPr>
          <w:rFonts w:ascii="Times New Roman" w:hAnsi="Times New Roman"/>
          <w:b/>
          <w:sz w:val="20"/>
        </w:rPr>
        <w:t xml:space="preserve"> B</w:t>
      </w:r>
      <w:r>
        <w:rPr>
          <w:rFonts w:ascii="Times New Roman" w:hAnsi="Times New Roman"/>
          <w:b/>
          <w:sz w:val="20"/>
          <w:u w:val="single"/>
        </w:rPr>
        <w:t>IO</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Boundless Bio, Inc. (the “</w:t>
      </w:r>
      <w:r>
        <w:rPr>
          <w:rFonts w:ascii="Times New Roman" w:hAnsi="Times New Roman"/>
          <w:sz w:val="20"/>
          <w:u w:val="single"/>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sz w:val="20"/>
        </w:rPr>
        <w:t xml:space="preserve">1. That the Corporation, which was originally known as Pretzel Therapeutics, Inc., filed its original Certificate of Incorporation on April 10, 2018. </w:t>
      </w:r>
    </w:p>
    <w:p>
      <w:pPr>
        <w:pStyle w:val="TextBody"/>
        <w:bidi w:val="0"/>
        <w:spacing w:before="240" w:after="0"/>
        <w:jc w:val="left"/>
        <w:rPr>
          <w:rFonts w:ascii="Times New Roman" w:hAnsi="Times New Roman"/>
          <w:sz w:val="20"/>
        </w:rPr>
      </w:pPr>
      <w:r>
        <w:rPr>
          <w:rFonts w:ascii="Times New Roman" w:hAnsi="Times New Roman"/>
          <w:sz w:val="20"/>
        </w:rPr>
        <w:t xml:space="preserve">2.  That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 </w:t>
      </w:r>
    </w:p>
    <w:p>
      <w:pPr>
        <w:pStyle w:val="TextBody"/>
        <w:bidi w:val="0"/>
        <w:spacing w:before="240" w:after="0"/>
        <w:jc w:val="left"/>
        <w:rPr>
          <w:rFonts w:ascii="Times New Roman" w:hAnsi="Times New Roman"/>
          <w:sz w:val="20"/>
        </w:rPr>
      </w:pPr>
      <w:r>
        <w:rPr>
          <w:rFonts w:ascii="Times New Roman" w:hAnsi="Times New Roman"/>
          <w:sz w:val="20"/>
        </w:rPr>
        <w:t xml:space="preserve">THEREFORE, BE IT RESOLVED, that Article IV of the Certificate is hereby amended to add the following new paragraphs immediately following the last paragraph of Article IV: </w:t>
      </w:r>
    </w:p>
    <w:p>
      <w:pPr>
        <w:pStyle w:val="TextBody"/>
        <w:bidi w:val="0"/>
        <w:spacing w:before="240" w:after="0"/>
        <w:jc w:val="left"/>
        <w:rPr/>
      </w:pPr>
      <w:r>
        <w:rPr/>
        <w:t>“</w:t>
      </w:r>
      <w:r>
        <w:rPr>
          <w:rFonts w:ascii="Times New Roman" w:hAnsi="Times New Roman"/>
          <w:sz w:val="20"/>
        </w:rPr>
        <w:t xml:space="preserve">C. </w:t>
      </w:r>
      <w:r>
        <w:rPr>
          <w:rFonts w:ascii="Times New Roman" w:hAnsi="Times New Roman"/>
          <w:sz w:val="20"/>
          <w:u w:val="single"/>
        </w:rPr>
        <w:t>REVERSE STOCK SPLIT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at      Eastern Time, on      , 2026 (the “</w:t>
      </w:r>
      <w:r>
        <w:rPr>
          <w:rFonts w:ascii="Times New Roman" w:hAnsi="Times New Roman"/>
          <w:sz w:val="20"/>
          <w:u w:val="single"/>
        </w:rPr>
        <w:t>Effective Time</w:t>
      </w:r>
      <w:r>
        <w:rPr>
          <w:rFonts w:ascii="Times New Roman" w:hAnsi="Times New Roman"/>
          <w:sz w:val="20"/>
        </w:rPr>
        <w:t>”), a one-for-     reverse stock split of the shares of Common Stock shall become effective, pursuant to which each [●]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Corporation or the holder thereof upon the Effective Time and shall represent one share of Common Stock from and after the Effective Time (such reclassification and combination of shares, the “</w:t>
      </w:r>
      <w:r>
        <w:rPr>
          <w:rFonts w:ascii="Times New Roman" w:hAnsi="Times New Roman"/>
          <w:sz w:val="20"/>
          <w:u w:val="single"/>
        </w:rPr>
        <w:t>Reverse Stock Split</w:t>
      </w:r>
      <w:r>
        <w:rPr>
          <w:rFonts w:ascii="Times New Roman" w:hAnsi="Times New Roman"/>
          <w:sz w:val="20"/>
        </w:rPr>
        <w:t xml:space="preserve">”). The par value of the Common Stock following the Reverse Stock Split shall remain at $0.0001.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Each stock certificate or book-entry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 That, at a meeting of the stockholders of the Corporation, the aforesaid amendment was duly adopted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4. That the aforesaid amendment was duly adopted in accordance with the applicable provisions of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5. That this Certificate of Amendment shall become effective at      Eastern Time on      , 2026.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of the Amended and Restated Certificate of Incorporation has been executed as of this      day of     , 2026. </w:t>
      </w:r>
    </w:p>
    <w:p>
      <w:pPr>
        <w:pStyle w:val="TextBody"/>
        <w:bidi w:val="0"/>
        <w:spacing w:before="0" w:after="0"/>
        <w:jc w:val="left"/>
        <w:rPr/>
      </w:pPr>
      <w:r>
        <w:rPr/>
        <w:t> </w:t>
      </w:r>
    </w:p>
    <w:tbl>
      <w:tblPr>
        <w:tblW w:w="1968" w:type="dxa"/>
        <w:jc w:val="left"/>
        <w:tblInd w:w="0" w:type="dxa"/>
        <w:tblLayout w:type="fixed"/>
        <w:tblCellMar>
          <w:top w:w="0" w:type="dxa"/>
          <w:left w:w="0" w:type="dxa"/>
          <w:bottom w:w="0" w:type="dxa"/>
          <w:right w:w="0" w:type="dxa"/>
        </w:tblCellMar>
      </w:tblPr>
      <w:tblGrid>
        <w:gridCol w:w="1609"/>
        <w:gridCol w:w="158"/>
        <w:gridCol w:w="201"/>
      </w:tblGrid>
      <w:tr>
        <w:trPr/>
        <w:tc>
          <w:tcPr>
            <w:tcW w:w="1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c>
          <w:tcPr>
            <w:tcW w:w="1609" w:type="dxa"/>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283"/>
              <w:jc w:val="left"/>
              <w:rPr/>
            </w:pPr>
            <w:r>
              <w:rPr/>
              <w:t>By:</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pBdr>
                <w:bottom w:val="single" w:sz="2" w:space="1" w:color="000000"/>
              </w:pBdr>
              <w:bidi w:val="0"/>
              <w:spacing w:before="0" w:after="20"/>
              <w:jc w:val="left"/>
              <w:rPr/>
            </w:pPr>
            <w:r>
              <w:rPr/>
              <w:t> </w:t>
            </w:r>
          </w:p>
        </w:tc>
      </w:tr>
      <w:tr>
        <w:trPr/>
        <w:tc>
          <w:tcPr>
            <w:tcW w:w="1609" w:type="dxa"/>
            <w:tcBorders/>
            <w:vAlign w:val="center"/>
          </w:tcPr>
          <w:p>
            <w:pPr>
              <w:pStyle w:val="TableContents"/>
              <w:bidi w:val="0"/>
              <w:spacing w:before="0" w:after="283"/>
              <w:jc w:val="left"/>
              <w:rPr/>
            </w:pPr>
            <w:r>
              <w:rPr/>
              <w:t>Name:</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283"/>
              <w:jc w:val="left"/>
              <w:rPr/>
            </w:pPr>
            <w:r>
              <w:rPr/>
              <w:t>Title:</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9" w:name="tx108148_46"/>
      <w:bookmarkEnd w:id="229"/>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C</w:t>
      </w:r>
      <w:r>
        <w:rPr>
          <w:rFonts w:ascii="Times New Roman" w:hAnsi="Times New Roman"/>
          <w:b/>
          <w:sz w:val="20"/>
          <w:u w:val="single"/>
        </w:rPr>
        <w:t>ERTIFICATE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A</w:t>
      </w:r>
      <w:r>
        <w:rPr>
          <w:rFonts w:ascii="Times New Roman" w:hAnsi="Times New Roman"/>
          <w:b/>
          <w:sz w:val="20"/>
          <w:u w:val="single"/>
        </w:rPr>
        <w:t>MENDMENT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ESTATED</w:t>
      </w:r>
      <w:r>
        <w:rPr>
          <w:rFonts w:ascii="Times New Roman" w:hAnsi="Times New Roman"/>
          <w:b/>
          <w:sz w:val="20"/>
        </w:rPr>
        <w:t xml:space="preserve"> C</w:t>
      </w:r>
      <w:r>
        <w:rPr>
          <w:rFonts w:ascii="Times New Roman" w:hAnsi="Times New Roman"/>
          <w:b/>
          <w:sz w:val="20"/>
          <w:u w:val="single"/>
        </w:rPr>
        <w:t>ERTIFICATE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I</w:t>
      </w:r>
      <w:r>
        <w:rPr>
          <w:rFonts w:ascii="Times New Roman" w:hAnsi="Times New Roman"/>
          <w:b/>
          <w:sz w:val="20"/>
          <w:u w:val="single"/>
        </w:rPr>
        <w:t>NCORPORATION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B</w:t>
      </w:r>
      <w:r>
        <w:rPr>
          <w:rFonts w:ascii="Times New Roman" w:hAnsi="Times New Roman"/>
          <w:b/>
          <w:sz w:val="20"/>
          <w:u w:val="single"/>
        </w:rPr>
        <w:t>OUNDLESS</w:t>
      </w:r>
      <w:r>
        <w:rPr>
          <w:rFonts w:ascii="Times New Roman" w:hAnsi="Times New Roman"/>
          <w:b/>
          <w:sz w:val="20"/>
        </w:rPr>
        <w:t xml:space="preserve"> B</w:t>
      </w:r>
      <w:r>
        <w:rPr>
          <w:rFonts w:ascii="Times New Roman" w:hAnsi="Times New Roman"/>
          <w:b/>
          <w:sz w:val="20"/>
          <w:u w:val="single"/>
        </w:rPr>
        <w:t>IO</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Boundless Bio, Inc. (the “</w:t>
      </w:r>
      <w:r>
        <w:rPr>
          <w:rFonts w:ascii="Times New Roman" w:hAnsi="Times New Roman"/>
          <w:sz w:val="20"/>
          <w:u w:val="single"/>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sz w:val="20"/>
        </w:rPr>
        <w:t xml:space="preserve">1. That the Corporation, which was originally known as Pretzel Therapeutics, Inc., filed its original Certificate of Incorporation on April 10, 2018. </w:t>
      </w:r>
    </w:p>
    <w:p>
      <w:pPr>
        <w:pStyle w:val="TextBody"/>
        <w:bidi w:val="0"/>
        <w:spacing w:before="240" w:after="0"/>
        <w:jc w:val="left"/>
        <w:rPr>
          <w:rFonts w:ascii="Times New Roman" w:hAnsi="Times New Roman"/>
          <w:sz w:val="20"/>
        </w:rPr>
      </w:pPr>
      <w:r>
        <w:rPr>
          <w:rFonts w:ascii="Times New Roman" w:hAnsi="Times New Roman"/>
          <w:sz w:val="20"/>
        </w:rPr>
        <w:t>2.  That the Board of Directors of said Corporation duly adopted resolutions setting forth a proposed amendment of the Amended and Restated Certificate of Incorporation of the Corporation (the “</w:t>
      </w:r>
      <w:r>
        <w:rPr>
          <w:rFonts w:ascii="Times New Roman" w:hAnsi="Times New Roman"/>
          <w:sz w:val="20"/>
          <w:u w:val="single"/>
        </w:rPr>
        <w:t>Certificate</w:t>
      </w:r>
      <w:r>
        <w:rPr>
          <w:rFonts w:ascii="Times New Roman" w:hAnsi="Times New Roman"/>
          <w:sz w:val="20"/>
        </w:rPr>
        <w:t xml:space="preserve">”), declaring said amendment to be advisable and directing its officers to submit said amendment to the stockholders of the Corporation for consideration thereof. The resolution setting forth the proposed amendment is as follows: </w:t>
      </w:r>
    </w:p>
    <w:p>
      <w:pPr>
        <w:pStyle w:val="TextBody"/>
        <w:bidi w:val="0"/>
        <w:spacing w:before="240" w:after="0"/>
        <w:jc w:val="left"/>
        <w:rPr>
          <w:rFonts w:ascii="Times New Roman" w:hAnsi="Times New Roman"/>
          <w:sz w:val="20"/>
        </w:rPr>
      </w:pPr>
      <w:r>
        <w:rPr>
          <w:rFonts w:ascii="Times New Roman" w:hAnsi="Times New Roman"/>
          <w:sz w:val="20"/>
        </w:rPr>
        <w:t xml:space="preserve">THEREFORE, BE IT RESOLVED, that the first paragraph of Article IV of the Certificate is hereby amended and restated in its entirety to read as follows: </w:t>
      </w:r>
    </w:p>
    <w:p>
      <w:pPr>
        <w:pStyle w:val="TextBody"/>
        <w:bidi w:val="0"/>
        <w:spacing w:before="120" w:after="0"/>
        <w:jc w:val="left"/>
        <w:rPr/>
      </w:pPr>
      <w:r>
        <w:rPr/>
        <w:t>“</w:t>
      </w:r>
      <w:r>
        <w:rPr>
          <w:rFonts w:ascii="Times New Roman" w:hAnsi="Times New Roman"/>
          <w:sz w:val="20"/>
        </w:rPr>
        <w:t>The Corporation is authorized to issue two classes of stock to be designated, respectively, “</w:t>
      </w:r>
      <w:r>
        <w:rPr>
          <w:rFonts w:ascii="Times New Roman" w:hAnsi="Times New Roman"/>
          <w:sz w:val="20"/>
          <w:u w:val="single"/>
        </w:rPr>
        <w:t>Common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xml:space="preserve">.” The total number of shares of capital stock which the Corporation shall have authority to issue is     . The total number of shares of Common Stock that the Corporation is authorized to issue is     , having a par value of $0.0001 per share, and the total number of shares of Preferred Stock that the Corporation is authorized to issue is 70,000,000, having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 That, at a meeting of the stockholders of the Corporation, the aforesaid amendment was duly adopted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4. That the aforesaid amendment was duly adopted in accordance with the applicable provisions of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5. That this Certificate of Amendment shall become effective at      Eastern Time on    , 2026.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of the Amended and Restated Certificate of Incorporation has been executed as of this      day of     , 2026. </w:t>
      </w:r>
    </w:p>
    <w:p>
      <w:pPr>
        <w:pStyle w:val="TextBody"/>
        <w:bidi w:val="0"/>
        <w:spacing w:before="0" w:after="0"/>
        <w:jc w:val="left"/>
        <w:rPr/>
      </w:pPr>
      <w:r>
        <w:rPr/>
        <w:t> </w:t>
      </w:r>
    </w:p>
    <w:tbl>
      <w:tblPr>
        <w:tblW w:w="1968" w:type="dxa"/>
        <w:jc w:val="left"/>
        <w:tblInd w:w="0" w:type="dxa"/>
        <w:tblLayout w:type="fixed"/>
        <w:tblCellMar>
          <w:top w:w="0" w:type="dxa"/>
          <w:left w:w="0" w:type="dxa"/>
          <w:bottom w:w="0" w:type="dxa"/>
          <w:right w:w="0" w:type="dxa"/>
        </w:tblCellMar>
      </w:tblPr>
      <w:tblGrid>
        <w:gridCol w:w="1609"/>
        <w:gridCol w:w="158"/>
        <w:gridCol w:w="201"/>
      </w:tblGrid>
      <w:tr>
        <w:trPr/>
        <w:tc>
          <w:tcPr>
            <w:tcW w:w="1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Boundless Bio,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c>
          <w:tcPr>
            <w:tcW w:w="1609" w:type="dxa"/>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283"/>
              <w:jc w:val="left"/>
              <w:rPr/>
            </w:pPr>
            <w:r>
              <w:rPr/>
              <w:t>By:</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pBdr>
                <w:bottom w:val="single" w:sz="2" w:space="1" w:color="000000"/>
              </w:pBdr>
              <w:bidi w:val="0"/>
              <w:spacing w:before="0" w:after="20"/>
              <w:jc w:val="left"/>
              <w:rPr/>
            </w:pPr>
            <w:r>
              <w:rPr/>
              <w:t> </w:t>
            </w:r>
          </w:p>
        </w:tc>
      </w:tr>
      <w:tr>
        <w:trPr/>
        <w:tc>
          <w:tcPr>
            <w:tcW w:w="1609" w:type="dxa"/>
            <w:tcBorders/>
            <w:vAlign w:val="center"/>
          </w:tcPr>
          <w:p>
            <w:pPr>
              <w:pStyle w:val="TableContents"/>
              <w:bidi w:val="0"/>
              <w:spacing w:before="0" w:after="283"/>
              <w:jc w:val="left"/>
              <w:rPr/>
            </w:pPr>
            <w:r>
              <w:rPr/>
              <w:t>Name:</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283"/>
              <w:jc w:val="left"/>
              <w:rPr/>
            </w:pPr>
            <w:r>
              <w:rPr/>
              <w:t>Title:</w:t>
            </w:r>
          </w:p>
        </w:tc>
        <w:tc>
          <w:tcPr>
            <w:tcW w:w="158"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0" w:name="tx108148_47"/>
      <w:bookmarkStart w:id="231" w:name="annexd"/>
      <w:bookmarkEnd w:id="230"/>
      <w:bookmarkEnd w:id="231"/>
      <w:r>
        <w:rPr>
          <w:rFonts w:ascii="Times New Roman" w:hAnsi="Times New Roman"/>
          <w:b/>
          <w:sz w:val="20"/>
        </w:rPr>
        <w:t xml:space="preserve">Annex 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28"/>
        <w:gridCol w:w="60"/>
        <w:gridCol w:w="23"/>
        <w:gridCol w:w="60"/>
        <w:gridCol w:w="5545"/>
        <w:gridCol w:w="60"/>
        <w:gridCol w:w="230"/>
        <w:gridCol w:w="60"/>
        <w:gridCol w:w="39"/>
      </w:tblGrid>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4128" w:type="dxa"/>
            <w:tcBorders/>
            <w:vAlign w:val="center"/>
          </w:tcPr>
          <w:p>
            <w:pPr>
              <w:pStyle w:val="TableContents"/>
              <w:bidi w:val="0"/>
              <w:spacing w:before="0" w:after="283"/>
              <w:jc w:val="left"/>
              <w:rPr>
                <w:color w:val="FF0200"/>
                <w:sz w:val="16"/>
              </w:rPr>
            </w:pPr>
            <w:r>
              <w:rPr>
                <w:color w:val="FF0200"/>
                <w:sz w:val="16"/>
              </w:rPr>
              <w:t>PRELIMINARY FILING - SUBJECT TO COMPLETION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545" w:type="dxa"/>
            <w:vMerge w:val="restart"/>
            <w:tcBorders/>
            <w:vAlign w:val="center"/>
          </w:tcPr>
          <w:p>
            <w:pPr>
              <w:pStyle w:val="TableContents"/>
              <w:bidi w:val="0"/>
              <w:spacing w:before="0" w:after="0"/>
              <w:jc w:val="left"/>
              <w:rPr>
                <w:rFonts w:ascii="Times New Roman" w:hAnsi="Times New Roman"/>
                <w:b/>
                <w:color w:val="FF281C"/>
                <w:sz w:val="68"/>
              </w:rPr>
            </w:pPr>
            <w:r>
              <w:rPr>
                <w:rFonts w:ascii="Times New Roman" w:hAnsi="Times New Roman"/>
                <w:b/>
                <w:color w:val="FF281C"/>
                <w:sz w:val="68"/>
              </w:rPr>
              <w:t>Your vote</w:t>
            </w:r>
          </w:p>
          <w:p>
            <w:pPr>
              <w:pStyle w:val="TableContents"/>
              <w:bidi w:val="0"/>
              <w:spacing w:before="0" w:after="20"/>
              <w:jc w:val="left"/>
              <w:rPr>
                <w:rFonts w:ascii="Times New Roman" w:hAnsi="Times New Roman"/>
                <w:b/>
                <w:color w:val="FF281C"/>
                <w:sz w:val="68"/>
              </w:rPr>
            </w:pPr>
            <w:r>
              <w:rPr>
                <w:rFonts w:ascii="Times New Roman" w:hAnsi="Times New Roman"/>
                <w:b/>
                <w:color w:val="FF281C"/>
                <w:sz w:val="68"/>
              </w:rPr>
              <w:t>matters!</w:t>
            </w:r>
          </w:p>
        </w:tc>
        <w:tc>
          <w:tcPr>
            <w:tcW w:w="60" w:type="dxa"/>
            <w:vMerge w:val="restart"/>
            <w:tcBorders/>
            <w:vAlign w:val="center"/>
          </w:tcPr>
          <w:p>
            <w:pPr>
              <w:pStyle w:val="TableContents"/>
              <w:bidi w:val="0"/>
              <w:spacing w:before="0" w:after="283"/>
              <w:jc w:val="left"/>
              <w:rPr/>
            </w:pPr>
            <w:r>
              <w:rPr/>
              <w:t> </w:t>
            </w:r>
          </w:p>
        </w:tc>
        <w:tc>
          <w:tcPr>
            <w:tcW w:w="230" w:type="dxa"/>
            <w:vMerge w:val="restart"/>
            <w:tcBorders/>
            <w:vAlign w:val="center"/>
          </w:tcPr>
          <w:p>
            <w:pPr>
              <w:pStyle w:val="TableContents"/>
              <w:bidi w:val="0"/>
              <w:spacing w:before="0" w:after="0"/>
              <w:jc w:val="left"/>
              <w:rPr/>
            </w:pPr>
            <w:r>
              <w:rPr/>
              <w:t> </w:t>
            </w:r>
          </w:p>
          <w:p>
            <w:pPr>
              <w:pStyle w:val="TableContents"/>
              <w:bidi w:val="0"/>
              <w:spacing w:before="0" w:after="20"/>
              <w:jc w:val="left"/>
              <w:rPr>
                <w:color w:val="FF281C"/>
              </w:rPr>
            </w:pPr>
            <w:r>
              <w:rPr>
                <w:color w:val="FF281C"/>
              </w:rPr>
              <w:t>☒</w:t>
            </w:r>
          </w:p>
        </w:tc>
        <w:tc>
          <w:tcPr>
            <w:tcW w:w="60" w:type="dxa"/>
            <w:vMerge w:val="restart"/>
            <w:tcBorders/>
            <w:shd w:fill="214944" w:val="clear"/>
            <w:vAlign w:val="center"/>
          </w:tcPr>
          <w:p>
            <w:pPr>
              <w:pStyle w:val="TableContents"/>
              <w:bidi w:val="0"/>
              <w:spacing w:before="0" w:after="283"/>
              <w:jc w:val="left"/>
              <w:rPr/>
            </w:pPr>
            <w:r>
              <w:rPr/>
              <w:t> </w:t>
            </w:r>
          </w:p>
        </w:tc>
        <w:tc>
          <w:tcPr>
            <w:tcW w:w="39" w:type="dxa"/>
            <w:vMerge w:val="restart"/>
            <w:tcBorders/>
            <w:shd w:fill="214944" w:val="clear"/>
            <w:vAlign w:val="center"/>
          </w:tcPr>
          <w:p>
            <w:pPr>
              <w:pStyle w:val="TableContents"/>
              <w:bidi w:val="0"/>
              <w:spacing w:before="0" w:after="283"/>
              <w:jc w:val="left"/>
              <w:rPr>
                <w:sz w:val="4"/>
                <w:szCs w:val="4"/>
              </w:rPr>
            </w:pPr>
            <w:r>
              <w:rPr>
                <w:sz w:val="4"/>
                <w:szCs w:val="4"/>
              </w:rPr>
            </w:r>
          </w:p>
        </w:tc>
      </w:tr>
      <w:tr>
        <w:trPr/>
        <w:tc>
          <w:tcPr>
            <w:tcW w:w="4128" w:type="dxa"/>
            <w:tcBorders/>
            <w:vAlign w:val="center"/>
          </w:tcPr>
          <w:p>
            <w:pPr>
              <w:pStyle w:val="TableContents"/>
              <w:bidi w:val="0"/>
              <w:spacing w:before="0" w:after="283"/>
              <w:jc w:val="center"/>
              <w:rPr/>
            </w:pPr>
            <w:r>
              <w:rPr/>
              <w:drawing>
                <wp:inline distT="0" distB="0" distL="0" distR="0">
                  <wp:extent cx="2298065" cy="396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98065" cy="3962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54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0" w:type="dxa"/>
            <w:vMerge w:val="continue"/>
            <w:tcBorders/>
            <w:vAlign w:val="center"/>
          </w:tcPr>
          <w:p>
            <w:pPr>
              <w:pStyle w:val="Normal"/>
              <w:bidi w:val="0"/>
              <w:jc w:val="left"/>
              <w:rPr/>
            </w:pPr>
            <w:r>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center"/>
              <w:rPr>
                <w:sz w:val="16"/>
              </w:rPr>
            </w:pPr>
            <w:r>
              <w:rPr>
                <w:sz w:val="16"/>
              </w:rPr>
              <w:t>C/O TABULATOR P.O. BOX 8016, CARY, NC 27512-9903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54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0" w:type="dxa"/>
            <w:vMerge w:val="continue"/>
            <w:tcBorders/>
            <w:vAlign w:val="center"/>
          </w:tcPr>
          <w:p>
            <w:pPr>
              <w:pStyle w:val="Normal"/>
              <w:bidi w:val="0"/>
              <w:jc w:val="left"/>
              <w:rPr/>
            </w:pPr>
            <w:r>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color w:val="FF281C"/>
              </w:rPr>
            </w:pPr>
            <w:r>
              <w:rPr>
                <w:color w:val="FF281C"/>
              </w:rPr>
              <w:t>Have your ballot ready and please use one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color w:val="FF281C"/>
              </w:rPr>
            </w:pPr>
            <w:r>
              <w:rPr>
                <w:color w:val="FF281C"/>
              </w:rPr>
              <w:t xml:space="preserve">of the methods below for </w:t>
            </w:r>
            <w:r>
              <w:rPr>
                <w:b/>
                <w:color w:val="FF281C"/>
                <w:u w:val="single"/>
              </w:rPr>
              <w:t>easy voting</w:t>
            </w:r>
            <w:r>
              <w:rPr>
                <w:b/>
                <w:color w:val="FF281C"/>
              </w:rPr>
              <w:t xml:space="preserve">: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FF281C"/>
              <w:left w:val="single" w:sz="6" w:space="0" w:color="FF281C"/>
            </w:tcBorders>
            <w:tcMar>
              <w:top w:w="28" w:type="dxa"/>
              <w:left w:w="28" w:type="dxa"/>
            </w:tcMar>
            <w:vAlign w:val="center"/>
          </w:tcPr>
          <w:p>
            <w:pPr>
              <w:pStyle w:val="TableContents"/>
              <w:bidi w:val="0"/>
              <w:spacing w:before="0" w:after="283"/>
              <w:jc w:val="left"/>
              <w:rPr/>
            </w:pPr>
            <w:r>
              <w:rPr/>
              <w:t> </w:t>
            </w:r>
          </w:p>
        </w:tc>
        <w:tc>
          <w:tcPr>
            <w:tcW w:w="5545" w:type="dxa"/>
            <w:tcBorders>
              <w:top w:val="single" w:sz="6" w:space="0" w:color="FF281C"/>
              <w:right w:val="single" w:sz="6" w:space="0" w:color="FF281C"/>
            </w:tcBorders>
            <w:tcMar>
              <w:top w:w="28" w:type="dxa"/>
              <w:right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Your control number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FF281C"/>
              <w:bottom w:val="single" w:sz="6" w:space="0" w:color="FF281C"/>
            </w:tcBorders>
            <w:tcMar>
              <w:left w:w="28" w:type="dxa"/>
              <w:bottom w:w="28" w:type="dxa"/>
            </w:tcMar>
            <w:vAlign w:val="center"/>
          </w:tcPr>
          <w:p>
            <w:pPr>
              <w:pStyle w:val="TableContents"/>
              <w:bidi w:val="0"/>
              <w:spacing w:before="0" w:after="283"/>
              <w:jc w:val="left"/>
              <w:rPr/>
            </w:pPr>
            <w:r>
              <w:rPr/>
              <w:t> </w:t>
            </w:r>
          </w:p>
        </w:tc>
        <w:tc>
          <w:tcPr>
            <w:tcW w:w="5545" w:type="dxa"/>
            <w:tcBorders>
              <w:bottom w:val="single" w:sz="6" w:space="0" w:color="FF281C"/>
              <w:right w:val="single" w:sz="6" w:space="0" w:color="FF281C"/>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pPr>
            <w:r>
              <w:rPr/>
              <w:t>Have the 12 digit control number located in the box above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r>
        <w:trPr/>
        <w:tc>
          <w:tcPr>
            <w:tcW w:w="4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45" w:type="dxa"/>
            <w:tcBorders/>
            <w:vAlign w:val="center"/>
          </w:tcPr>
          <w:p>
            <w:pPr>
              <w:pStyle w:val="TableContents"/>
              <w:bidi w:val="0"/>
              <w:spacing w:before="0" w:after="283"/>
              <w:jc w:val="left"/>
              <w:rPr/>
            </w:pPr>
            <w:r>
              <w:rPr/>
              <w:t>available when you access the website and follow the instructions.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214944" w:val="clear"/>
            <w:vAlign w:val="center"/>
          </w:tcPr>
          <w:p>
            <w:pPr>
              <w:pStyle w:val="Normal"/>
              <w:bidi w:val="0"/>
              <w:jc w:val="left"/>
              <w:rPr/>
            </w:pPr>
            <w:r>
              <w:rPr/>
            </w:r>
          </w:p>
        </w:tc>
        <w:tc>
          <w:tcPr>
            <w:tcW w:w="39" w:type="dxa"/>
            <w:vMerge w:val="continue"/>
            <w:tcBorders/>
            <w:shd w:fill="214944" w:val="clear"/>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29"/>
        <w:gridCol w:w="120"/>
        <w:gridCol w:w="652"/>
        <w:gridCol w:w="120"/>
        <w:gridCol w:w="4484"/>
      </w:tblGrid>
      <w:tr>
        <w:trPr/>
        <w:tc>
          <w:tcPr>
            <w:tcW w:w="4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center"/>
          </w:tcPr>
          <w:p>
            <w:pPr>
              <w:pStyle w:val="TableContents"/>
              <w:bidi w:val="0"/>
              <w:spacing w:before="0" w:after="283"/>
              <w:jc w:val="center"/>
              <w:rPr>
                <w:b/>
                <w:color w:val="FF281C"/>
                <w:sz w:val="24"/>
              </w:rPr>
            </w:pPr>
            <w:r>
              <w:rPr>
                <w:b/>
                <w:color w:val="FF281C"/>
                <w:sz w:val="24"/>
              </w:rPr>
              <w:t>Boundless Bio, Inc.</w:t>
            </w:r>
          </w:p>
        </w:tc>
        <w:tc>
          <w:tcPr>
            <w:tcW w:w="12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283"/>
              <w:jc w:val="left"/>
              <w:rPr>
                <w:b/>
                <w:color w:val="FF281C"/>
              </w:rPr>
            </w:pPr>
            <w:r>
              <w:rPr>
                <w:b/>
                <w:color w:val="FF281C"/>
              </w:rPr>
              <w:t>Internet:</w:t>
            </w:r>
          </w:p>
        </w:tc>
      </w:tr>
      <w:tr>
        <w:trPr/>
        <w:tc>
          <w:tcPr>
            <w:tcW w:w="4829" w:type="dxa"/>
            <w:tcBorders/>
            <w:vAlign w:val="center"/>
          </w:tcPr>
          <w:p>
            <w:pPr>
              <w:pStyle w:val="TableContents"/>
              <w:bidi w:val="0"/>
              <w:spacing w:before="0" w:after="283"/>
              <w:jc w:val="center"/>
              <w:rPr>
                <w:b/>
                <w:color w:val="FFFFFF"/>
                <w:sz w:val="28"/>
              </w:rPr>
            </w:pPr>
            <w:r>
              <w:rPr>
                <w:b/>
                <w:color w:val="FFFFFF"/>
                <w:sz w:val="28"/>
              </w:rPr>
              <w:t>Special Meeting of Stockholders</w:t>
            </w:r>
          </w:p>
        </w:tc>
        <w:tc>
          <w:tcPr>
            <w:tcW w:w="12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drawing>
                <wp:inline distT="0" distB="0" distL="0" distR="0">
                  <wp:extent cx="365760" cy="307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 cy="3079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www.proxypush.com/BOLD</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Cast your vote online</w:t>
            </w:r>
          </w:p>
          <w:p>
            <w:pPr>
              <w:pStyle w:val="TableContents"/>
              <w:bidi w:val="0"/>
              <w:spacing w:before="0" w:after="0"/>
              <w:jc w:val="left"/>
              <w:rPr/>
            </w:pPr>
            <w:r>
              <w:rPr/>
              <w:t>•</w:t>
            </w:r>
          </w:p>
          <w:p>
            <w:pPr>
              <w:pStyle w:val="TableContents"/>
              <w:bidi w:val="0"/>
              <w:spacing w:before="0" w:after="0"/>
              <w:jc w:val="left"/>
              <w:rPr>
                <w:rFonts w:ascii="Times New Roman" w:hAnsi="Times New Roman"/>
                <w:b/>
              </w:rPr>
            </w:pPr>
            <w:r>
              <w:rPr>
                <w:rFonts w:ascii="Times New Roman" w:hAnsi="Times New Roman"/>
                <w:b/>
              </w:rPr>
              <w:t xml:space="preserve">Have your Proxy Card ready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Follow the simple instructions to record your vote</w:t>
            </w:r>
          </w:p>
        </w:tc>
      </w:tr>
      <w:tr>
        <w:trPr/>
        <w:tc>
          <w:tcPr>
            <w:tcW w:w="4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center"/>
          </w:tcPr>
          <w:p>
            <w:pPr>
              <w:pStyle w:val="TableContents"/>
              <w:bidi w:val="0"/>
              <w:spacing w:before="0" w:after="283"/>
              <w:jc w:val="center"/>
              <w:rPr>
                <w:sz w:val="20"/>
              </w:rPr>
            </w:pPr>
            <w:r>
              <w:rPr>
                <w:sz w:val="20"/>
              </w:rPr>
              <w:t>for stockholders of record as of [ ], 2026</w:t>
            </w:r>
          </w:p>
        </w:tc>
        <w:tc>
          <w:tcPr>
            <w:tcW w:w="120" w:type="dxa"/>
            <w:vMerge w:val="restart"/>
            <w:tcBorders/>
            <w:vAlign w:val="center"/>
          </w:tcPr>
          <w:p>
            <w:pPr>
              <w:pStyle w:val="TableContents"/>
              <w:bidi w:val="0"/>
              <w:spacing w:before="0" w:after="283"/>
              <w:jc w:val="left"/>
              <w:rPr/>
            </w:pPr>
            <w:r>
              <w:rPr/>
              <w:t>  </w:t>
            </w:r>
          </w:p>
        </w:tc>
        <w:tc>
          <w:tcPr>
            <w:tcW w:w="652" w:type="dxa"/>
            <w:vMerge w:val="restart"/>
            <w:tcBorders/>
            <w:vAlign w:val="center"/>
          </w:tcPr>
          <w:p>
            <w:pPr>
              <w:pStyle w:val="TableContents"/>
              <w:bidi w:val="0"/>
              <w:spacing w:before="0" w:after="283"/>
              <w:jc w:val="center"/>
              <w:rPr/>
            </w:pPr>
            <w:r>
              <w:rPr/>
              <w:drawing>
                <wp:inline distT="0" distB="0" distL="0" distR="0">
                  <wp:extent cx="240665" cy="3625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0665" cy="3625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rFonts w:ascii="Times New Roman" w:hAnsi="Times New Roman"/>
                <w:b/>
                <w:color w:val="FF281C"/>
                <w:sz w:val="16"/>
              </w:rPr>
            </w:pPr>
            <w:r>
              <w:rPr>
                <w:rFonts w:ascii="Times New Roman" w:hAnsi="Times New Roman"/>
                <w:b/>
                <w:color w:val="FF281C"/>
                <w:sz w:val="16"/>
              </w:rPr>
              <w:t>Phone:</w:t>
            </w:r>
          </w:p>
          <w:p>
            <w:pPr>
              <w:pStyle w:val="TableContents"/>
              <w:bidi w:val="0"/>
              <w:spacing w:before="0" w:after="20"/>
              <w:jc w:val="left"/>
              <w:rPr>
                <w:rFonts w:ascii="Times New Roman" w:hAnsi="Times New Roman"/>
                <w:b/>
                <w:sz w:val="16"/>
              </w:rPr>
            </w:pPr>
            <w:r>
              <w:rPr>
                <w:rFonts w:ascii="Times New Roman" w:hAnsi="Times New Roman"/>
                <w:b/>
                <w:sz w:val="16"/>
              </w:rPr>
              <w:t>1-866-390-5243</w:t>
            </w:r>
          </w:p>
        </w:tc>
      </w:tr>
      <w:tr>
        <w:trPr/>
        <w:tc>
          <w:tcPr>
            <w:tcW w:w="4829" w:type="dxa"/>
            <w:tcBorders>
              <w:bottom w:val="single" w:sz="6" w:space="0" w:color="FF4338"/>
            </w:tcBorders>
            <w:tcMar>
              <w:bottom w:w="28" w:type="dxa"/>
            </w:tcMar>
            <w:vAlign w:val="center"/>
          </w:tcPr>
          <w:p>
            <w:pPr>
              <w:pStyle w:val="TableContents"/>
              <w:bidi w:val="0"/>
              <w:spacing w:before="0" w:after="0"/>
              <w:jc w:val="center"/>
              <w:rPr>
                <w:rFonts w:ascii="Times New Roman" w:hAnsi="Times New Roman"/>
                <w:color w:val="FF281C"/>
                <w:sz w:val="18"/>
              </w:rPr>
            </w:pPr>
            <w:r>
              <w:rPr>
                <w:rFonts w:ascii="Times New Roman" w:hAnsi="Times New Roman"/>
                <w:color w:val="FF281C"/>
                <w:sz w:val="18"/>
              </w:rPr>
              <w:t>[   ], 2026 [    ] [AM][PM], Pacific Time</w:t>
            </w:r>
          </w:p>
          <w:p>
            <w:pPr>
              <w:pStyle w:val="TableContents"/>
              <w:bidi w:val="0"/>
              <w:spacing w:before="0" w:after="20"/>
              <w:jc w:val="center"/>
              <w:rPr>
                <w:rFonts w:ascii="Times New Roman" w:hAnsi="Times New Roman"/>
                <w:color w:val="FF281C"/>
                <w:sz w:val="18"/>
              </w:rPr>
            </w:pPr>
            <w:r>
              <w:rPr>
                <w:rFonts w:ascii="Times New Roman" w:hAnsi="Times New Roman"/>
                <w:color w:val="FF281C"/>
                <w:sz w:val="18"/>
              </w:rPr>
              <w:t>Special meeting will be held via live webcast. Please visit www.proxydocs.com/BOLD for more details.</w:t>
            </w:r>
          </w:p>
        </w:tc>
        <w:tc>
          <w:tcPr>
            <w:tcW w:w="120" w:type="dxa"/>
            <w:vMerge w:val="continue"/>
            <w:tcBorders/>
            <w:vAlign w:val="center"/>
          </w:tcPr>
          <w:p>
            <w:pPr>
              <w:pStyle w:val="Normal"/>
              <w:bidi w:val="0"/>
              <w:jc w:val="left"/>
              <w:rPr/>
            </w:pPr>
            <w:r>
              <w:rPr/>
            </w:r>
          </w:p>
        </w:tc>
        <w:tc>
          <w:tcPr>
            <w:tcW w:w="65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Use any touch-tone telephone</w:t>
            </w:r>
          </w:p>
          <w:p>
            <w:pPr>
              <w:pStyle w:val="TableContents"/>
              <w:bidi w:val="0"/>
              <w:spacing w:before="0" w:after="0"/>
              <w:jc w:val="left"/>
              <w:rPr/>
            </w:pPr>
            <w:r>
              <w:rPr/>
              <w:t>•</w:t>
            </w:r>
          </w:p>
          <w:p>
            <w:pPr>
              <w:pStyle w:val="TableContents"/>
              <w:bidi w:val="0"/>
              <w:spacing w:before="0" w:after="0"/>
              <w:jc w:val="left"/>
              <w:rPr>
                <w:rFonts w:ascii="Times New Roman" w:hAnsi="Times New Roman"/>
                <w:b/>
              </w:rPr>
            </w:pPr>
            <w:r>
              <w:rPr>
                <w:rFonts w:ascii="Times New Roman" w:hAnsi="Times New Roman"/>
                <w:b/>
              </w:rPr>
              <w:t xml:space="preserve">Have your Proxy Card ready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Follow the simple recorded instructions</w:t>
            </w:r>
          </w:p>
        </w:tc>
      </w:tr>
      <w:tr>
        <w:trPr/>
        <w:tc>
          <w:tcPr>
            <w:tcW w:w="4829" w:type="dxa"/>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652" w:type="dxa"/>
            <w:vMerge w:val="restart"/>
            <w:tcBorders/>
            <w:vAlign w:val="center"/>
          </w:tcPr>
          <w:p>
            <w:pPr>
              <w:pStyle w:val="TableContents"/>
              <w:bidi w:val="0"/>
              <w:spacing w:before="0" w:after="283"/>
              <w:jc w:val="center"/>
              <w:rPr/>
            </w:pPr>
            <w:r>
              <w:rPr/>
              <w:drawing>
                <wp:inline distT="0" distB="0" distL="0" distR="0">
                  <wp:extent cx="347345" cy="3473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7345" cy="3473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281C"/>
                <w:sz w:val="16"/>
              </w:rPr>
            </w:pPr>
            <w:r>
              <w:rPr>
                <w:rFonts w:ascii="Times New Roman" w:hAnsi="Times New Roman"/>
                <w:b/>
                <w:color w:val="FF281C"/>
                <w:sz w:val="16"/>
              </w:rPr>
              <w:t>Mail:</w:t>
            </w:r>
          </w:p>
        </w:tc>
      </w:tr>
      <w:tr>
        <w:trPr/>
        <w:tc>
          <w:tcPr>
            <w:tcW w:w="4829" w:type="dxa"/>
            <w:tcBorders/>
            <w:vAlign w:val="center"/>
          </w:tcPr>
          <w:p>
            <w:pPr>
              <w:pStyle w:val="TableContents"/>
              <w:bidi w:val="0"/>
              <w:spacing w:before="0" w:after="283"/>
              <w:jc w:val="center"/>
              <w:rPr>
                <w:b/>
              </w:rPr>
            </w:pPr>
            <w:r>
              <w:rPr>
                <w:b/>
              </w:rPr>
              <w:t>YOUR VOTE IS IMPORTANT!</w:t>
            </w:r>
          </w:p>
        </w:tc>
        <w:tc>
          <w:tcPr>
            <w:tcW w:w="120" w:type="dxa"/>
            <w:vMerge w:val="continue"/>
            <w:tcBorders/>
            <w:vAlign w:val="center"/>
          </w:tcPr>
          <w:p>
            <w:pPr>
              <w:pStyle w:val="Normal"/>
              <w:bidi w:val="0"/>
              <w:jc w:val="left"/>
              <w:rPr/>
            </w:pPr>
            <w:r>
              <w:rPr/>
            </w:r>
          </w:p>
        </w:tc>
        <w:tc>
          <w:tcPr>
            <w:tcW w:w="65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Mark, sign and date your Proxy Card</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Fold and return your Proxy Card in the postage-paid envelope provided</w:t>
            </w:r>
          </w:p>
        </w:tc>
      </w:tr>
      <w:tr>
        <w:trPr/>
        <w:tc>
          <w:tcPr>
            <w:tcW w:w="4829" w:type="dxa"/>
            <w:tcBorders/>
            <w:vAlign w:val="center"/>
          </w:tcPr>
          <w:p>
            <w:pPr>
              <w:pStyle w:val="TableContents"/>
              <w:bidi w:val="0"/>
              <w:spacing w:before="0" w:after="283"/>
              <w:jc w:val="center"/>
              <w:rPr>
                <w:b/>
              </w:rPr>
            </w:pPr>
            <w:r>
              <w:rPr>
                <w:b/>
              </w:rPr>
              <w:t>PLEASE VOTE BY: 8:59 PM Pacific Time, on [  ], 2026</w:t>
            </w:r>
          </w:p>
        </w:tc>
        <w:tc>
          <w:tcPr>
            <w:tcW w:w="120" w:type="dxa"/>
            <w:vMerge w:val="restart"/>
            <w:tcBorders/>
            <w:vAlign w:val="center"/>
          </w:tcPr>
          <w:p>
            <w:pPr>
              <w:pStyle w:val="TableContents"/>
              <w:bidi w:val="0"/>
              <w:spacing w:before="0" w:after="283"/>
              <w:jc w:val="left"/>
              <w:rPr/>
            </w:pPr>
            <w:r>
              <w:rPr/>
              <w:t>  </w:t>
            </w:r>
          </w:p>
        </w:tc>
        <w:tc>
          <w:tcPr>
            <w:tcW w:w="652" w:type="dxa"/>
            <w:vMerge w:val="restart"/>
            <w:tcBorders/>
            <w:vAlign w:val="center"/>
          </w:tcPr>
          <w:p>
            <w:pPr>
              <w:pStyle w:val="TableContents"/>
              <w:bidi w:val="0"/>
              <w:spacing w:before="0" w:after="283"/>
              <w:jc w:val="center"/>
              <w:rPr/>
            </w:pPr>
            <w:r>
              <w:rPr/>
              <w:drawing>
                <wp:inline distT="0" distB="0" distL="0" distR="0">
                  <wp:extent cx="393065" cy="307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3065" cy="3079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281C"/>
                <w:sz w:val="16"/>
              </w:rPr>
            </w:pPr>
            <w:r>
              <w:rPr>
                <w:rFonts w:ascii="Times New Roman" w:hAnsi="Times New Roman"/>
                <w:b/>
                <w:color w:val="FF281C"/>
                <w:sz w:val="16"/>
              </w:rPr>
              <w:t>Virtual:</w:t>
            </w:r>
          </w:p>
        </w:tc>
      </w:tr>
      <w:tr>
        <w:trPr/>
        <w:tc>
          <w:tcPr>
            <w:tcW w:w="4829"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5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48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You may register to attend the meeting online</w:t>
            </w:r>
          </w:p>
          <w:p>
            <w:pPr>
              <w:pStyle w:val="TableContents"/>
              <w:bidi w:val="0"/>
              <w:spacing w:before="0" w:after="20"/>
              <w:jc w:val="left"/>
              <w:rPr>
                <w:rFonts w:ascii="Times New Roman" w:hAnsi="Times New Roman"/>
                <w:sz w:val="16"/>
              </w:rPr>
            </w:pPr>
            <w:r>
              <w:rPr>
                <w:rFonts w:ascii="Times New Roman" w:hAnsi="Times New Roman"/>
                <w:sz w:val="16"/>
              </w:rPr>
              <w:t>and/or participate at www.proxydocs.com/BOLD.</w:t>
            </w:r>
          </w:p>
        </w:tc>
      </w:tr>
    </w:tbl>
    <w:p>
      <w:pPr>
        <w:pStyle w:val="TextBody"/>
        <w:bidi w:val="0"/>
        <w:spacing w:before="240" w:after="0"/>
        <w:jc w:val="left"/>
        <w:rPr>
          <w:rFonts w:ascii="Times New Roman" w:hAnsi="Times New Roman"/>
          <w:color w:val="FF281C"/>
          <w:sz w:val="20"/>
        </w:rPr>
      </w:pPr>
      <w:r>
        <w:rPr>
          <w:rFonts w:ascii="Times New Roman" w:hAnsi="Times New Roman"/>
          <w:b/>
          <w:color w:val="FF281C"/>
          <w:sz w:val="20"/>
        </w:rPr>
        <w:t>This proxy is being solicited on behalf of the Board of Directors</w:t>
      </w:r>
      <w:r>
        <w:rPr>
          <w:rFonts w:ascii="Times New Roman" w:hAnsi="Times New Roman"/>
          <w:color w:val="FF281C"/>
          <w:sz w:val="20"/>
        </w:rPr>
        <w:t xml:space="preserve"> </w:t>
      </w:r>
    </w:p>
    <w:p>
      <w:pPr>
        <w:pStyle w:val="TextBody"/>
        <w:bidi w:val="0"/>
        <w:spacing w:before="40" w:after="0"/>
        <w:jc w:val="left"/>
        <w:rPr>
          <w:rFonts w:ascii="Times New Roman" w:hAnsi="Times New Roman"/>
          <w:sz w:val="16"/>
        </w:rPr>
      </w:pPr>
      <w:r>
        <w:rPr>
          <w:rFonts w:ascii="Times New Roman" w:hAnsi="Times New Roman"/>
          <w:sz w:val="16"/>
        </w:rPr>
        <w:t xml:space="preserve">The undersigned hereby appoints Jessica Oien, J.D. and David Hinkle (the “Named Proxies”), and each or either of them, as the true and lawful attorneys of the undersigned, with full power of substitution and revocation, and authorizes them, and each of them, to vote all the shares of capital stock of Boundless Bio, Inc. which the undersigned is entitled to vote at said meeting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Times New Roman" w:hAnsi="Times New Roman"/>
          <w:sz w:val="16"/>
        </w:rPr>
      </w:pPr>
      <w:r>
        <w:rPr>
          <w:rFonts w:ascii="Times New Roman" w:hAnsi="Times New Roman"/>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Times New Roman" w:hAnsi="Times New Roman"/>
          <w:sz w:val="16"/>
        </w:rPr>
      </w:pPr>
      <w:r>
        <w:rPr>
          <w:rFonts w:ascii="Times New Roman" w:hAnsi="Times New Roman"/>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(SEE REVERSE SIDE) and return this card. </w:t>
      </w:r>
    </w:p>
    <w:p>
      <w:pPr>
        <w:pStyle w:val="TextBody"/>
        <w:bidi w:val="0"/>
        <w:spacing w:before="480" w:after="0"/>
        <w:jc w:val="center"/>
        <w:rPr>
          <w:rFonts w:ascii="Times New Roman" w:hAnsi="Times New Roman"/>
          <w:sz w:val="16"/>
        </w:rPr>
      </w:pPr>
      <w:r>
        <w:rPr>
          <w:rFonts w:ascii="Times New Roman" w:hAnsi="Times New Roman"/>
          <w:sz w:val="16"/>
        </w:rPr>
        <w:t xml:space="preserve">PLEASE BE SURE TO SIGN AND DATE THIS PROXY CARD AND MARK ON THE REVERSE SIDE </w:t>
      </w:r>
    </w:p>
    <w:p>
      <w:pPr>
        <w:pStyle w:val="TextBody"/>
        <w:bidi w:val="0"/>
        <w:spacing w:before="240" w:after="0"/>
        <w:jc w:val="right"/>
        <w:rPr>
          <w:rFonts w:ascii="Times New Roman" w:hAnsi="Times New Roman"/>
          <w:sz w:val="16"/>
        </w:rPr>
      </w:pPr>
      <w:r>
        <w:rPr>
          <w:rFonts w:ascii="Times New Roman" w:hAnsi="Times New Roman"/>
          <w:sz w:val="16"/>
        </w:rPr>
        <w:t xml:space="preserve">Copyright © 2026 BetaNXT, Inc. or its affiliates. All Rights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099" w:type="dxa"/>
        <w:jc w:val="left"/>
        <w:tblInd w:w="0" w:type="dxa"/>
        <w:tblLayout w:type="fixed"/>
        <w:tblCellMar>
          <w:top w:w="0" w:type="dxa"/>
          <w:left w:w="0" w:type="dxa"/>
          <w:bottom w:w="0" w:type="dxa"/>
          <w:right w:w="0" w:type="dxa"/>
        </w:tblCellMar>
      </w:tblPr>
      <w:tblGrid>
        <w:gridCol w:w="3694"/>
        <w:gridCol w:w="120"/>
        <w:gridCol w:w="5285"/>
      </w:tblGrid>
      <w:tr>
        <w:trPr/>
        <w:tc>
          <w:tcPr>
            <w:tcW w:w="36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r>
      <w:tr>
        <w:trPr/>
        <w:tc>
          <w:tcPr>
            <w:tcW w:w="3694" w:type="dxa"/>
            <w:tcBorders/>
            <w:vAlign w:val="center"/>
          </w:tcPr>
          <w:p>
            <w:pPr>
              <w:pStyle w:val="TableContents"/>
              <w:bidi w:val="0"/>
              <w:spacing w:before="0" w:after="283"/>
              <w:jc w:val="left"/>
              <w:rPr/>
            </w:pPr>
            <w:r>
              <w:rPr/>
              <w:drawing>
                <wp:inline distT="0" distB="0" distL="0" distR="0">
                  <wp:extent cx="2298065" cy="3962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98065" cy="3962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right"/>
              <w:rPr>
                <w:b/>
                <w:color w:val="FF4338"/>
              </w:rPr>
            </w:pPr>
            <w:r>
              <w:rPr>
                <w:b/>
                <w:color w:val="FF4338"/>
              </w:rPr>
              <w:t>Boundless Bio, Inc. Special Meeting of Stockholders</w:t>
            </w:r>
          </w:p>
        </w:tc>
      </w:tr>
    </w:tbl>
    <w:p>
      <w:pPr>
        <w:pStyle w:val="TextBody"/>
        <w:bidi w:val="0"/>
        <w:spacing w:before="480" w:after="0"/>
        <w:jc w:val="left"/>
        <w:rPr>
          <w:rFonts w:ascii="Times New Roman" w:hAnsi="Times New Roman"/>
          <w:sz w:val="20"/>
        </w:rPr>
      </w:pPr>
      <w:r>
        <w:rPr>
          <w:rFonts w:ascii="Times New Roman" w:hAnsi="Times New Roman"/>
          <w:b/>
          <w:sz w:val="20"/>
        </w:rPr>
        <w:t>Please make your marks like this: 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A VOTE FOR PROPOSALS 1, 2, 3, 4, 5 AND 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20"/>
        <w:gridCol w:w="4581"/>
        <w:gridCol w:w="60"/>
        <w:gridCol w:w="530"/>
        <w:gridCol w:w="60"/>
        <w:gridCol w:w="1490"/>
        <w:gridCol w:w="60"/>
        <w:gridCol w:w="1115"/>
        <w:gridCol w:w="60"/>
        <w:gridCol w:w="60"/>
        <w:gridCol w:w="60"/>
        <w:gridCol w:w="1851"/>
      </w:tblGrid>
      <w:tr>
        <w:trPr/>
        <w:tc>
          <w:tcPr>
            <w:tcW w:w="1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158" w:type="dxa"/>
            <w:tcBorders/>
            <w:shd w:fill="B2B2B2" w:val="clear"/>
            <w:vAlign w:val="center"/>
          </w:tcPr>
          <w:p>
            <w:pPr>
              <w:pStyle w:val="TableContents"/>
              <w:bidi w:val="0"/>
              <w:spacing w:before="0" w:after="283"/>
              <w:jc w:val="left"/>
              <w:rPr/>
            </w:pPr>
            <w:r>
              <w:rPr/>
              <w:t> </w:t>
            </w:r>
          </w:p>
        </w:tc>
        <w:tc>
          <w:tcPr>
            <w:tcW w:w="120" w:type="dxa"/>
            <w:tcBorders/>
            <w:shd w:fill="B2B2B2" w:val="clear"/>
            <w:vAlign w:val="center"/>
          </w:tcPr>
          <w:p>
            <w:pPr>
              <w:pStyle w:val="TableContents"/>
              <w:bidi w:val="0"/>
              <w:spacing w:before="0" w:after="283"/>
              <w:jc w:val="left"/>
              <w:rPr/>
            </w:pPr>
            <w:r>
              <w:rPr/>
              <w:t>  </w:t>
            </w:r>
          </w:p>
        </w:tc>
        <w:tc>
          <w:tcPr>
            <w:tcW w:w="4581" w:type="dxa"/>
            <w:tcBorders/>
            <w:shd w:fill="B2B2B2" w:val="clear"/>
            <w:vAlign w:val="center"/>
          </w:tcPr>
          <w:p>
            <w:pPr>
              <w:pStyle w:val="TableContents"/>
              <w:bidi w:val="0"/>
              <w:spacing w:before="0" w:after="283"/>
              <w:jc w:val="left"/>
              <w:rPr>
                <w:b/>
              </w:rPr>
            </w:pPr>
            <w:r>
              <w:rPr>
                <w:b/>
              </w:rPr>
              <w:t>PROPOSAL</w:t>
            </w:r>
          </w:p>
        </w:tc>
        <w:tc>
          <w:tcPr>
            <w:tcW w:w="60" w:type="dxa"/>
            <w:tcBorders/>
            <w:shd w:fill="B2B2B2" w:val="clear"/>
            <w:vAlign w:val="center"/>
          </w:tcPr>
          <w:p>
            <w:pPr>
              <w:pStyle w:val="TableContents"/>
              <w:bidi w:val="0"/>
              <w:spacing w:before="0" w:after="283"/>
              <w:jc w:val="left"/>
              <w:rPr/>
            </w:pPr>
            <w:r>
              <w:rPr/>
              <w:t> </w:t>
            </w:r>
          </w:p>
        </w:tc>
        <w:tc>
          <w:tcPr>
            <w:tcW w:w="530" w:type="dxa"/>
            <w:tcBorders/>
            <w:shd w:fill="B2B2B2" w:val="clear"/>
            <w:vAlign w:val="center"/>
          </w:tcPr>
          <w:p>
            <w:pPr>
              <w:pStyle w:val="TableContents"/>
              <w:bidi w:val="0"/>
              <w:spacing w:before="0" w:after="283"/>
              <w:jc w:val="left"/>
              <w:rPr/>
            </w:pPr>
            <w:r>
              <w:rPr/>
              <w:t> </w:t>
            </w:r>
          </w:p>
        </w:tc>
        <w:tc>
          <w:tcPr>
            <w:tcW w:w="60" w:type="dxa"/>
            <w:tcBorders/>
            <w:shd w:fill="B2B2B2" w:val="clear"/>
            <w:vAlign w:val="center"/>
          </w:tcPr>
          <w:p>
            <w:pPr>
              <w:pStyle w:val="TableContents"/>
              <w:bidi w:val="0"/>
              <w:spacing w:before="0" w:after="283"/>
              <w:jc w:val="left"/>
              <w:rPr/>
            </w:pPr>
            <w:r>
              <w:rPr/>
              <w:t> </w:t>
            </w:r>
          </w:p>
        </w:tc>
        <w:tc>
          <w:tcPr>
            <w:tcW w:w="1490" w:type="dxa"/>
            <w:tcBorders/>
            <w:shd w:fill="B2B2B2" w:val="clear"/>
            <w:vAlign w:val="center"/>
          </w:tcPr>
          <w:p>
            <w:pPr>
              <w:pStyle w:val="TableContents"/>
              <w:bidi w:val="0"/>
              <w:spacing w:before="0" w:after="283"/>
              <w:jc w:val="center"/>
              <w:rPr>
                <w:b/>
              </w:rPr>
            </w:pPr>
            <w:r>
              <w:rPr>
                <w:b/>
              </w:rPr>
              <w:t>YOUR VOTE</w:t>
            </w:r>
          </w:p>
        </w:tc>
        <w:tc>
          <w:tcPr>
            <w:tcW w:w="60" w:type="dxa"/>
            <w:tcBorders/>
            <w:shd w:fill="B2B2B2" w:val="clear"/>
            <w:vAlign w:val="center"/>
          </w:tcPr>
          <w:p>
            <w:pPr>
              <w:pStyle w:val="TableContents"/>
              <w:bidi w:val="0"/>
              <w:spacing w:before="0" w:after="283"/>
              <w:jc w:val="left"/>
              <w:rPr/>
            </w:pPr>
            <w:r>
              <w:rPr/>
              <w:t> </w:t>
            </w:r>
          </w:p>
        </w:tc>
        <w:tc>
          <w:tcPr>
            <w:tcW w:w="1115" w:type="dxa"/>
            <w:tcBorders/>
            <w:shd w:fill="B2B2B2" w:val="cle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BOARD OF</w:t>
              <w:br/>
              <w:t>DIRECTORS</w:t>
              <w:br/>
              <w:t>RECOMMENDS</w:t>
            </w:r>
          </w:p>
        </w:tc>
      </w:tr>
      <w:tr>
        <w:trPr/>
        <w:tc>
          <w:tcPr>
            <w:tcW w:w="1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b/>
                <w:sz w:val="16"/>
              </w:rPr>
            </w:pPr>
            <w:r>
              <w:rPr>
                <w:b/>
                <w:sz w:val="16"/>
              </w:rPr>
              <w:t>AGAINST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b/>
              </w:rPr>
            </w:pPr>
            <w:r>
              <w:rPr>
                <w:b/>
              </w:rPr>
              <w:t>ABSTAIN</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pPr>
            <w:r>
              <w:rPr/>
              <w:t> </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Nasdaq Stock Issuance Proposal: To approve the issuance of shares of Boundless Bio Common Stock (including the shares of Boundless Bio Common Stock issuable upon exercise of Boundless Bio Pre Funded Warrants) to stockholders of Serapha Bio, Inc. (“Serapha”) pursuant to the terms of the Merger Agreement, a copy of which is attached as Annex A to the accompanying proxy statement/prospectus, which will (i) represent more than 20% of the shares of Boundless Bio Common Stock outstanding immediately prior to the Merger under Nasdaq Listing Rule 5635(a), and (ii) result in a change of control under Nasdaq Listing Rule 5635(b).</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Nasdaq Reverse Split Proposal: To approve an amendment to the amended and restated certificate of incorporation of Boundless Bio (the “Boundless Bio Charter”) to effect a reverse stock split of Boundless Bio’s issued and outstanding common stock at a ratio determined by the Boundless Bio board of directors and agreed to by Serapha, of one new share of Boundless Bio Common Stock for every [   ] to [   ] shares (or any number in between) of issued and outstanding Boundless Bio Common Stock.</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Authorized Share Increase Proposal: To approve an amendment to the Boundless Bio Charter to increase the number of shares of Boundless Bio Common Stock that Boundless Bio is authorized to issue from 700,000,000 to [   ].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4.</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Stock Plan Proposal: To approve the Serapha Bio, Inc. 2026 Stock Incentive Plan (approval of this proposal is conditioned on the approval of the Nasdaq Stock Issuance Proposal).</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5.</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283"/>
              <w:jc w:val="left"/>
              <w:rPr/>
            </w:pPr>
            <w:r>
              <w:rPr/>
              <w:t>ESPP Proposal: To approve the Serapha Bio, Inc. 2026 Employee Stock Purchase Plan (approval of this proposal is conditioned on the approval of the Nasdaq Stock Issuance Proposal).</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158" w:type="dxa"/>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911" w:type="dxa"/>
            <w:gridSpan w:val="2"/>
            <w:tcBorders/>
            <w:vAlign w:val="center"/>
          </w:tcPr>
          <w:p>
            <w:pPr>
              <w:pStyle w:val="TableContents"/>
              <w:bidi w:val="0"/>
              <w:spacing w:before="0" w:after="283"/>
              <w:jc w:val="left"/>
              <w:rPr>
                <w:sz w:val="4"/>
                <w:szCs w:val="4"/>
              </w:rPr>
            </w:pPr>
            <w:r>
              <w:rPr>
                <w:sz w:val="4"/>
                <w:szCs w:val="4"/>
              </w:rPr>
            </w:r>
          </w:p>
        </w:tc>
      </w:tr>
      <w:tr>
        <w:trPr/>
        <w:tc>
          <w:tcPr>
            <w:tcW w:w="158" w:type="dxa"/>
            <w:tcBorders/>
            <w:vAlign w:val="center"/>
          </w:tcPr>
          <w:p>
            <w:pPr>
              <w:pStyle w:val="TableContents"/>
              <w:bidi w:val="0"/>
              <w:spacing w:before="0" w:after="283"/>
              <w:jc w:val="left"/>
              <w:rPr/>
            </w:pPr>
            <w:r>
              <w:rPr/>
              <w:t>6.</w:t>
            </w:r>
          </w:p>
        </w:tc>
        <w:tc>
          <w:tcPr>
            <w:tcW w:w="120" w:type="dxa"/>
            <w:tcBorders/>
            <w:vAlign w:val="center"/>
          </w:tcPr>
          <w:p>
            <w:pPr>
              <w:pStyle w:val="TableContents"/>
              <w:bidi w:val="0"/>
              <w:spacing w:before="0" w:after="283"/>
              <w:jc w:val="left"/>
              <w:rPr/>
            </w:pPr>
            <w:r>
              <w:rPr/>
              <w:t>  </w:t>
            </w:r>
          </w:p>
        </w:tc>
        <w:tc>
          <w:tcPr>
            <w:tcW w:w="458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Adjournment Proposal: To approve an adjournment of the Boundless Bio Special Meeting, if necessary, to solicit additional proxies if there are not sufficient votes in favor of Proposal Nos. 1, 2 and 3.</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Note: To transact such other business as may properly come before the stockholders at the Boundless Bio Special Meeting or any adjournment or postponement thereof.</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You may register to attend the meeting online and/or participate at www.proxydocs.com/BOLD.</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Authorized Signatures - This section must be completed for your vote to be executed in accordance with the terms on the reverse side. Please sign and date below.</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r>
    </w:tbl>
    <w:p>
      <w:pPr>
        <w:pStyle w:val="TextBody"/>
        <w:bidi w:val="0"/>
        <w:spacing w:before="0" w:after="0"/>
        <w:jc w:val="left"/>
        <w:rPr/>
      </w:pPr>
      <w:r>
        <w:rPr/>
        <w:t> </w:t>
      </w:r>
    </w:p>
    <w:tbl>
      <w:tblPr>
        <w:tblW w:w="7865" w:type="dxa"/>
        <w:jc w:val="left"/>
        <w:tblInd w:w="0" w:type="dxa"/>
        <w:tblLayout w:type="fixed"/>
        <w:tblCellMar>
          <w:top w:w="0" w:type="dxa"/>
          <w:left w:w="0" w:type="dxa"/>
          <w:bottom w:w="0" w:type="dxa"/>
          <w:right w:w="0" w:type="dxa"/>
        </w:tblCellMar>
      </w:tblPr>
      <w:tblGrid>
        <w:gridCol w:w="3200"/>
        <w:gridCol w:w="120"/>
        <w:gridCol w:w="470"/>
        <w:gridCol w:w="120"/>
        <w:gridCol w:w="2390"/>
        <w:gridCol w:w="120"/>
        <w:gridCol w:w="144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vAlign w:val="center"/>
          </w:tcPr>
          <w:p>
            <w:pPr>
              <w:pStyle w:val="TableContents"/>
              <w:pBdr>
                <w:bottom w:val="single" w:sz="2" w:space="1" w:color="000000"/>
              </w:pBdr>
              <w:bidi w:val="0"/>
              <w:spacing w:before="0" w:after="20"/>
              <w:jc w:val="center"/>
              <w:rPr/>
            </w:pPr>
            <w:r>
              <w:rPr/>
              <w:t> </w:t>
            </w:r>
          </w:p>
        </w:tc>
        <w:tc>
          <w:tcPr>
            <w:tcW w:w="120" w:type="dxa"/>
            <w:tcBorders/>
            <w:vAlign w:val="center"/>
          </w:tcPr>
          <w:p>
            <w:pPr>
              <w:pStyle w:val="TableContents"/>
              <w:bidi w:val="0"/>
              <w:spacing w:before="0" w:after="283"/>
              <w:jc w:val="left"/>
              <w:rPr/>
            </w:pPr>
            <w:r>
              <w:rPr/>
              <w:t>  </w:t>
            </w:r>
          </w:p>
        </w:tc>
        <w:tc>
          <w:tcPr>
            <w:tcW w:w="3955" w:type="dxa"/>
            <w:gridSpan w:val="3"/>
            <w:tcBorders/>
            <w:vAlign w:val="center"/>
          </w:tcPr>
          <w:p>
            <w:pPr>
              <w:pStyle w:val="TableContents"/>
              <w:pBdr>
                <w:bottom w:val="single" w:sz="2" w:space="1" w:color="000000"/>
              </w:pBdr>
              <w:bidi w:val="0"/>
              <w:spacing w:before="0" w:after="20"/>
              <w:jc w:val="center"/>
              <w:rPr/>
            </w:pPr>
            <w:r>
              <w:rPr/>
              <w:t> </w:t>
            </w:r>
          </w:p>
        </w:tc>
      </w:tr>
      <w:tr>
        <w:trPr/>
        <w:tc>
          <w:tcPr>
            <w:tcW w:w="3200" w:type="dxa"/>
            <w:tcBorders/>
            <w:vAlign w:val="center"/>
          </w:tcPr>
          <w:p>
            <w:pPr>
              <w:pStyle w:val="TableContents"/>
              <w:bidi w:val="0"/>
              <w:spacing w:before="0" w:after="283"/>
              <w:jc w:val="left"/>
              <w:rPr/>
            </w:pPr>
            <w:r>
              <w:rPr/>
              <w:t>Signature (and Title if applicable)</w:t>
            </w:r>
          </w:p>
        </w:tc>
        <w:tc>
          <w:tcPr>
            <w:tcW w:w="12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Date</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Signature (if held jointly)</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122805" cy="444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22805" cy="4445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b/>
          <w:sz w:val="20"/>
        </w:rPr>
      </w:pPr>
      <w:bookmarkStart w:id="232" w:name="tx108148_48"/>
      <w:bookmarkEnd w:id="232"/>
      <w:r>
        <w:rPr>
          <w:rFonts w:ascii="Times New Roman" w:hAnsi="Times New Roman"/>
          <w:b/>
          <w:sz w:val="20"/>
        </w:rPr>
        <w:t xml:space="preserve">ANNEX E </w:t>
      </w:r>
    </w:p>
    <w:p>
      <w:pPr>
        <w:pStyle w:val="TextBody"/>
        <w:bidi w:val="0"/>
        <w:spacing w:before="240" w:after="0"/>
        <w:jc w:val="right"/>
        <w:rPr>
          <w:rFonts w:ascii="Times New Roman" w:hAnsi="Times New Roman"/>
          <w:b/>
          <w:i/>
          <w:sz w:val="20"/>
        </w:rPr>
      </w:pPr>
      <w:r>
        <w:rPr>
          <w:rFonts w:ascii="Times New Roman" w:hAnsi="Times New Roman"/>
          <w:b/>
          <w:i/>
          <w:sz w:val="20"/>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June 21, 2026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0" w:after="0"/>
        <w:jc w:val="left"/>
        <w:rPr>
          <w:rFonts w:ascii="Times New Roman" w:hAnsi="Times New Roman"/>
          <w:sz w:val="20"/>
        </w:rPr>
      </w:pPr>
      <w:r>
        <w:rPr>
          <w:rFonts w:ascii="Times New Roman" w:hAnsi="Times New Roman"/>
          <w:sz w:val="20"/>
        </w:rPr>
        <w:t xml:space="preserve">Attention: Jonathan Lim, M.D. </w:t>
      </w:r>
    </w:p>
    <w:p>
      <w:pPr>
        <w:pStyle w:val="TextBody"/>
        <w:bidi w:val="0"/>
        <w:spacing w:before="0" w:after="0"/>
        <w:jc w:val="left"/>
        <w:rPr>
          <w:rFonts w:ascii="Times New Roman" w:hAnsi="Times New Roman"/>
          <w:sz w:val="20"/>
        </w:rPr>
      </w:pPr>
      <w:r>
        <w:rPr>
          <w:rFonts w:ascii="Times New Roman" w:hAnsi="Times New Roman"/>
          <w:sz w:val="20"/>
        </w:rPr>
        <w:t xml:space="preserve">Chairman of the Board of Directors and Co-Founder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that Boundless Bio, Inc., a Delaware corporation (“Boundless” or “Parent”), proposes to enter into an Agreement and Plan of Merger and Reorganization (the “Agreement”), by and among Boulder Merger Sub Corp., a Delaware corporation and wholly owned subsidiary of Parent (“Merger Sub”), and Serapha Bio, Inc., a Delaware corporation (“Serapha” or the “Company”). Upon the terms and subject to the conditions set forth in this Agreement, at the Effective Time, Merger Sub shall be merged with and into the Company, and the separate existence of Merger Sub shall cease. The company will continue as the surviving corporation in the Merger (the “Surviving Corporation”). Pursuant to the terms and subject to the conditions set forth in the Agreement, upon consummation of the Merger, (i) each share of Company Capital Stock (including any shares of Company Capital Stock issued pursuant to the Company Pre-Closing Financing) outstanding immediately prior to the Effective Time (excluding shares of Company Capital Stock to be canceled pursuant to the Agreement) shall be converted solely into the right to receive a number of Parent Common Stock equal to the Exchange Ratio (collectively,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Agreement contemplates that Parent may declare and pay a dividend on the shares of Parent Common Stock outstanding prior to the Effective Time (excluding for the avoidance of doubt any shares of Parent Common Stock issuable pursuant to the Contemplated Transactions) up to an amount equal to the aggregate of Parent’s reasonable, good faith approximation of the amount by which Parent Net Cash will exceed $0 (excluding the proceeds of any Parent Legacy Transaction to the extent contingent or to be received following the Effective Time) (such dividend, the “Parent Pre-Closing Dividend” and such amount, the “Parent Pre-Closing Dividend Amount”). </w:t>
      </w:r>
    </w:p>
    <w:p>
      <w:pPr>
        <w:pStyle w:val="TextBody"/>
        <w:bidi w:val="0"/>
        <w:spacing w:before="240" w:after="0"/>
        <w:jc w:val="left"/>
        <w:rPr>
          <w:rFonts w:ascii="Times New Roman" w:hAnsi="Times New Roman"/>
          <w:sz w:val="20"/>
        </w:rPr>
      </w:pPr>
      <w:r>
        <w:rPr>
          <w:rFonts w:ascii="Times New Roman" w:hAnsi="Times New Roman"/>
          <w:sz w:val="20"/>
        </w:rPr>
        <w:t xml:space="preserve">The Agreement also contemplates that concurrently with, or prior to, the execution and delivery of this Agreement, certain investors are executing and entering into a Series A Preferred Stock Purchase Agreement among the Company and the Persons named therein (including as may be amended, restated and/or superseded from time to time), the “Series A Financing Agreement”), pursuant to which such Persons will invest in a private placement of the Company Preferred Stock (the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The Agreement further contemplates that concurrently with the execution and delivery of this Agreement, certain investors are executing and delivering a Securities Purchase Agreement (including as may be amended, restated and/or superseded from time to time, the “Subscription Agreement”), representing an aggregate commitment of $230.0 million (but not less than $200.0 million) pursuant to which such Persons will agree to purchase shares of Company Capital Stock (the “Company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rendering our Opinion we have, with your consent, assumed that (i) the License Agreement (the “License Agreement”), dated June 12, 2026, by and between the Company and Yoltech Therapeutics Co., Ltd., pursuant to which the Company acquires intellectual property rights related to YOLT-202 is in effect, (ii) the Parent Pre-Closing Dividend has occurred, (iii) the Company will receive approximately $230.0 million in proceeds from the Company Pre-Closing Financing, and (iv) upon closing of the Merger, the holders of Company Capital Stock will in the aggregate hold approximately 23.3% of the fully-diluted shares of Parent Common Stock and the holders of Parent Common Stock will in the aggregate hold approximately 3.95% of the fully-diluted shares of Parent Common Stock immediately following the Merger, after giving effect to the Company Pre-Closing Financing,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have, with your consent, relied upon the assumption that all information provided to us by Boundless and Serapha is accurate and complete in all material respects. We expressly disclaim any undertaking or obligation to advise any person of any change in any fact or matter affecting our Opinion of which we become aware after the date hereof. We have assumed there were no material changes in the assets, liabilities, financial condition, results of operations, business or prospects of Boundless or Serapha since the date of the last financial statements made available to us. We have not obtained any independent evaluations, valuations or appraisals of the assets or liabilities of Boundless or Serapha, nor have we been furnished with such materials. In addition, we have not evaluated the solvency or fair value of Boundless or Serapha under any state or federal laws relating to bankruptcy, insolvency or similar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any legal, regulatory, tax or accounting matters related to the Merger, as to which we have assumed that Boundless and the Board of Directors have received such advice from legal, tax and accounting advisors as each has determined appropriate. Our Opinion addresses only the fairness from a financial point of view of the Exchange Ratio as set forth in the Agreement to the holders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any other aspect or implication of the Merger or any other agreement or arrangement entered into in connection with the Merger.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and Exchange Commission (the “SEC”), the Financial Accounting Standards Board, or any similar foreign regulatory body or board.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members of the Board of Directors of Boundless (the “Board of Directors”), you have requested our opinion (our “Opinion”) as to the fairness, from a financial point of view and as of the date hereof, of the Exchange Ratio as set forth in the Agreement to the holders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took into account an assessment of general economic, market and financial conditions as well as our experience in connection with similar transactions and securities valuations generally and, among other things: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publicly available financial and other information for each of Boundless and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certain members of the management of Boundless the historical and current business operations, financial condition and prospects of Boundless and Serapha;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operating results of Serapha as compared to operating results and the reported price and trading histories of certain publicly traded companies that Lucid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the Agreement as compared to the publicly available financial terms of certain selected business combinations that Lucid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certain financial terms of completed initial public offerings for certain companies that Lucid deemed relevant;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analyzed such other information and such other factors, and conducted such other financial studies, analyses and investigations, as Lucid deemed relevant for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with your consent, that except as would not be in any way meaningful to our analysis: (i) the final form of the Agreement will not differ from the draft Agreement that we have reviewed; (ii) the representations and warranties of each party contained in the Agreement are true and correct in all respects; (iii) each party will perform all of the covenants and agreements required to be performed by such party under the Agreement; and (iv) the transactions contemplated by the Agreement will be consummated in accordance with the terms of the Agreement, without any waiver or amendment of any term or condition thereof. We have also assumed that all governmental, regulatory and other consents and approvals contemplated by the Agreement or otherwise required for the transactions contemplated by the Agreement will be obtained and that in the course of obtaining any of those consents no restrictions will be imposed, or waivers made that would have an adverse effect on Boundless, Serapha, or the contemplated benefits of the Merger. We have assumed that the Merger will be consummated in a manner that complies with the applicable provisions of the Securities Act of 1933, as amended, the Securities Exchange Act of 1934, as amended, and all other applicable federal and state statutes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letter is intended for the benefit and use of the Board of Directors (in its capacity as such) in its consideration of the financial terms of the Merger and, except as set forth in our engagement letter with Boundless, dated as of May 30, 2026 (the “Engagement Letter”), may not be used for any other purpose or reproduced, disseminated, quoted or referred to at any time, in any manner or for any purpose without our prior written consent, except that this Opinion may be included in its entirety in any filing related to the Merger required to be filed with the SEC and any proxy statement to be mailed to holders of Parent Common Stock. This letter does not constitute a recommendation to the Board of Directors of whether to approve the Merger or to any stockholder of Boundless or any other person as to how to vote or act with respect to the transactions contemplated by the Agreement (including the Merger) or any other matter. Our Opinion does not address Boundless’s underlying business decision to proceed with the Merger or the relative merits of the Merger compared to other alternatives available to Boundless. We express no opinion as to the prices or ranges of prices at which shares or the securities of any person, including Boundless, will trade at any time, including following the announcement or consummation of the Merger, or as to the potential effects of volatility in the credit, financial, and stock markets on Boundless, Serapha or the transactions contemplated by the Agreement. We have not been requested to opine as to, and our Opinion does not in any manner address, the amount or nature of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June 21, 2026 </w:t>
      </w:r>
    </w:p>
    <w:p>
      <w:pPr>
        <w:pStyle w:val="TextBody"/>
        <w:bidi w:val="0"/>
        <w:spacing w:before="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compensation to any of the officers, directors or employees of any party to the Merger, or any class of such persons, relative to the compensation to be paid to the holders of Parent Common Stock in connection with the Merger or with respect to the fairness of any such compensation. </w:t>
      </w:r>
    </w:p>
    <w:p>
      <w:pPr>
        <w:pStyle w:val="TextBody"/>
        <w:bidi w:val="0"/>
        <w:spacing w:before="240" w:after="0"/>
        <w:jc w:val="left"/>
        <w:rPr>
          <w:rFonts w:ascii="Times New Roman" w:hAnsi="Times New Roman"/>
          <w:sz w:val="20"/>
        </w:rPr>
      </w:pPr>
      <w:r>
        <w:rPr>
          <w:rFonts w:ascii="Times New Roman" w:hAnsi="Times New Roman"/>
          <w:sz w:val="20"/>
        </w:rPr>
        <w:t>Lucid is an investment bank providing investment banking, brokerage, equity research, institutional sales and trading services. As part of our investment banking services, we are regularly engaged in the valuation of businesses and their securities in connection with mergers, negotiated underwritings, secondary distributions of listed and unlisted securities, private placements and valuations for corporate and other purposes. Lucid will receive a fee for rendering our Opinion set forth below pursuant to the Engagement Letter, which is not contingent upon consummation of the Merger. In addition, Boundless has agreed to reimburse our expenses and indemnify us for certain liabilities that may arise out of our engagement. In the two years preceding the date hereof, Lucid has not had a relationship with Boundless or its affiliates and has not received any fees from Boundless or any of its affiliates. In the two years preceding the date hereof, Lucid has not had a relationship with Serapha or any of its affiliates and has not received any fees from Serapha or any of its affiliates. Lucid and its affiliates may in the future seek to provide investment banking or financial advisory services to Boundless and Serapha and/or their respective affiliates and expect to receive fees for the rendering of these services.</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Lucid or certain of our affiliates, as well as investment funds in which we or our affiliates may have financial interests, may acquire, hold or sell long or short positions, or trade or otherwise effect transactions in debt, equity, and other securities and financial instruments (including bank loans and other obligations) of, or investments in, Boundless, Serapha or any other party that may be involved in the Merger and/or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Lucid has adopted policies and procedures to establish and maintain the independence of our research department and personnel. As a result, our research analysts may hold views, make statements or investment recommendations and/or publish research reports with respect to Boundless and the proposed Merger that may differ from the views of Lucid’s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was reviewed and approved by a fairness opinion committee of Lucid.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and such other factors that we deem relevant, it is our opinion that, as of the date hereof, the Exchange Ratio is fair, from a financial point of view, to the holders of Parent Common Shares.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Lucid Capital Markets, LLC </w:t>
      </w:r>
    </w:p>
    <w:p>
      <w:pPr>
        <w:pStyle w:val="TextBody"/>
        <w:bidi w:val="0"/>
        <w:spacing w:before="240" w:after="0"/>
        <w:jc w:val="left"/>
        <w:rPr>
          <w:rFonts w:ascii="Times New Roman" w:hAnsi="Times New Roman"/>
          <w:b/>
          <w:i/>
          <w:sz w:val="20"/>
        </w:rPr>
      </w:pPr>
      <w:r>
        <w:rPr>
          <w:rFonts w:ascii="Times New Roman" w:hAnsi="Times New Roman"/>
          <w:b/>
          <w:i/>
          <w:sz w:val="20"/>
        </w:rPr>
        <w:t xml:space="preserve">Lucid Capital Markets, LLC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LUCID CAPITAL MARKETS, LLC </w:t>
      </w:r>
    </w:p>
    <w:p>
      <w:pPr>
        <w:pStyle w:val="TextBody"/>
        <w:bidi w:val="0"/>
        <w:spacing w:before="0" w:after="0"/>
        <w:jc w:val="center"/>
        <w:rPr>
          <w:rFonts w:ascii="Times New Roman" w:hAnsi="Times New Roman"/>
          <w:sz w:val="16"/>
        </w:rPr>
      </w:pPr>
      <w:r>
        <w:rPr>
          <w:rFonts w:ascii="Times New Roman" w:hAnsi="Times New Roman"/>
          <w:sz w:val="16"/>
        </w:rPr>
        <w:t xml:space="preserve">570 Lexington Ave., 40th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NY 10017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3" w:name="tx108148_49"/>
      <w:bookmarkEnd w:id="233"/>
      <w:r>
        <w:rPr>
          <w:rFonts w:ascii="Times New Roman" w:hAnsi="Times New Roman"/>
          <w:b/>
          <w:sz w:val="20"/>
        </w:rPr>
        <w:t xml:space="preserve">ANNEX F </w:t>
      </w:r>
    </w:p>
    <w:p>
      <w:pPr>
        <w:pStyle w:val="TextBody"/>
        <w:bidi w:val="0"/>
        <w:spacing w:before="240" w:after="0"/>
        <w:jc w:val="center"/>
        <w:rPr>
          <w:rFonts w:ascii="Times New Roman" w:hAnsi="Times New Roman"/>
          <w:sz w:val="20"/>
        </w:rPr>
      </w:pPr>
      <w:r>
        <w:rPr>
          <w:rFonts w:ascii="Times New Roman" w:hAnsi="Times New Roman"/>
          <w:sz w:val="20"/>
        </w:rPr>
        <w:t xml:space="preserve">Section 262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i/>
          <w:sz w:val="20"/>
        </w:rPr>
        <w:t>Repealed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24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section. If a petition for an appraisal is not filed within the time provided in subsection (e) of this section, the right to appraisal with respect to all shares shall cease. </w:t>
      </w:r>
    </w:p>
    <w:p>
      <w:pPr>
        <w:pStyle w:val="TextBody"/>
        <w:bidi w:val="0"/>
        <w:spacing w:before="24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4" w:name="tx108148_50"/>
      <w:bookmarkStart w:id="235" w:name="ii108148_11a"/>
      <w:bookmarkEnd w:id="234"/>
      <w:bookmarkEnd w:id="235"/>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June 22, 2026, by and among Serapha Bio, Inc., a Delaware corporation (the “</w:t>
      </w:r>
      <w:r>
        <w:rPr>
          <w:rFonts w:ascii="Times New Roman" w:hAnsi="Times New Roman"/>
          <w:sz w:val="20"/>
          <w:u w:val="single"/>
        </w:rPr>
        <w:t>Company</w:t>
      </w:r>
      <w:r>
        <w:rPr>
          <w:rFonts w:ascii="Times New Roman" w:hAnsi="Times New Roman"/>
          <w:sz w:val="20"/>
        </w:rPr>
        <w:t>”), Boundless Bio, Inc., a Delaware corporation (“</w:t>
      </w:r>
      <w:r>
        <w:rPr>
          <w:rFonts w:ascii="Times New Roman" w:hAnsi="Times New Roman"/>
          <w:sz w:val="20"/>
          <w:u w:val="single"/>
        </w:rPr>
        <w:t>Parent</w:t>
      </w:r>
      <w:r>
        <w:rPr>
          <w:rFonts w:ascii="Times New Roman" w:hAnsi="Times New Roman"/>
          <w:sz w:val="20"/>
        </w:rPr>
        <w:t>”), and the undersigned stock and/or option holder of Parent (the “</w:t>
      </w:r>
      <w:r>
        <w:rPr>
          <w:rFonts w:ascii="Times New Roman" w:hAnsi="Times New Roman"/>
          <w:sz w:val="20"/>
          <w:u w:val="single"/>
        </w:rPr>
        <w:t>Equityholder</w:t>
      </w:r>
      <w:r>
        <w:rPr>
          <w:rFonts w:ascii="Times New Roman" w:hAnsi="Times New Roman"/>
          <w:sz w:val="20"/>
        </w:rPr>
        <w:t>” and each of the Equityholder,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Boulder Merger Sub Corp.,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Equityholder is the beneficial owner (as defined in Rule 13d-3 under the Exchange Act) of such number of shares of Parent Capital Stock and any other equity securities of Parent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the Company to enter into the Merger Agreement, Parent has required that Equityholder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Parent Equityholder Matters</w:t>
      </w:r>
      <w:r>
        <w:rPr>
          <w:rFonts w:ascii="Times New Roman" w:hAnsi="Times New Roman"/>
          <w:sz w:val="20"/>
        </w:rPr>
        <w:t xml:space="preserve">” means the approval of (i) the issuance of Parent Common Stock that represent (or are convertible into) more than twenty percent (20%) of the shares of Parent Common Stock outstanding immediately prior to the Effective Time to the Company stockholders in connection with the Contemplated Transactions and the change of control of Parent resulting from the Contemplated Transactions, in each case pursuant to the Nasdaq rules and (ii) clause (i) of the definition of “Parent Charter Amendment”.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Parent Capital Stock and any other equity securities of Parent beneficially owned by the Equityholder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Parent Capital Stock issued or otherwise acquired, whether beneficially owned or of record, or owned by the Equityholder during the period commencing with the execution and delivery of this Agreement and expiring on the Expiration Date, and (iii) any shares of capital stock or other equity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such Equityholder acquires or with respect to which such Equityholder otherwise acquires sole or shared voting power (including any proxy), whether beneficial or of record, or otherwise owned by such Equityholder after the execution and delivery of this Agreement and expiring on the Expiration Date, whether by exercise of any Parent Options or otherwise, including, without limitation, by gift, succession, in the event of a stock split or as a dividend or distribution of any Shares.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Equityholder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2(d)</w:t>
      </w:r>
      <w:r>
        <w:rPr>
          <w:rFonts w:ascii="Times New Roman" w:hAnsi="Times New Roman"/>
          <w:sz w:val="20"/>
        </w:rPr>
        <w:t xml:space="preserve">, during the period commencing with the execution and delivery of this Agreement and expiring on the Expiration Date (as defined below), the Equityholder shall not Transfer any of the Equityholder’s Shares, publicly announce its intention to Transfer any of its Shares or enter into any contract with respect to any Transfer of, its Shares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Equityholder will not commit any act that would restrict the Equityholder’s legal power, authority and right to vote all of the Shares held by the Equityholder or otherwise prevent or disable the Equityholder from performing any of his, her or its obligations under this Agreement. Without limiting the generality of the foregoing, except for this Agreement, and as otherwise permitted by this Agreement, the Equityholder shall not enter into any voting agreement with any person or entity with respect to any of the Equityholder’s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Equityholder’s legal power, authority or right to vote the Equityholder’s Shares in favor of the Parent Equityholder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Authority, the Equityholder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Equityholder contained herein untrue or incorrect or have the effect of restricting the Equityholder’s legal power, authority and right to vote all of the Shares or would otherwise prevent or disable such Equityholder from performing any of such Equityholder’s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Equityholder may, at any time, Transfer Shares (i) by will or other testamentary document or by intestacy to the legal representative, heir, beneficiary or a member of the immediate family of the Equityholder, (ii) to such Equityholder’s Affiliates (in each case, directly or indirectly), (iii) to any trust or other entity for the direct or indirect benefit of the Equityholder or the immediate family of the Equityholder (or, if the Equityholder is a corporation, partnership or other entity, for the direct or indirect benefit of an immediate family member of a beneficial owner of the Shares held by the Equityholder) or otherwise for estate tax or estate planning purposes, (iv) in the case of a Equityholder who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natural person, by pro rata distributions from the Equityholder to its members, partners, or shareholders pursuant to the Equityholder’s organizational documents, (v) to the extent required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if not already a party thereto and (z) the transferor Equityholder shall remain liable for any failure of such transferee to comply with or perform its obligations under this Agreement.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Equityholder to exercise any option or any other right to acquire any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Equityholder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every meeting of the stockholders of Parent called to vote upon the Parent Equityholder Matters, however called, and at every adjournment or postponement thereof, and on every action or approval by written consent of the Equityholders of Parent, the Equityholder shall be present (in person or by proxy) and vote, or exercise its right to consent with respect to, all Shares held by the Equityholder (A) in favor of the Parent Equityholder Matters, and (B)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the Equityholder is the beneficial owner, but not the record holder, of Shares, the Equityholder agrees to take all actions necessary to cause the record holder and any nominees to be present (in person or by proxy) and vote all the Equityholder’s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Equityholder Capacity Only</w:t>
      </w:r>
      <w:r>
        <w:rPr>
          <w:rFonts w:ascii="Times New Roman" w:hAnsi="Times New Roman"/>
          <w:sz w:val="20"/>
        </w:rPr>
        <w:t xml:space="preserve">. The Equityholder is entering into this Agreement solely in the Equityholder’s capacity as a record holder and beneficial owner, as applicable, of its Shares and not in the Equityholder’s capacity as a director or officer of Parent. Nothing herein shall limit or affect the Equityholder’s ability to exercise Equityholder’s fiduciary duties as an officer or director of Parent.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Equityholder hereby revokes (or agrees to cause to be revoked) any proxies that the Equityholder has heretofore granted with respect to its Shares. In the event and to the extent that the Equityholder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Parent or pursuant to any applicable written consent of the stockholders of Parent, the Equityholder shall be deemed to have irrevocably granted to, and appointed, Parent as his, her or its proxy and attorney-in-fact (with full power of substitution), for and in its name, place and stead, to (a) attend any all meetings of the Parent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Equityholder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Equityholder, as applicable) and shall not be terminated by operation of law or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occurrence of any other event. Notwithstanding any other provisions of this Agreement, the irrevocable proxy granted hereunder shall automatically terminate on the Expiration Date. The Equityholder authorizes such attorney and proxy to substitute any other Person to act hereunder, to revoke any substitution and to file this proxy and any substitution or revocation with the Secretary of Parent. The Equityholder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Merger Sub and the Company to enter into the Merger Agreement and that such proxy is given to secure the obligations of the Equityholder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Equityholder but are not held of record by the Equityholder (other than shares beneficially owned by the Equityholder that are held in the name of a bank, broker or nominee), the Equityholder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Equityholder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Equityholder hereby represents and warrants that the Equityholder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Equityholder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Equityholder’s identity and ownership of the Shares and the nature of the Equityholder’s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Equityholder</w:t>
      </w:r>
      <w:r>
        <w:rPr>
          <w:rFonts w:ascii="Times New Roman" w:hAnsi="Times New Roman"/>
          <w:sz w:val="20"/>
        </w:rPr>
        <w:t xml:space="preserve">. The Equityholder hereby represents and warrants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Equityholder is the beneficial or record owner of the shares of Parent Capital Stock and other securities of the Company indicated in </w:t>
      </w:r>
      <w:r>
        <w:rPr>
          <w:rFonts w:ascii="Times New Roman" w:hAnsi="Times New Roman"/>
          <w:sz w:val="20"/>
          <w:u w:val="single"/>
        </w:rPr>
        <w:t>Appendix A</w:t>
      </w:r>
      <w:r>
        <w:rPr>
          <w:rFonts w:ascii="Times New Roman" w:hAnsi="Times New Roman"/>
          <w:sz w:val="20"/>
        </w:rPr>
        <w:t xml:space="preserve"> (each of which shall be deemed to be “held” by the Equityholder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and Encumbrances arising under applicable securities or community property laws); and (ii) the Equityholder does not beneficially own any securities of Parent other than the shares of Parent Capital Stock and rights to purchase shares of Parent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Equityholder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Equityholder has not entered into any voting agreement (other than this Agreement) with any person with respect to any of the Equityholder’s Shares, granted any person any proxy (revocable or irrevocable) or power of attorney with respect to any of the Equityholder’s Shares, deposited any of the Equityholder’s Shares in a voting trust or entered into any arrangement or agreement with any person limiting or affecting the Equityholder’s legal power, authority or right to vote the Equityholder’s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Equityholder and (assuming the due authorization, execution and delivery by the other Parties) constitutes a valid and binding agreement of the Equityholder enforceable against the Equityholder in accordance with its terms, subject to the Enforceability Exceptions. The execution and delivery of this Agreement by the Equityholder and the performance by the Equityholder of the agreements and obligations hereunder do not and will not (i) result in any breach or violation of or be in conflict with or constitute a default under any term of any Contract, or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any provision of an organizational document (including a certificate of incorporation) to which the Equityholder is a party or by which the Equityholder is bound, or any applicable Law to which the Equityholder or any of the Equityholder’s assets is subject or bound, (ii) give to others any rights of termination, amendment, acceleration or cancellation of, or require any consent, waiver or approval under, any Contract or other legally binding instrument or obligation to which the Equityholder is a party or by which the Equityholder or any of the Equityholder’s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Equityholder’s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Equityholder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Equityholder’s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Equityholder has had the opportunity to review the Merger Agreement and this Agreement with counsel of the Equityholder’s own choosing. The Equityholder has had an opportunity to review with its own tax advisors the tax consequences of the Merger and the Contemplated Transactions. The Equityholder understands that it must rely solely on its advisors and not on any statements or representations made by Parent, the Company or any of their respective agents or representatives with respect to the tax consequences of the Merger and the Contemplated Transactions. The Equityholder understands that such Equityholder (and not Parent, the Company or the Surviving Corporation) shall be responsible for such Equityholder’s tax liability that may arise as a result of the Merger or the Contemplated Transactions. The Equityholder understands and acknowledges that the Company, Parent and Merger Sub are entering into the Merger Agreement in reliance upon the Equityholder’s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Equityholder, as of the date hereof, there is no action, suit, investigation or proceeding pending against, or, to the knowledge of the Equityholder, threatened against, the Equityholder or any of the Equityholder’s properties or assets (including the Shares) that would reasonably be expected to prevent or materially delay or impair the ability of the Equityholder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Brokers</w:t>
      </w:r>
      <w:r>
        <w:rPr>
          <w:rFonts w:ascii="Times New Roman" w:hAnsi="Times New Roman"/>
          <w:sz w:val="20"/>
        </w:rPr>
        <w:t xml:space="preserve">.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Equityholder.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shall terminate and shall cease to be of any further force or effect as of the earliest of (a) such date and time as the Merger Agreement shall have been terminated pursuant to the terms thereof, (b) the Effective Time and (c) the time this Agreement is terminated upon the written agreement of the Equityholder, the Company and Parent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w:t>
      </w:r>
      <w:r>
        <w:rPr>
          <w:rFonts w:ascii="Times New Roman" w:hAnsi="Times New Roman"/>
          <w:sz w:val="20"/>
          <w:u w:val="single"/>
        </w:rPr>
        <w:t> Section 10</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Waiver</w:t>
      </w:r>
      <w:r>
        <w:rPr>
          <w:rFonts w:ascii="Times New Roman" w:hAnsi="Times New Roman"/>
          <w:sz w:val="20"/>
        </w:rPr>
        <w:t xml:space="preserve">. This Agreement may not be amended, supplemented or modified, and no provisions hereof may be modified or waived, except by an instrument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 xml:space="preserve">Applicable Law; Jurisdiction. </w:t>
      </w:r>
      <w:r>
        <w:rPr>
          <w:rFonts w:ascii="Times New Roman" w:hAnsi="Times New Roman"/>
          <w:sz w:val="20"/>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10(c)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10(i)</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Restrictions</w:t>
      </w:r>
      <w:r>
        <w:rPr>
          <w:rFonts w:ascii="Times New Roman" w:hAnsi="Times New Roman"/>
          <w:sz w:val="20"/>
        </w:rPr>
        <w:t xml:space="preserve">. Subject to the other terms of this Agreement, the Equityholder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Equityholder, to the Equityholder’s address, electronic mail address or facsimile shown below Equityholder’s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Equityholder shall hold any non-public information regarding the Company, this Agreement, the Merger Agreement and the Contemplated Transactions in strict confidence and shall not divulge any such information to any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Equityholder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Equityholder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Fees and Expenses</w:t>
      </w:r>
      <w:r>
        <w:rPr>
          <w:rFonts w:ascii="Times New Roman" w:hAnsi="Times New Roman"/>
          <w:sz w:val="20"/>
        </w:rPr>
        <w:t xml:space="preserve">.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343" w:type="dxa"/>
        <w:jc w:val="left"/>
        <w:tblInd w:w="0" w:type="dxa"/>
        <w:tblLayout w:type="fixed"/>
        <w:tblCellMar>
          <w:top w:w="0" w:type="dxa"/>
          <w:left w:w="0" w:type="dxa"/>
          <w:bottom w:w="0" w:type="dxa"/>
          <w:right w:w="0" w:type="dxa"/>
        </w:tblCellMar>
      </w:tblPr>
      <w:tblGrid>
        <w:gridCol w:w="1822"/>
        <w:gridCol w:w="229"/>
        <w:gridCol w:w="292"/>
      </w:tblGrid>
      <w:tr>
        <w:trPr/>
        <w:tc>
          <w:tcPr>
            <w:tcW w:w="18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pPr>
            <w:r>
              <w:rPr/>
              <w:t>COMPANY:</w:t>
            </w:r>
          </w:p>
        </w:tc>
      </w:tr>
      <w:tr>
        <w:trPr/>
        <w:tc>
          <w:tcPr>
            <w:tcW w:w="2343"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b/>
              </w:rPr>
            </w:pPr>
            <w:r>
              <w:rPr>
                <w:b/>
              </w:rPr>
              <w:t>SERAPHA BIO, INC.</w:t>
            </w:r>
          </w:p>
        </w:tc>
      </w:tr>
      <w:tr>
        <w:trPr/>
        <w:tc>
          <w:tcPr>
            <w:tcW w:w="1822" w:type="dxa"/>
            <w:tcBorders/>
            <w:vAlign w:val="center"/>
          </w:tcPr>
          <w:p>
            <w:pPr>
              <w:pStyle w:val="TableContents"/>
              <w:bidi w:val="0"/>
              <w:spacing w:before="0" w:after="283"/>
              <w:jc w:val="left"/>
              <w:rPr>
                <w:sz w:val="4"/>
                <w:szCs w:val="4"/>
              </w:rPr>
            </w:pPr>
            <w:r>
              <w:rPr>
                <w:sz w:val="4"/>
                <w:szCs w:val="4"/>
              </w:rPr>
            </w:r>
          </w:p>
        </w:tc>
        <w:tc>
          <w:tcPr>
            <w:tcW w:w="521" w:type="dxa"/>
            <w:gridSpan w:val="2"/>
            <w:tcBorders/>
            <w:vAlign w:val="center"/>
          </w:tcPr>
          <w:p>
            <w:pPr>
              <w:pStyle w:val="TableContents"/>
              <w:bidi w:val="0"/>
              <w:spacing w:before="0" w:after="283"/>
              <w:jc w:val="left"/>
              <w:rPr>
                <w:sz w:val="4"/>
                <w:szCs w:val="4"/>
              </w:rPr>
            </w:pPr>
            <w:r>
              <w:rPr>
                <w:sz w:val="4"/>
                <w:szCs w:val="4"/>
              </w:rPr>
            </w:r>
          </w:p>
        </w:tc>
      </w:tr>
      <w:tr>
        <w:trPr/>
        <w:tc>
          <w:tcPr>
            <w:tcW w:w="1822" w:type="dxa"/>
            <w:tcBorders/>
            <w:vAlign w:val="center"/>
          </w:tcPr>
          <w:p>
            <w:pPr>
              <w:pStyle w:val="TableContents"/>
              <w:bidi w:val="0"/>
              <w:spacing w:before="0" w:after="283"/>
              <w:jc w:val="left"/>
              <w:rPr/>
            </w:pPr>
            <w:r>
              <w:rPr/>
              <w:t>By:</w:t>
            </w:r>
          </w:p>
        </w:tc>
        <w:tc>
          <w:tcPr>
            <w:tcW w:w="229"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Title:</w:t>
            </w:r>
          </w:p>
        </w:tc>
        <w:tc>
          <w:tcPr>
            <w:tcW w:w="229"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658" w:type="dxa"/>
        <w:jc w:val="left"/>
        <w:tblInd w:w="0" w:type="dxa"/>
        <w:tblLayout w:type="fixed"/>
        <w:tblCellMar>
          <w:top w:w="0" w:type="dxa"/>
          <w:left w:w="0" w:type="dxa"/>
          <w:bottom w:w="0" w:type="dxa"/>
          <w:right w:w="0" w:type="dxa"/>
        </w:tblCellMar>
      </w:tblPr>
      <w:tblGrid>
        <w:gridCol w:w="2063"/>
        <w:gridCol w:w="261"/>
        <w:gridCol w:w="334"/>
      </w:tblGrid>
      <w:tr>
        <w:trPr/>
        <w:tc>
          <w:tcPr>
            <w:tcW w:w="20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pPr>
            <w:r>
              <w:rPr/>
              <w:t>PARENT:</w:t>
            </w:r>
          </w:p>
        </w:tc>
      </w:tr>
      <w:tr>
        <w:trPr/>
        <w:tc>
          <w:tcPr>
            <w:tcW w:w="265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b/>
              </w:rPr>
            </w:pPr>
            <w:r>
              <w:rPr>
                <w:b/>
              </w:rPr>
              <w:t>BOUNDLESS BIO, INC.</w:t>
            </w:r>
          </w:p>
        </w:tc>
      </w:tr>
      <w:tr>
        <w:trPr/>
        <w:tc>
          <w:tcPr>
            <w:tcW w:w="2063" w:type="dxa"/>
            <w:tcBorders/>
            <w:vAlign w:val="center"/>
          </w:tcPr>
          <w:p>
            <w:pPr>
              <w:pStyle w:val="TableContents"/>
              <w:bidi w:val="0"/>
              <w:spacing w:before="0" w:after="283"/>
              <w:jc w:val="left"/>
              <w:rPr>
                <w:sz w:val="4"/>
                <w:szCs w:val="4"/>
              </w:rPr>
            </w:pPr>
            <w:r>
              <w:rPr>
                <w:sz w:val="4"/>
                <w:szCs w:val="4"/>
              </w:rPr>
            </w:r>
          </w:p>
        </w:tc>
        <w:tc>
          <w:tcPr>
            <w:tcW w:w="595" w:type="dxa"/>
            <w:gridSpan w:val="2"/>
            <w:tcBorders/>
            <w:vAlign w:val="center"/>
          </w:tcPr>
          <w:p>
            <w:pPr>
              <w:pStyle w:val="TableContents"/>
              <w:bidi w:val="0"/>
              <w:spacing w:before="0" w:after="283"/>
              <w:jc w:val="left"/>
              <w:rPr>
                <w:sz w:val="4"/>
                <w:szCs w:val="4"/>
              </w:rPr>
            </w:pPr>
            <w:r>
              <w:rPr>
                <w:sz w:val="4"/>
                <w:szCs w:val="4"/>
              </w:rPr>
            </w:r>
          </w:p>
        </w:tc>
      </w:tr>
      <w:tr>
        <w:trPr/>
        <w:tc>
          <w:tcPr>
            <w:tcW w:w="2063" w:type="dxa"/>
            <w:tcBorders/>
            <w:vAlign w:val="center"/>
          </w:tcPr>
          <w:p>
            <w:pPr>
              <w:pStyle w:val="TableContents"/>
              <w:bidi w:val="0"/>
              <w:spacing w:before="0" w:after="283"/>
              <w:jc w:val="left"/>
              <w:rPr/>
            </w:pPr>
            <w:r>
              <w:rPr/>
              <w:t>By:</w:t>
            </w:r>
          </w:p>
        </w:tc>
        <w:tc>
          <w:tcPr>
            <w:tcW w:w="261" w:type="dxa"/>
            <w:tcBorders>
              <w:bottom w:val="single" w:sz="6" w:space="0" w:color="000000"/>
            </w:tcBorders>
            <w:tcMar>
              <w:bottom w:w="28" w:type="dxa"/>
            </w:tcMar>
            <w:vAlign w:val="center"/>
          </w:tcPr>
          <w:p>
            <w:pPr>
              <w:pStyle w:val="TableContents"/>
              <w:bidi w:val="0"/>
              <w:spacing w:before="0" w:after="283"/>
              <w:jc w:val="left"/>
              <w:rPr/>
            </w:pPr>
            <w:r>
              <w:rPr/>
              <w:t> </w:t>
            </w:r>
          </w:p>
        </w:tc>
        <w:tc>
          <w:tcPr>
            <w:tcW w:w="3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63" w:type="dxa"/>
            <w:tcBorders/>
            <w:vAlign w:val="center"/>
          </w:tcPr>
          <w:p>
            <w:pPr>
              <w:pStyle w:val="TableContents"/>
              <w:bidi w:val="0"/>
              <w:spacing w:before="0" w:after="283"/>
              <w:jc w:val="left"/>
              <w:rPr/>
            </w:pPr>
            <w:r>
              <w:rPr/>
              <w:t>Title:</w:t>
            </w:r>
          </w:p>
        </w:tc>
        <w:tc>
          <w:tcPr>
            <w:tcW w:w="261"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710" w:type="dxa"/>
        <w:jc w:val="left"/>
        <w:tblInd w:w="0" w:type="dxa"/>
        <w:tblLayout w:type="fixed"/>
        <w:tblCellMar>
          <w:top w:w="0" w:type="dxa"/>
          <w:left w:w="0" w:type="dxa"/>
          <w:bottom w:w="0" w:type="dxa"/>
          <w:right w:w="0" w:type="dxa"/>
        </w:tblCellMar>
      </w:tblPr>
      <w:tblGrid>
        <w:gridCol w:w="3710"/>
      </w:tblGrid>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[EQUITYHOLDER],</w:t>
            </w:r>
          </w:p>
        </w:tc>
      </w:tr>
      <w:tr>
        <w:trPr/>
        <w:tc>
          <w:tcPr>
            <w:tcW w:w="3710" w:type="dxa"/>
            <w:tcBorders/>
            <w:vAlign w:val="center"/>
          </w:tcPr>
          <w:p>
            <w:pPr>
              <w:pStyle w:val="TableContents"/>
              <w:bidi w:val="0"/>
              <w:spacing w:before="0" w:after="283"/>
              <w:jc w:val="left"/>
              <w:rPr/>
            </w:pPr>
            <w:r>
              <w:rPr/>
              <w:t>in his/her capacity as the Equityholder:</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Signature:</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Address:</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Equityholder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APPENDIX A</w:t>
      </w:r>
      <w:r>
        <w:rPr>
          <w:rFonts w:ascii="Times New Roman" w:hAnsi="Times New Roman"/>
          <w:b/>
          <w:sz w:val="20"/>
        </w:rPr>
        <w:t xml:space="preserve">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1565"/>
        <w:gridCol w:w="120"/>
        <w:gridCol w:w="114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56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Parent Capital Stock</w:t>
            </w:r>
          </w:p>
          <w:p>
            <w:pPr>
              <w:pStyle w:val="TableContents"/>
              <w:bidi w:val="0"/>
              <w:spacing w:before="0" w:after="20"/>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145" w:type="dxa"/>
            <w:tcBorders>
              <w:top w:val="single" w:sz="6" w:space="0" w:color="000000"/>
              <w:right w:val="single" w:sz="6" w:space="0" w:color="000000"/>
            </w:tcBorders>
            <w:tcMar>
              <w:top w:w="28"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Parent Options</w:t>
            </w:r>
          </w:p>
          <w:p>
            <w:pPr>
              <w:pStyle w:val="TableContents"/>
              <w:bidi w:val="0"/>
              <w:spacing w:before="0" w:after="20"/>
              <w:jc w:val="left"/>
              <w:rPr/>
            </w:pPr>
            <w:r>
              <w:rPr/>
              <w:t> </w:t>
            </w:r>
          </w:p>
        </w:tc>
      </w:tr>
      <w:tr>
        <w:trPr/>
        <w:tc>
          <w:tcPr>
            <w:tcW w:w="156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4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6" w:name="tx108148_51"/>
      <w:bookmarkStart w:id="237" w:name="ii108148_21"/>
      <w:bookmarkEnd w:id="236"/>
      <w:bookmarkEnd w:id="237"/>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June 22, 2026, by and among Serapha Bio, Inc., a Delaware corporation (the “</w:t>
      </w:r>
      <w:r>
        <w:rPr>
          <w:rFonts w:ascii="Times New Roman" w:hAnsi="Times New Roman"/>
          <w:sz w:val="20"/>
          <w:u w:val="single"/>
        </w:rPr>
        <w:t>Company</w:t>
      </w:r>
      <w:r>
        <w:rPr>
          <w:rFonts w:ascii="Times New Roman" w:hAnsi="Times New Roman"/>
          <w:sz w:val="20"/>
        </w:rPr>
        <w:t>”), Boundless Bio, Inc., a Delaware corporation (“</w:t>
      </w:r>
      <w:r>
        <w:rPr>
          <w:rFonts w:ascii="Times New Roman" w:hAnsi="Times New Roman"/>
          <w:sz w:val="20"/>
          <w:u w:val="single"/>
        </w:rPr>
        <w:t>Parent</w:t>
      </w:r>
      <w:r>
        <w:rPr>
          <w:rFonts w:ascii="Times New Roman" w:hAnsi="Times New Roman"/>
          <w:sz w:val="20"/>
        </w:rPr>
        <w:t>”), and the undersigned stockholder of the Company (the “</w:t>
      </w:r>
      <w:r>
        <w:rPr>
          <w:rFonts w:ascii="Times New Roman" w:hAnsi="Times New Roman"/>
          <w:sz w:val="20"/>
          <w:u w:val="single"/>
        </w:rPr>
        <w:t>Stockholder</w:t>
      </w:r>
      <w:r>
        <w:rPr>
          <w:rFonts w:ascii="Times New Roman" w:hAnsi="Times New Roman"/>
          <w:sz w:val="20"/>
        </w:rPr>
        <w:t>” and each of the Stockholder,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Boulder Merger Sub Corp.,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the Merger Sub will merge with and into the Company, with the Company surviving the merger as the surviving corporation and a wholly owned subsidiary of Parent, upon the terms and subject to the conditions set forth in the Merger Agreement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and any other equity securities of the Company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Parent to enter into the Merger Agreement, Parent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and any other equity securities of the Company beneficially owned by the Stockholder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Company Capital Stock issued or otherwise acquired, whether beneficially owned or of record, or owned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publicly announce its intention to Transfer any of its Shares or enter into any contract with respect to any Transfer of, its Shares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Authority,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and (v) to the extent required by operation of law pursuant to a qualified domestic relations order or in connection with a divorce settlement; </w:t>
      </w:r>
      <w:r>
        <w:rPr>
          <w:rFonts w:ascii="Times New Roman" w:hAnsi="Times New Roman"/>
          <w:sz w:val="20"/>
          <w:u w:val="single"/>
        </w:rPr>
        <w:t>provided</w:t>
      </w:r>
      <w:r>
        <w:rPr>
          <w:rFonts w:ascii="Times New Roman" w:hAnsi="Times New Roman"/>
          <w:sz w:val="20"/>
        </w:rPr>
        <w:t xml:space="preserve">, that in the cases of clauses (i) through (v), (x) such Transferred Shares shall continue to be bound by this Agreement, (y) the applicable direct transferee (if any) of such Transferred Shares shall have executed and delivered to Parent and the Company a support agreement substantially identical to this Agreement upon consummation of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not already a party thereto and (z) the transferor Stockholder shall remain liable for any failure of such transferee to comply with or perform its obligations under this Agreement.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Stockholder to exercise any option or any other right to acquire any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 beneficial owner, as applicable, of its Shares and not in the Stockholder’s capacity as a director or officer of the Company. Nothing herein shall limit or affect the Stockholder’s ability to exercise Stockholder’s fiduciary duties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the Company as his, her or its proxy and attorney-in-fact (with full power of substitution), for and in its name, place and stead, to (a) attend any all meetings of the Company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Parent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Stockholder is the beneficial or record owner of the shares of Company Capital Stock and other securities of the Company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equity securities of the Company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do not and will not (i) result in any breach or violation of or be in conflict with or constitute a default under any term of any Contract, or if applicable, any provision of an organizational document (including a certificate of incorporation) to which the Stockholder is a party or bound, or any applicable Law to which the Stockholder (or any of the Stockholder’s assets) is subject or bound, (ii) give to others any rights of termination, amendment, acceleration or cancellation of, or require any consent, waiver or approval under, any Contract or other legally binding instrument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to which the Stockholder is a party or by which the Stockholder or any of the Stockholder’s assets may be bound or (iii) result in the creation of any Encumbrance on any Shares, except, in the case of clauses (i), (ii) and (iii), for any such breach, violation, conflict, default, right, consent, waiver, approval or Encumbrance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or any other Person or entity,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the Merger or the Contemplated Transactions. The Stockholder understands and acknowledges that the Company, Parent and Merger Sub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(g) Except as set forth in the Merger Agreement and the Company Disclosure Letter, no broker, investment banker, financial advisor, finder, agent or other Person is entitled to any broker’s, finder’s financial advisor’s or other similar fee or commission payable by Parent, the Company or any of their respective Affiliates in connection with this Agreement, the Merger Agreement or the Contemplated Transactions based upon arrangements made by or on behalf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Effective Time, other than the Registration Rights Agreement,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shall terminate and shall cease to be of any further force or effect as of the earliest of (a) such date and time as the Merger Agreement shall have been terminated pursuant to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(b) the Effective Time and (c) the time this Agreement is terminated upon the written agreement of the Stockholder, the Company and Parent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w:t>
      </w:r>
      <w:r>
        <w:rPr>
          <w:rFonts w:ascii="Times New Roman" w:hAnsi="Times New Roman"/>
          <w:sz w:val="20"/>
          <w:u w:val="single"/>
        </w:rPr>
        <w:t> Section 11</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Waiver</w:t>
      </w:r>
      <w:r>
        <w:rPr>
          <w:rFonts w:ascii="Times New Roman" w:hAnsi="Times New Roman"/>
          <w:sz w:val="20"/>
        </w:rPr>
        <w:t xml:space="preserve">. This Agreement may not be amended, supplemented or modified, and no provisions hereof may be modified or waived, except by an instrument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 xml:space="preserve">Applicable Law; Jurisdiction. </w:t>
      </w:r>
      <w:r>
        <w:rPr>
          <w:rFonts w:ascii="Times New Roman" w:hAnsi="Times New Roman"/>
          <w:sz w:val="20"/>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11(c)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11(i)</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Restrictions</w:t>
      </w:r>
      <w:r>
        <w:rPr>
          <w:rFonts w:ascii="Times New Roman" w:hAnsi="Times New Roman"/>
          <w:sz w:val="20"/>
        </w:rPr>
        <w:t xml:space="preserve">. Subject to the other terms of this Agreement, the Stockholder hereby (i) waives and agrees not to exercise any rights (including under Section 262 of the DGCL) to demand appraisal of any Shares or rights to dissent from the Merger which may arise with respect to the Merger and (ii) agrees not to commence or participate in, and to take all actions necessary to opt out of any class in any class action with respect to, any claim, derivative or other proceeding, against Parent, Merger Sub, the Company or any of their respective directors, officers or successors relating to the negotiation, execution or delivery of this Agreement or the Merger Agreement or consummation of the Merger, including any proceeding (A) challenging the validity of, or seeking to enjoin the operation of, any provision of the Merger Agreement or this Agreement or (B) alleging a breach of any fiduciary duty of the Company Board in connection with the Merger Agreement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(Pacific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Stockholder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Pacific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among or between the Parties unless and until (i) the Merger Agreement is executed by all parties thereto and (ii) this Agreement is executed by all Parties.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Fees and Expenses</w:t>
      </w:r>
      <w:r>
        <w:rPr>
          <w:rFonts w:ascii="Times New Roman" w:hAnsi="Times New Roman"/>
          <w:sz w:val="20"/>
        </w:rPr>
        <w:t xml:space="preserve">. Except as otherwise expressly provided in this Agreement, the Merger Agreement or any other agreement contemplated by the Merger Agreement to which a Party is a party, all fees and expenses incurred in connection with this Agreement and the transactions contemplated hereby shall be paid by the Party incurring such fees or expenses, whether or not the Merger is consummated. </w:t>
      </w:r>
    </w:p>
    <w:p>
      <w:pPr>
        <w:pStyle w:val="TextBody"/>
        <w:bidi w:val="0"/>
        <w:spacing w:before="48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Left Intentionally Blank</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COMPANY: </w:t>
      </w:r>
    </w:p>
    <w:p>
      <w:pPr>
        <w:pStyle w:val="TextBody"/>
        <w:bidi w:val="0"/>
        <w:spacing w:before="0" w:after="0"/>
        <w:jc w:val="left"/>
        <w:rPr/>
      </w:pPr>
      <w:r>
        <w:rPr/>
        <w:t> </w:t>
      </w:r>
    </w:p>
    <w:tbl>
      <w:tblPr>
        <w:tblW w:w="2343" w:type="dxa"/>
        <w:jc w:val="left"/>
        <w:tblInd w:w="0" w:type="dxa"/>
        <w:tblLayout w:type="fixed"/>
        <w:tblCellMar>
          <w:top w:w="0" w:type="dxa"/>
          <w:left w:w="0" w:type="dxa"/>
          <w:bottom w:w="0" w:type="dxa"/>
          <w:right w:w="0" w:type="dxa"/>
        </w:tblCellMar>
      </w:tblPr>
      <w:tblGrid>
        <w:gridCol w:w="1777"/>
        <w:gridCol w:w="249"/>
        <w:gridCol w:w="317"/>
      </w:tblGrid>
      <w:tr>
        <w:trPr/>
        <w:tc>
          <w:tcPr>
            <w:tcW w:w="17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b/>
              </w:rPr>
            </w:pPr>
            <w:r>
              <w:rPr>
                <w:b/>
              </w:rPr>
              <w:t>SERAPHA BIO, INC.</w:t>
            </w:r>
          </w:p>
        </w:tc>
      </w:tr>
      <w:tr>
        <w:trPr/>
        <w:tc>
          <w:tcPr>
            <w:tcW w:w="1777" w:type="dxa"/>
            <w:tcBorders/>
            <w:vAlign w:val="center"/>
          </w:tcPr>
          <w:p>
            <w:pPr>
              <w:pStyle w:val="TableContents"/>
              <w:bidi w:val="0"/>
              <w:spacing w:before="0" w:after="283"/>
              <w:jc w:val="left"/>
              <w:rPr>
                <w:sz w:val="4"/>
                <w:szCs w:val="4"/>
              </w:rPr>
            </w:pPr>
            <w:r>
              <w:rPr>
                <w:sz w:val="4"/>
                <w:szCs w:val="4"/>
              </w:rPr>
            </w:r>
          </w:p>
        </w:tc>
        <w:tc>
          <w:tcPr>
            <w:tcW w:w="566" w:type="dxa"/>
            <w:gridSpan w:val="2"/>
            <w:tcBorders/>
            <w:vAlign w:val="center"/>
          </w:tcPr>
          <w:p>
            <w:pPr>
              <w:pStyle w:val="TableContents"/>
              <w:bidi w:val="0"/>
              <w:spacing w:before="0" w:after="283"/>
              <w:jc w:val="left"/>
              <w:rPr>
                <w:sz w:val="4"/>
                <w:szCs w:val="4"/>
              </w:rPr>
            </w:pPr>
            <w:r>
              <w:rPr>
                <w:sz w:val="4"/>
                <w:szCs w:val="4"/>
              </w:rPr>
            </w:r>
          </w:p>
        </w:tc>
      </w:tr>
      <w:tr>
        <w:trPr/>
        <w:tc>
          <w:tcPr>
            <w:tcW w:w="1777" w:type="dxa"/>
            <w:tcBorders/>
            <w:vAlign w:val="center"/>
          </w:tcPr>
          <w:p>
            <w:pPr>
              <w:pStyle w:val="TableContents"/>
              <w:bidi w:val="0"/>
              <w:spacing w:before="0" w:after="283"/>
              <w:jc w:val="left"/>
              <w:rPr/>
            </w:pPr>
            <w:r>
              <w:rPr/>
              <w:t>By:</w:t>
            </w:r>
          </w:p>
        </w:tc>
        <w:tc>
          <w:tcPr>
            <w:tcW w:w="249" w:type="dxa"/>
            <w:tcBorders>
              <w:bottom w:val="single" w:sz="6" w:space="0" w:color="000000"/>
            </w:tcBorders>
            <w:tcMar>
              <w:bottom w:w="28" w:type="dxa"/>
            </w:tcMar>
            <w:vAlign w:val="center"/>
          </w:tcPr>
          <w:p>
            <w:pPr>
              <w:pStyle w:val="TableContents"/>
              <w:bidi w:val="0"/>
              <w:spacing w:before="0" w:after="283"/>
              <w:jc w:val="left"/>
              <w:rPr/>
            </w:pPr>
            <w:r>
              <w:rPr/>
              <w:t> </w:t>
            </w:r>
          </w:p>
        </w:tc>
        <w:tc>
          <w:tcPr>
            <w:tcW w:w="31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77" w:type="dxa"/>
            <w:tcBorders/>
            <w:vAlign w:val="center"/>
          </w:tcPr>
          <w:p>
            <w:pPr>
              <w:pStyle w:val="TableContents"/>
              <w:bidi w:val="0"/>
              <w:spacing w:before="0" w:after="283"/>
              <w:jc w:val="left"/>
              <w:rPr>
                <w:sz w:val="20"/>
              </w:rPr>
            </w:pPr>
            <w:r>
              <w:rPr>
                <w:sz w:val="20"/>
              </w:rPr>
              <w:t>Title:</w:t>
            </w:r>
          </w:p>
        </w:tc>
        <w:tc>
          <w:tcPr>
            <w:tcW w:w="249"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PARENT: </w:t>
      </w:r>
    </w:p>
    <w:p>
      <w:pPr>
        <w:pStyle w:val="TextBody"/>
        <w:bidi w:val="0"/>
        <w:spacing w:before="0" w:after="0"/>
        <w:jc w:val="left"/>
        <w:rPr/>
      </w:pPr>
      <w:r>
        <w:rPr/>
        <w:t> </w:t>
      </w:r>
    </w:p>
    <w:tbl>
      <w:tblPr>
        <w:tblW w:w="2659" w:type="dxa"/>
        <w:jc w:val="left"/>
        <w:tblInd w:w="0" w:type="dxa"/>
        <w:tblLayout w:type="fixed"/>
        <w:tblCellMar>
          <w:top w:w="0" w:type="dxa"/>
          <w:left w:w="0" w:type="dxa"/>
          <w:bottom w:w="0" w:type="dxa"/>
          <w:right w:w="0" w:type="dxa"/>
        </w:tblCellMar>
      </w:tblPr>
      <w:tblGrid>
        <w:gridCol w:w="2017"/>
        <w:gridCol w:w="284"/>
        <w:gridCol w:w="358"/>
      </w:tblGrid>
      <w:tr>
        <w:trPr/>
        <w:tc>
          <w:tcPr>
            <w:tcW w:w="20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659" w:type="dxa"/>
            <w:gridSpan w:val="3"/>
            <w:tcBorders/>
            <w:vAlign w:val="center"/>
          </w:tcPr>
          <w:p>
            <w:pPr>
              <w:pStyle w:val="TableContents"/>
              <w:bidi w:val="0"/>
              <w:spacing w:before="0" w:after="283"/>
              <w:jc w:val="left"/>
              <w:rPr>
                <w:b/>
              </w:rPr>
            </w:pPr>
            <w:r>
              <w:rPr>
                <w:b/>
              </w:rPr>
              <w:t>BOUNDLESS BIO, INC.</w:t>
            </w:r>
          </w:p>
        </w:tc>
      </w:tr>
      <w:tr>
        <w:trPr/>
        <w:tc>
          <w:tcPr>
            <w:tcW w:w="2017" w:type="dxa"/>
            <w:tcBorders/>
            <w:vAlign w:val="center"/>
          </w:tcPr>
          <w:p>
            <w:pPr>
              <w:pStyle w:val="TableContents"/>
              <w:bidi w:val="0"/>
              <w:spacing w:before="0" w:after="283"/>
              <w:jc w:val="left"/>
              <w:rPr>
                <w:sz w:val="4"/>
                <w:szCs w:val="4"/>
              </w:rPr>
            </w:pPr>
            <w:r>
              <w:rPr>
                <w:sz w:val="4"/>
                <w:szCs w:val="4"/>
              </w:rPr>
            </w:r>
          </w:p>
        </w:tc>
        <w:tc>
          <w:tcPr>
            <w:tcW w:w="642" w:type="dxa"/>
            <w:gridSpan w:val="2"/>
            <w:tcBorders/>
            <w:vAlign w:val="center"/>
          </w:tcPr>
          <w:p>
            <w:pPr>
              <w:pStyle w:val="TableContents"/>
              <w:bidi w:val="0"/>
              <w:spacing w:before="0" w:after="283"/>
              <w:jc w:val="left"/>
              <w:rPr>
                <w:sz w:val="4"/>
                <w:szCs w:val="4"/>
              </w:rPr>
            </w:pPr>
            <w:r>
              <w:rPr>
                <w:sz w:val="4"/>
                <w:szCs w:val="4"/>
              </w:rPr>
            </w:r>
          </w:p>
        </w:tc>
      </w:tr>
      <w:tr>
        <w:trPr/>
        <w:tc>
          <w:tcPr>
            <w:tcW w:w="2017" w:type="dxa"/>
            <w:tcBorders/>
            <w:vAlign w:val="center"/>
          </w:tcPr>
          <w:p>
            <w:pPr>
              <w:pStyle w:val="TableContents"/>
              <w:bidi w:val="0"/>
              <w:spacing w:before="0" w:after="283"/>
              <w:jc w:val="left"/>
              <w:rPr/>
            </w:pPr>
            <w:r>
              <w:rPr/>
              <w:t>By:</w:t>
            </w:r>
          </w:p>
        </w:tc>
        <w:tc>
          <w:tcPr>
            <w:tcW w:w="284" w:type="dxa"/>
            <w:tcBorders>
              <w:bottom w:val="single" w:sz="6" w:space="0" w:color="000000"/>
            </w:tcBorders>
            <w:tcMar>
              <w:bottom w:w="28" w:type="dxa"/>
            </w:tcMar>
            <w:vAlign w:val="center"/>
          </w:tcPr>
          <w:p>
            <w:pPr>
              <w:pStyle w:val="TableContents"/>
              <w:bidi w:val="0"/>
              <w:spacing w:before="0" w:after="283"/>
              <w:jc w:val="left"/>
              <w:rPr/>
            </w:pPr>
            <w:r>
              <w:rPr/>
              <w:t> </w:t>
            </w:r>
          </w:p>
        </w:tc>
        <w:tc>
          <w:tcPr>
            <w:tcW w:w="35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17" w:type="dxa"/>
            <w:tcBorders/>
            <w:vAlign w:val="center"/>
          </w:tcPr>
          <w:p>
            <w:pPr>
              <w:pStyle w:val="TableContents"/>
              <w:bidi w:val="0"/>
              <w:spacing w:before="0" w:after="283"/>
              <w:jc w:val="left"/>
              <w:rPr>
                <w:sz w:val="20"/>
              </w:rPr>
            </w:pPr>
            <w:r>
              <w:rPr>
                <w:sz w:val="20"/>
              </w:rPr>
              <w:t>Title:</w:t>
            </w:r>
          </w:p>
        </w:tc>
        <w:tc>
          <w:tcPr>
            <w:tcW w:w="284"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5" w:type="dxa"/>
        <w:jc w:val="left"/>
        <w:tblInd w:w="0" w:type="dxa"/>
        <w:tblLayout w:type="fixed"/>
        <w:tblCellMar>
          <w:top w:w="0" w:type="dxa"/>
          <w:left w:w="0" w:type="dxa"/>
          <w:bottom w:w="0" w:type="dxa"/>
          <w:right w:w="0" w:type="dxa"/>
        </w:tblCellMar>
      </w:tblPr>
      <w:tblGrid>
        <w:gridCol w:w="3155"/>
      </w:tblGrid>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Signature:</w:t>
            </w:r>
          </w:p>
        </w:tc>
      </w:tr>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Address:</w:t>
            </w:r>
          </w:p>
        </w:tc>
      </w:tr>
      <w:tr>
        <w:trPr/>
        <w:tc>
          <w:tcPr>
            <w:tcW w:w="3155" w:type="dxa"/>
            <w:tcBorders/>
            <w:vAlign w:val="center"/>
          </w:tcPr>
          <w:p>
            <w:pPr>
              <w:pStyle w:val="TableContents"/>
              <w:pBdr>
                <w:bottom w:val="single" w:sz="2" w:space="1" w:color="000000"/>
              </w:pBdr>
              <w:bidi w:val="0"/>
              <w:spacing w:before="0" w:after="0"/>
              <w:jc w:val="center"/>
              <w:rPr/>
            </w:pPr>
            <w:r>
              <w:rPr/>
              <w:t> </w:t>
            </w:r>
          </w:p>
          <w:p>
            <w:pPr>
              <w:pStyle w:val="TableContents"/>
              <w:pBdr>
                <w:bottom w:val="single" w:sz="2" w:space="1" w:color="000000"/>
              </w:pBdr>
              <w:bidi w:val="0"/>
              <w:spacing w:before="0" w:after="20"/>
              <w:jc w:val="center"/>
              <w:rPr/>
            </w:pPr>
            <w:r>
              <w:rPr/>
              <w:t> </w:t>
            </w:r>
          </w:p>
        </w:tc>
      </w:tr>
      <w:tr>
        <w:trPr/>
        <w:tc>
          <w:tcPr>
            <w:tcW w:w="3155" w:type="dxa"/>
            <w:tcBorders/>
            <w:vAlign w:val="center"/>
          </w:tcPr>
          <w:p>
            <w:pPr>
              <w:pStyle w:val="TableContents"/>
              <w:pBdr>
                <w:bottom w:val="single" w:sz="2" w:space="1" w:color="000000"/>
              </w:pBdr>
              <w:bidi w:val="0"/>
              <w:spacing w:before="0" w:after="20"/>
              <w:jc w:val="center"/>
              <w:rPr/>
            </w:pPr>
            <w:r>
              <w:rPr/>
              <w:t> </w:t>
            </w:r>
          </w:p>
        </w:tc>
      </w:tr>
    </w:tbl>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0" w:after="0"/>
        <w:jc w:val="left"/>
        <w:rPr/>
      </w:pPr>
      <w:r>
        <w:rPr/>
        <w:t> </w:t>
      </w:r>
    </w:p>
    <w:tbl>
      <w:tblPr>
        <w:tblW w:w="2495" w:type="dxa"/>
        <w:jc w:val="left"/>
        <w:tblInd w:w="0" w:type="dxa"/>
        <w:tblLayout w:type="fixed"/>
        <w:tblCellMar>
          <w:top w:w="0" w:type="dxa"/>
          <w:left w:w="0" w:type="dxa"/>
          <w:bottom w:w="0" w:type="dxa"/>
          <w:right w:w="0" w:type="dxa"/>
        </w:tblCellMar>
      </w:tblPr>
      <w:tblGrid>
        <w:gridCol w:w="2495"/>
      </w:tblGrid>
      <w:tr>
        <w:trPr/>
        <w:tc>
          <w:tcPr>
            <w:tcW w:w="2495" w:type="dxa"/>
            <w:tcBorders/>
            <w:vAlign w:val="center"/>
          </w:tcPr>
          <w:p>
            <w:pPr>
              <w:pStyle w:val="TableContents"/>
              <w:bidi w:val="0"/>
              <w:spacing w:before="0" w:after="283"/>
              <w:jc w:val="left"/>
              <w:rPr>
                <w:sz w:val="4"/>
                <w:szCs w:val="4"/>
              </w:rPr>
            </w:pPr>
            <w:r>
              <w:rPr>
                <w:sz w:val="4"/>
                <w:szCs w:val="4"/>
              </w:rPr>
            </w:r>
          </w:p>
        </w:tc>
      </w:tr>
      <w:tr>
        <w:trPr/>
        <w:tc>
          <w:tcPr>
            <w:tcW w:w="24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b/>
              </w:rPr>
            </w:pPr>
            <w:r>
              <w:rPr>
                <w:b/>
              </w:rPr>
              <w:t>Company Capital Stock</w:t>
            </w:r>
          </w:p>
        </w:tc>
      </w:tr>
      <w:tr>
        <w:trPr/>
        <w:tc>
          <w:tcPr>
            <w:tcW w:w="249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8" w:name="tx108148_52"/>
      <w:bookmarkStart w:id="239" w:name="ii108148_31"/>
      <w:bookmarkEnd w:id="238"/>
      <w:bookmarkEnd w:id="239"/>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Legal@boundlessbio.com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Boundless Bio, Inc., a Delaware corporation (including any successor thereto, “</w:t>
      </w:r>
      <w:r>
        <w:rPr>
          <w:rFonts w:ascii="Times New Roman" w:hAnsi="Times New Roman"/>
          <w:sz w:val="20"/>
          <w:u w:val="single"/>
        </w:rPr>
        <w:t>Parent</w:t>
      </w:r>
      <w:r>
        <w:rPr>
          <w:rFonts w:ascii="Times New Roman" w:hAnsi="Times New Roman"/>
          <w:sz w:val="20"/>
        </w:rPr>
        <w:t>”), has entered into an Agreement and Plan of Merger and Reorganization, dated as of June 22, 2026 (as the same may be amended from time to time, the “</w:t>
      </w:r>
      <w:r>
        <w:rPr>
          <w:rFonts w:ascii="Times New Roman" w:hAnsi="Times New Roman"/>
          <w:sz w:val="20"/>
          <w:u w:val="single"/>
        </w:rPr>
        <w:t>Merger Agreement</w:t>
      </w:r>
      <w:r>
        <w:rPr>
          <w:rFonts w:ascii="Times New Roman" w:hAnsi="Times New Roman"/>
          <w:sz w:val="20"/>
        </w:rPr>
        <w:t>”) with Boulder Merger Sub Corp., a Delaware corporation and a wholly owned subsidiary of Parent, and Serapha Bio,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1.</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any restricted stock units for Parent Common Stock (“</w:t>
            </w:r>
            <w:r>
              <w:rPr>
                <w:rFonts w:ascii="Times New Roman" w:hAnsi="Times New Roman"/>
                <w:sz w:val="20"/>
                <w:u w:val="single"/>
              </w:rPr>
              <w:t>Parent RSUs</w:t>
            </w:r>
            <w:r>
              <w:rPr>
                <w:rFonts w:ascii="Times New Roman" w:hAnsi="Times New Roman"/>
                <w:sz w:val="20"/>
              </w:rPr>
              <w:t>”) or (iii) any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shares of Parent Common Stock (other than such rights set forth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85"/>
        <w:gridCol w:w="477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2.</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85"/>
        <w:gridCol w:w="31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Entity, (A) to another Entity that is an affiliate (as defined under Rule 12b-2 of the Exchange Act) of the undersigned, including any investment fund or other Entity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60"/>
        <w:gridCol w:w="584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any grantors or beneficiaries of the trust;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i(A), i(E) or ii(A))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to Parent in connection with the net settlement of any Parent RSU or other equity award that represents the right to receive in the future shares of Parent Common Stock, settled in shares of Parent Common Stock, to pay any tax withholding obligations; provided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or amendment to,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(including a forfeiture or repurchase) to Parent of any shares of restricted stock granted pursuant to the terms of any employee benefit plan or restricted stock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distributions, sales or other transactions by the undersigned of shares of Parent Common Stock purchased by the undersigned on the open market or in a public offering by Parent, in each case following the date of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200"/>
        <w:gridCol w:w="52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an order of a court or regulatory agency;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undersigned of shares of Parent Common Stock issued pursuant to the Merger Agreement in respect of shares of the Company, if any, purchased from the Company in the Company Pre-Closing Financing;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each of (a),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or lock-up agreement signed by the transferee in the form of this Lock-Up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3.</w:t>
            </w:r>
          </w:p>
        </w:tc>
        <w:tc>
          <w:tcPr>
            <w:tcW w:w="100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4.</w:t>
            </w:r>
          </w:p>
        </w:tc>
        <w:tc>
          <w:tcPr>
            <w:tcW w:w="10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5.</w:t>
            </w:r>
          </w:p>
        </w:tc>
        <w:tc>
          <w:tcPr>
            <w:tcW w:w="100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6.</w:t>
            </w:r>
          </w:p>
        </w:tc>
        <w:tc>
          <w:tcPr>
            <w:tcW w:w="100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7.</w:t>
            </w:r>
          </w:p>
        </w:tc>
        <w:tc>
          <w:tcPr>
            <w:tcW w:w="100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the event that a release or waiver of the foregoing restrictions of this Lock-Up Agreement or a substantially similar agreement is granted by Parent with respect to any securities of Parent, to any officer, director or any other stockholder of at least three percent (3%) of the shares of Parent Common Stock outstanding following the consummation of the Offering (each, a “</w:t>
            </w:r>
            <w:r>
              <w:rPr>
                <w:rFonts w:ascii="Times New Roman" w:hAnsi="Times New Roman"/>
                <w:sz w:val="20"/>
                <w:u w:val="single"/>
              </w:rPr>
              <w:t>Major Holder</w:t>
            </w:r>
            <w:r>
              <w:rPr>
                <w:rFonts w:ascii="Times New Roman" w:hAnsi="Times New Roman"/>
                <w:sz w:val="20"/>
              </w:rPr>
              <w:t>”), other than the undersigned, ,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Major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8.</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is binding upon the undersigned’s heirs, legal representatives, successors and assigns.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10.</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hAnsi="Times New Roman"/>
                <w:sz w:val="20"/>
                <w:u w:val="single"/>
              </w:rPr>
              <w:t>Section 11</w:t>
            </w:r>
            <w:r>
              <w:rPr>
                <w:rFonts w:ascii="Times New Roman" w:hAnsi="Times New Roman"/>
                <w:sz w:val="20"/>
              </w:rPr>
              <w:t xml:space="preserve"> of this Lock-Up Agreement. This Lock-Up Agreement constitutes the entire agreement between the parties to this Lock-Up Agreement and supersedes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all other prior agreements, arrangements and understandings, both written and oral, among the parties with respect to the subject matter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11.</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12.</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in.pdf format shall be sufficient to bind such parties to the terms and conditions of this Lock-Up Agreement.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928" w:type="dxa"/>
        <w:jc w:val="left"/>
        <w:tblInd w:w="0" w:type="dxa"/>
        <w:tblLayout w:type="fixed"/>
        <w:tblCellMar>
          <w:top w:w="0" w:type="dxa"/>
          <w:left w:w="0" w:type="dxa"/>
          <w:bottom w:w="0" w:type="dxa"/>
          <w:right w:w="0" w:type="dxa"/>
        </w:tblCellMar>
      </w:tblPr>
      <w:tblGrid>
        <w:gridCol w:w="2630"/>
        <w:gridCol w:w="60"/>
        <w:gridCol w:w="1796"/>
        <w:gridCol w:w="196"/>
        <w:gridCol w:w="246"/>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298"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Print Name of Stockholder:</w:t>
            </w:r>
          </w:p>
        </w:tc>
        <w:tc>
          <w:tcPr>
            <w:tcW w:w="60" w:type="dxa"/>
            <w:tcBorders/>
            <w:vAlign w:val="center"/>
          </w:tcPr>
          <w:p>
            <w:pPr>
              <w:pStyle w:val="TableContents"/>
              <w:bidi w:val="0"/>
              <w:spacing w:before="0" w:after="283"/>
              <w:jc w:val="left"/>
              <w:rPr/>
            </w:pPr>
            <w:r>
              <w:rPr/>
              <w:t> </w:t>
            </w:r>
          </w:p>
        </w:tc>
        <w:tc>
          <w:tcPr>
            <w:tcW w:w="223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298"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38"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Signature (for individuals):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298"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38"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Signature (for entities):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856" w:type="dxa"/>
            <w:gridSpan w:val="2"/>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6" w:type="dxa"/>
            <w:tcBorders/>
            <w:vAlign w:val="center"/>
          </w:tcPr>
          <w:p>
            <w:pPr>
              <w:pStyle w:val="TableContents"/>
              <w:bidi w:val="0"/>
              <w:spacing w:before="0" w:after="283"/>
              <w:jc w:val="left"/>
              <w:rPr/>
            </w:pPr>
            <w:r>
              <w:rPr/>
              <w:t> </w:t>
            </w:r>
          </w:p>
        </w:tc>
        <w:tc>
          <w:tcPr>
            <w:tcW w:w="246" w:type="dxa"/>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283"/>
              <w:jc w:val="left"/>
              <w:rPr>
                <w:sz w:val="20"/>
              </w:rPr>
            </w:pPr>
            <w:r>
              <w:rPr>
                <w:sz w:val="20"/>
              </w:rPr>
              <w:t>Name:</w:t>
            </w:r>
          </w:p>
        </w:tc>
        <w:tc>
          <w:tcPr>
            <w:tcW w:w="19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283"/>
              <w:jc w:val="left"/>
              <w:rPr>
                <w:sz w:val="20"/>
              </w:rPr>
            </w:pPr>
            <w:r>
              <w:rPr>
                <w:sz w:val="20"/>
              </w:rPr>
              <w:t>Title:</w:t>
            </w:r>
          </w:p>
        </w:tc>
        <w:tc>
          <w:tcPr>
            <w:tcW w:w="19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54" w:type="dxa"/>
        <w:jc w:val="left"/>
        <w:tblInd w:w="0" w:type="dxa"/>
        <w:tblLayout w:type="fixed"/>
        <w:tblCellMar>
          <w:top w:w="0" w:type="dxa"/>
          <w:left w:w="0" w:type="dxa"/>
          <w:bottom w:w="0" w:type="dxa"/>
          <w:right w:w="0" w:type="dxa"/>
        </w:tblCellMar>
      </w:tblPr>
      <w:tblGrid>
        <w:gridCol w:w="1538"/>
        <w:gridCol w:w="183"/>
        <w:gridCol w:w="233"/>
      </w:tblGrid>
      <w:tr>
        <w:trPr/>
        <w:tc>
          <w:tcPr>
            <w:tcW w:w="15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Boundless Bio, Inc.:</w:t>
            </w:r>
          </w:p>
        </w:tc>
      </w:tr>
      <w:tr>
        <w:trPr/>
        <w:tc>
          <w:tcPr>
            <w:tcW w:w="1538"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r>
      <w:tr>
        <w:trPr/>
        <w:tc>
          <w:tcPr>
            <w:tcW w:w="15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sz w:val="20"/>
              </w:rPr>
            </w:pPr>
            <w:r>
              <w:rPr>
                <w:sz w:val="20"/>
              </w:rPr>
              <w:t>Name:</w:t>
            </w:r>
          </w:p>
        </w:tc>
        <w:tc>
          <w:tcPr>
            <w:tcW w:w="18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1538" w:type="dxa"/>
            <w:tcBorders/>
            <w:vAlign w:val="center"/>
          </w:tcPr>
          <w:p>
            <w:pPr>
              <w:pStyle w:val="TableContents"/>
              <w:bidi w:val="0"/>
              <w:spacing w:before="0" w:after="283"/>
              <w:jc w:val="left"/>
              <w:rPr>
                <w:sz w:val="20"/>
              </w:rPr>
            </w:pPr>
            <w:r>
              <w:rPr>
                <w:sz w:val="20"/>
              </w:rPr>
              <w:t>Title:</w:t>
            </w:r>
          </w:p>
        </w:tc>
        <w:tc>
          <w:tcPr>
            <w:tcW w:w="18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Serapha Bio, Inc.:</w:t>
            </w:r>
          </w:p>
        </w:tc>
      </w:tr>
      <w:tr>
        <w:trPr/>
        <w:tc>
          <w:tcPr>
            <w:tcW w:w="1538"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r>
      <w:tr>
        <w:trPr/>
        <w:tc>
          <w:tcPr>
            <w:tcW w:w="15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sz w:val="20"/>
              </w:rPr>
            </w:pPr>
            <w:r>
              <w:rPr>
                <w:sz w:val="20"/>
              </w:rPr>
              <w:t>Name:</w:t>
            </w:r>
          </w:p>
        </w:tc>
        <w:tc>
          <w:tcPr>
            <w:tcW w:w="18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1538" w:type="dxa"/>
            <w:tcBorders/>
            <w:vAlign w:val="center"/>
          </w:tcPr>
          <w:p>
            <w:pPr>
              <w:pStyle w:val="TableContents"/>
              <w:bidi w:val="0"/>
              <w:spacing w:before="0" w:after="283"/>
              <w:jc w:val="left"/>
              <w:rPr>
                <w:sz w:val="20"/>
              </w:rPr>
            </w:pPr>
            <w:r>
              <w:rPr>
                <w:sz w:val="20"/>
              </w:rPr>
              <w:t>Title:</w:t>
            </w:r>
          </w:p>
        </w:tc>
        <w:tc>
          <w:tcPr>
            <w:tcW w:w="18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0" w:name="tx108148_53"/>
      <w:bookmarkStart w:id="241" w:name="ii108148_41"/>
      <w:bookmarkEnd w:id="240"/>
      <w:bookmarkEnd w:id="241"/>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June 22, 2026, by and among Serapha Bio, Inc., a Delaware corporation (“</w:t>
      </w:r>
      <w:r>
        <w:rPr>
          <w:rFonts w:ascii="Times New Roman" w:hAnsi="Times New Roman"/>
          <w:b/>
          <w:sz w:val="20"/>
        </w:rPr>
        <w:t>Serapha</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and the Investors are executing and delivering this Agreement in reliance upon the exemption from securities registration afforded by Section 4(a)(2) of the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desires to sell to the Investors, and each Investor desires to purchase from Serapha, severally and not jointly, upon the terms and subject to the conditions stated in this Agreement, (A) shares (the “</w:t>
      </w:r>
      <w:r>
        <w:rPr>
          <w:rFonts w:ascii="Times New Roman" w:hAnsi="Times New Roman"/>
          <w:b/>
          <w:sz w:val="20"/>
        </w:rPr>
        <w:t>Initial Shares</w:t>
      </w:r>
      <w:r>
        <w:rPr>
          <w:rFonts w:ascii="Times New Roman" w:hAnsi="Times New Roman"/>
          <w:sz w:val="20"/>
        </w:rPr>
        <w:t>”) of the Company’s common stock, par value $0.00001 per share (the “</w:t>
      </w:r>
      <w:r>
        <w:rPr>
          <w:rFonts w:ascii="Times New Roman" w:hAnsi="Times New Roman"/>
          <w:b/>
          <w:sz w:val="20"/>
        </w:rPr>
        <w:t>Common Stock</w:t>
      </w:r>
      <w:r>
        <w:rPr>
          <w:rFonts w:ascii="Times New Roman" w:hAnsi="Times New Roman"/>
          <w:sz w:val="20"/>
        </w:rPr>
        <w:t>”), at a per share purchase price equal to the Share Price, and/or (B) pre-funded warrants to purchase shares of Common Stock (the “</w:t>
      </w:r>
      <w:r>
        <w:rPr>
          <w:rFonts w:ascii="Times New Roman" w:hAnsi="Times New Roman"/>
          <w:b/>
          <w:sz w:val="20"/>
        </w:rPr>
        <w:t>Pre-Funded Warrants</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at a per warrant price equal to the Pre-Funded Warrant Price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and/or the Pre-Funded Warrants, Serapha and the Investors will execute and deliver a Registration Rights Agreement, substantially in the form attached hereto as </w:t>
      </w:r>
      <w:r>
        <w:rPr>
          <w:rFonts w:ascii="Times New Roman" w:hAnsi="Times New Roman"/>
          <w:sz w:val="20"/>
          <w:u w:val="single"/>
        </w:rPr>
        <w:t>Exhibit C</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Serapha is party to that certain Agreement and Plan of Merger and Reorganization by and among Serapha, Boundless Bio, Inc., a Delaware corporation (“</w:t>
      </w:r>
      <w:r>
        <w:rPr>
          <w:rFonts w:ascii="Times New Roman" w:hAnsi="Times New Roman"/>
          <w:b/>
          <w:sz w:val="20"/>
        </w:rPr>
        <w:t>Parent</w:t>
      </w:r>
      <w:r>
        <w:rPr>
          <w:rFonts w:ascii="Times New Roman" w:hAnsi="Times New Roman"/>
          <w:sz w:val="20"/>
        </w:rPr>
        <w:t>”), and Boulder Merger Sub Corp., a Delaware corporation and wholly-owned subsidiary of Parent (“</w:t>
      </w:r>
      <w:r>
        <w:rPr>
          <w:rFonts w:ascii="Times New Roman" w:hAnsi="Times New Roman"/>
          <w:b/>
          <w:sz w:val="20"/>
        </w:rPr>
        <w:t>Merger Sub</w:t>
      </w:r>
      <w:r>
        <w:rPr>
          <w:rFonts w:ascii="Times New Roman" w:hAnsi="Times New Roman"/>
          <w:sz w:val="20"/>
        </w:rPr>
        <w:t>”), dated June 22, 2026 (as may be amended from time to time, the “</w:t>
      </w:r>
      <w:r>
        <w:rPr>
          <w:rFonts w:ascii="Times New Roman" w:hAnsi="Times New Roman"/>
          <w:b/>
          <w:sz w:val="20"/>
        </w:rPr>
        <w:t>Merger Agreement</w:t>
      </w:r>
      <w:r>
        <w:rPr>
          <w:rFonts w:ascii="Times New Roman" w:hAnsi="Times New Roman"/>
          <w:sz w:val="20"/>
        </w:rPr>
        <w:t>”), pursuant to which (i) Merger Sub will merge with and into Serapha, with Serapha surviving and becoming a wholly-owned subsidiary of Parent, and (ii) Parent will change its name to Serapha Bio, Inc. (Parent, as renamed, “</w:t>
      </w:r>
      <w:r>
        <w:rPr>
          <w:rFonts w:ascii="Times New Roman" w:hAnsi="Times New Roman"/>
          <w:b/>
          <w:sz w:val="20"/>
        </w:rPr>
        <w:t>TopCo</w:t>
      </w:r>
      <w:r>
        <w:rPr>
          <w:rFonts w:ascii="Times New Roman" w:hAnsi="Times New Roman"/>
          <w:sz w:val="20"/>
        </w:rPr>
        <w:t>” and the transactions described in the foregoing clauses (i) and (ii),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Beneficial Ownership Limitation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hospitalization insurance, medical insurance, life insurance, scholarships or tuition reimbursements, maintained 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Amended and Restated Certificate of Incorporation of the Company, as currently in effect and as may be amended from time to time.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Company for all periods prior to the Effective Time (as defined in the Merger Agreement) and TopCo for all periods following the Effective Time.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w:t>
      </w:r>
      <w:r>
        <w:rPr>
          <w:rFonts w:ascii="Times New Roman" w:hAnsi="Times New Roman"/>
          <w:sz w:val="20"/>
          <w:u w:val="single"/>
        </w:rPr>
        <w:t>Section</w:t>
      </w:r>
      <w:r>
        <w:rPr>
          <w:rFonts w:ascii="Times New Roman" w:hAnsi="Times New Roman"/>
          <w:sz w:val="20"/>
        </w:rPr>
        <w:t xml:space="preserve">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each of RTW and RA Capital, and (ii) following the Closing, the Investors who hold (as of such time) at least a majority of the Securities (including any Pre-Funded Warrant Shares). For the avoidance of doubt, the Securities which RA Capital Healthcare Fund, L.P. and RA Capital Nexus Fund IV, L.P. have committed to purchase shall be aggregated and treated as held by “RA Capital” for all purposes of this definition.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or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epidemic or similar health emergency, and other force majeure events in the United States or any other location,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or its subsidiaries to meet any published or internally prepared estimates of drug development timelines (it being understood that the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Select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an amount equal to (i) the Share Price minus (ii) $0.00001. </w:t>
      </w:r>
    </w:p>
    <w:p>
      <w:pPr>
        <w:pStyle w:val="TextBody"/>
        <w:bidi w:val="0"/>
        <w:spacing w:before="240" w:after="0"/>
        <w:jc w:val="left"/>
        <w:rPr/>
      </w:pPr>
      <w:r>
        <w:rPr/>
        <w:t>“</w:t>
      </w:r>
      <w:r>
        <w:rPr>
          <w:rFonts w:ascii="Times New Roman" w:hAnsi="Times New Roman"/>
          <w:b/>
          <w:sz w:val="20"/>
        </w:rPr>
        <w:t>Pre-Funded Warrant Shares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RA Capital</w:t>
      </w:r>
      <w:r>
        <w:rPr>
          <w:rFonts w:ascii="Times New Roman" w:hAnsi="Times New Roman"/>
          <w:sz w:val="20"/>
        </w:rPr>
        <w:t xml:space="preserve">” means collectively, RA Capital Healthcare Fund, L.P., and RA Capital Nexus Fund IV, L.P.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3.20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RTW</w:t>
      </w:r>
      <w:r>
        <w:rPr>
          <w:rFonts w:ascii="Times New Roman" w:hAnsi="Times New Roman"/>
          <w:sz w:val="20"/>
        </w:rPr>
        <w:t xml:space="preserve">” means RTW Holdings X, LLC.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$4.4997.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and the Pre-Funded Warrant Shares.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Pre-Funded Warrants, the Registration Rights Agreement and any other documents or agreements explicitly contemplated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N.A.,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(a) the aggregate commitment amount set forth under the heading “Commitment Amount” and opposite such Investor’s name on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Commitment Amount</w:t>
      </w:r>
      <w:r>
        <w:rPr>
          <w:rFonts w:ascii="Times New Roman" w:hAnsi="Times New Roman"/>
          <w:sz w:val="20"/>
        </w:rPr>
        <w:t xml:space="preserve">”) divided by (b) the Share Price;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 w:hAnsi="Times New Roman"/>
          <w:b/>
          <w:sz w:val="20"/>
        </w:rPr>
        <w:t>Pre-Funded Warrant Shares</w:t>
      </w:r>
      <w:r>
        <w:rPr>
          <w:rFonts w:ascii="Times New Roman" w:hAnsi="Times New Roman"/>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 w:hAnsi="Times New Roman"/>
          <w:b/>
          <w:sz w:val="20"/>
        </w:rPr>
        <w:t>Beneficial Ownership Limitation</w:t>
      </w:r>
      <w:r>
        <w:rPr>
          <w:rFonts w:ascii="Times New Roman" w:hAnsi="Times New Roman"/>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 w:hAnsi="Times New Roman"/>
          <w:b/>
          <w:sz w:val="20"/>
        </w:rPr>
        <w:t>Securities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 w:hAnsi="Times New Roman"/>
          <w:sz w:val="20"/>
          <w:u w:val="single"/>
        </w:rPr>
        <w:t>provided</w:t>
      </w:r>
      <w:r>
        <w:rPr>
          <w:rFonts w:ascii="Times New Roman" w:hAnsi="Times New Roman"/>
          <w:sz w:val="20"/>
        </w:rPr>
        <w:t xml:space="preserve"> that any increase prior to the Closing will not be effective until the 61st day after such written notice is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Upon such a change by an Investor of the Beneficial Ownership Limitation, the Beneficial Ownership Limitation may not be further amended by such Investor without first providing the minimum notice required by this </w:t>
      </w:r>
      <w:r>
        <w:rPr>
          <w:rFonts w:ascii="Times New Roman" w:hAnsi="Times New Roman"/>
          <w:sz w:val="20"/>
          <w:u w:val="single"/>
        </w:rPr>
        <w:t>Section 2.1</w:t>
      </w:r>
      <w:r>
        <w:rPr>
          <w:rFonts w:ascii="Times New Roman" w:hAnsi="Times New Roman"/>
          <w:sz w:val="20"/>
        </w:rPr>
        <w:t xml:space="preserve">. Notwithstanding anything to the contrary set forth in this Agreement, for any Investor that has provided notice to the Company that this sentence shall apply to it, (A) the Investor shall not be required to purchase Pre-Funded Warrants and (B)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9.99% of the outstanding shares of Common Stock immediately after giving effect to the Closing and the consummation of the transactions contemplated hereby, and the number of Initial Shares and the Aggregate Purchase Amount for such Investor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Effective Time, or at such other time as agreed to by the Company and the Investor Majority.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(a)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hAnsi="Times New Roman"/>
          <w:sz w:val="20"/>
          <w:u w:val="single"/>
        </w:rPr>
        <w:t>Exhibit A</w:t>
      </w:r>
      <w:r>
        <w:rPr>
          <w:rFonts w:ascii="Times New Roman" w:hAnsi="Times New Roman"/>
          <w:sz w:val="20"/>
        </w:rPr>
        <w:t xml:space="preserve"> with respect to such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 w:hAnsi="Times New Roman"/>
          <w:sz w:val="20"/>
          <w:u w:val="single"/>
        </w:rPr>
        <w:t>Exhibit A</w:t>
      </w:r>
      <w:r>
        <w:rPr>
          <w:rFonts w:ascii="Times New Roman" w:hAnsi="Times New Roman"/>
          <w:sz w:val="20"/>
        </w:rPr>
        <w:t xml:space="preserve"> up to three Business Days prior to the Closing, without the consent of the other parties hereto, to reflect the number of Securities purchased and the Aggregate Purchase Amount to be paid, in each case, by each applicable Investor, and shall provide such updated </w:t>
      </w:r>
      <w:r>
        <w:rPr>
          <w:rFonts w:ascii="Times New Roman" w:hAnsi="Times New Roman"/>
          <w:sz w:val="20"/>
          <w:u w:val="single"/>
        </w:rPr>
        <w:t>Exhibit A</w:t>
      </w:r>
      <w:r>
        <w:rPr>
          <w:rFonts w:ascii="Times New Roman" w:hAnsi="Times New Roman"/>
          <w:sz w:val="20"/>
        </w:rPr>
        <w:t xml:space="preserve"> to an Investor upon request (provided, however, for the avoidance of doubt, that the Company may not increase or decrease an Investor’s “Commitment Amount” set forth in </w:t>
      </w:r>
      <w:r>
        <w:rPr>
          <w:rFonts w:ascii="Times New Roman" w:hAnsi="Times New Roman"/>
          <w:sz w:val="20"/>
          <w:u w:val="single"/>
        </w:rPr>
        <w:t>Exhibit A</w:t>
      </w:r>
      <w:r>
        <w:rPr>
          <w:rFonts w:ascii="Times New Roman" w:hAnsi="Times New Roman"/>
          <w:sz w:val="20"/>
        </w:rPr>
        <w:t xml:space="preserve"> without the prior written consent of such Investor),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(a) duly incorporated and validly existing and in good standing under the laws of the jurisdiction of its incorporation and has the requisite power and authority to carry on its business as now conducted and to own or lease its properties and (b)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The authorized capital stock of the Company as of the date hereof consists of (a) 100,000,000 shares of Common Stock, 6,100,000 of which are issued and outstanding, and (b) 60,000,000 shares of preferred stock, par value $0.00001 per share (the “</w:t>
      </w:r>
      <w:r>
        <w:rPr>
          <w:rFonts w:ascii="Times New Roman" w:hAnsi="Times New Roman"/>
          <w:b/>
          <w:sz w:val="20"/>
        </w:rPr>
        <w:t>Preferred Stock</w:t>
      </w:r>
      <w:r>
        <w:rPr>
          <w:rFonts w:ascii="Times New Roman" w:hAnsi="Times New Roman"/>
          <w:sz w:val="20"/>
        </w:rPr>
        <w:t xml:space="preserve">”), of which (i) 35,000,000 shares have been designated Series A Preferred Stock, 30,668,708 of which are issued and outstanding, and (ii) 25,000,000 shares have been designated Series A-1 Preferred Stock, none of which are issued and outstanding. All of the issued and outstanding shares of Common Stock and Preferred Stock have been duly authorized and validly issued and are fully paid and non-assessable. None of the outstanding shares of Common Stock or Preferred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the Company is presently not under any obligation, and has not granted any rights, to register under the Securities Act any of the Company’s presently outstanding securities or any of its securities that may hereafter be issued, other than such rights and obligations that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to the extent applicable, the approval of the Board of Directors (or a committee thereof) in accordance with Section 144(a)(1) or 144(b)(1) of the Delaware General Corporation Law.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Initial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(a) violate any provision of the Certificate of Incorporation or Bylaws, (b)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(c)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(b) and (c),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w:t>
      </w:r>
      <w:r>
        <w:rPr>
          <w:rFonts w:ascii="Times New Roman" w:hAnsi="Times New Roman"/>
          <w:sz w:val="20"/>
          <w:u w:val="single"/>
        </w:rPr>
        <w:t>Section 4</w:t>
      </w:r>
      <w:r>
        <w:rPr>
          <w:rFonts w:ascii="Times New Roman" w:hAnsi="Times New Roman"/>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for the filing of any requisite notices and/or application(s) to the National Exchange for the issuance and sale of the Shares and the listing of the Shares for trading or quotation, as the case may be, thereon in the time and manner required thereby, (c) for any customary post-closing filings with the SEC or pursuant to state securities laws in connection with the offer and sale of the Shares by the Company in the manner contemplated herein, which will be filed on a timely basis, (d)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this Agreement and the discussions, negotiations and transactions related thereto, including the Merger Agreement and transactions related thereto, since the Company’s inception: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that is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to any Intellectual Property, including no liens, security interests, or other encumbrances; and (b) there is no infringement by third parties of 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in each case, which, individually or in the aggregate, have not had and would not reasonably be expected to have a Material Adverse Effect.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(b) have received all permits and other Governmental Authorizations required under applicable Environmental Laws to conduct their business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inception, any written notice or other communication (in writing or otherwise), whether from a governmental authority or other Person, that alleges that the Company or any subsidiary is not in compliance with any Environmental Law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inception, the Company has not received any notice or other communication regarding any actual or possible: (a) cancellation or invalidation of any material insurance policy or (b)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(a)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(b) each description of the results of such Studies is accurate and complete in all material respects and fairly presents the data derived from such Studies, and the Company and its subsidiaries have no knowledge of any other studies the results of would be required to be disclosed in accordance with the Exchange Act; (c)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(d) neither the Company nor any of its subsidiaries has received any notice of, or correspondence from, any of the Regulatory Agencies requiring the termination or suspension of or imposing any clinical hold on any clinical trials; and (e)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hAnsi="Times New Roman"/>
          <w:b/>
          <w:sz w:val="20"/>
        </w:rPr>
        <w:t>Health Care Laws</w:t>
      </w:r>
      <w:r>
        <w:rPr>
          <w:rFonts w:ascii="Times New Roman" w:hAnsi="Times New Roman"/>
          <w:sz w:val="20"/>
        </w:rPr>
        <w:t xml:space="preserve">”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the Federal Food, Drug, and Cosmetic Act (21 U.S.C. Section 301 et seq.) and the Public Health Service Act (42 U.S.C. Section 201 et seq.), and the regulations promulgated thereunder; (b) all applicable federal, state, local and foreign health care fraud and abuse laws, including, without limitation, the Anti-Kickback Statute (42 U.S.C. Section 1320a-7b(b)); (c) HIPAA, as amended by the Health Information Technology for Economic and Clinical Health Act (42 U.S.C. Section 17921 et seq.); (d) the Patient Protection and Affordable Care Act of 2010, as amended by the Health Care and Education Reconciliation Act of 2010; (e) the European Union (“</w:t>
      </w:r>
      <w:r>
        <w:rPr>
          <w:rFonts w:ascii="Times New Roman" w:hAnsi="Times New Roman"/>
          <w:b/>
          <w:sz w:val="20"/>
        </w:rPr>
        <w:t>EU</w:t>
      </w:r>
      <w:r>
        <w:rPr>
          <w:rFonts w:ascii="Times New Roman" w:hAnsi="Times New Roman"/>
          <w:sz w:val="20"/>
        </w:rPr>
        <w:t xml:space="preserve">”) Clinical Trials Regulation (Regulation (EU) No. 536/2014); (f) the EU Regulation regarding community procedures for authorization and supervision of medicinal products for human and veterinary use and establishing a European Medicines Agency (Regulation (EC) No. 726/2004); (g) licensure, quality, safety and accreditation requirements under applicable federal, state, local or foreign laws or regulatory bodies; (h) all other local, state, federal, national, supranational and foreign laws, relating to the regulation of the Company or its subsidiaries, and (i)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(a) integrated with the offer and sale of the Securities pursuant to this Agreement for purposes of the Securities Act or (b)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3.26</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other than as specified in the Transaction Agreements, including any agreements or understandings with any other Investor or potential investor with respect to the purchase of securities of the Company which include terms and conditions (economic or otherwise) that are more advantageous with respect to the transactions contemplated by the Transaction Agreements to any such other investor or potential investor (as compared to each Investor).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(a) a natural person’s name, street address, telephone number, e-mail address, photograph, social security number or other tax identification number, driver’s license number, passport number, credit card number or bank information; (b) information that identifies or may reasonably be used to identify an individual; (c)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(d) any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Shell Company</w:t>
      </w:r>
      <w:r>
        <w:rPr>
          <w:rFonts w:ascii="Times New Roman" w:hAnsi="Times New Roman"/>
          <w:sz w:val="20"/>
        </w:rPr>
        <w:t xml:space="preserve">. The Company is not, and has never been, an issuer that meets the description set forth under Rule 144(i)(1)(i). </w:t>
      </w:r>
    </w:p>
    <w:p>
      <w:pPr>
        <w:pStyle w:val="TextBody"/>
        <w:bidi w:val="0"/>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to the Company’s knowledge, the representations and warranties of Parent contained in Section 4 of the Merger Agreement and in any certificate or other writing delivered by Parent pursuant thereto are true and correct as though given in accordance with Section 9.1 of the Merger Agreement. </w:t>
      </w:r>
    </w:p>
    <w:p>
      <w:pPr>
        <w:pStyle w:val="TextBody"/>
        <w:bidi w:val="0"/>
        <w:spacing w:before="240" w:after="0"/>
        <w:jc w:val="left"/>
        <w:rPr>
          <w:rFonts w:ascii="Times New Roman" w:hAnsi="Times New Roman"/>
          <w:sz w:val="20"/>
        </w:rPr>
      </w:pPr>
      <w:r>
        <w:rPr>
          <w:rFonts w:ascii="Times New Roman" w:hAnsi="Times New Roman"/>
          <w:sz w:val="20"/>
        </w:rPr>
        <w:t>(c) The information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Securities Act (each a “</w:t>
      </w:r>
      <w:r>
        <w:rPr>
          <w:rFonts w:ascii="Times New Roman" w:hAnsi="Times New Roman"/>
          <w:b/>
          <w:sz w:val="20"/>
        </w:rPr>
        <w:t>Regulation M-A Filing</w:t>
      </w:r>
      <w:r>
        <w:rPr>
          <w:rFonts w:ascii="Times New Roman" w:hAnsi="Times New Roman"/>
          <w:sz w:val="20"/>
        </w:rPr>
        <w:t xml:space="preserve">”), will not, as of the time the Registration Statement or any such Regulation M-A Filing is filed with the SEC, at any time it is amended or supplemented or at the time the Registration Statement is declared effective by the SEC,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(a) any provision of the organizational documents of the Investor, including, without limitation, its incorporation or formation papers, bylaws, indenture of trust or partnership or operating agreement, as may be applicable or (b) any agreement or instrument, undertaking, credit facility, franchise, license, judgment, order, ruling, statute, law, ordinance, rule or regulations, applicable to such Investor or its respective properties or assets, except, in the case of clause (b), as would not, individually or in the aggregate, be reasonably expected to materially delay or hinder the ability of the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The Investor’s residence (if an individual) or offices in which its investment decision with respect to the Securities was made (if an entity) are located at the address immediately below the Investor’s name on </w:t>
      </w:r>
      <w:r>
        <w:rPr>
          <w:rFonts w:ascii="Times New Roman" w:hAnsi="Times New Roman"/>
          <w:sz w:val="20"/>
          <w:u w:val="single"/>
        </w:rPr>
        <w:t>Exhibit A</w:t>
      </w:r>
      <w:r>
        <w:rPr>
          <w:rFonts w:ascii="Times New Roman" w:hAnsi="Times New Roman"/>
          <w:sz w:val="20"/>
        </w:rPr>
        <w:t xml:space="preserve">, except as otherwise communicated by the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The Investor has not retained, utilized or been represented by any broker or finder in connection with the transactions contemplated by this Agreement whose fees the Company would be required to pay.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(a) as of the date of this Agreement is, if an entity, a “qualified institutional buyer” (as defined in Rule 144A under the Securities Act) or an institutional “accredited investor” as that term is defined in Rule 501(a) under Regulation D promulgated pursuant to the Securities Act; or (b)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The Investor acknowledges that the Investor (a) is a sophisticated investor, experienced in investing in private placements of equity securities and capable of evaluating investment risks independently, both in general and with regard to all transactions and investment strategies involving a security or securities and (b) has exercised independent judgment in evaluating its participation in the purchase of the Securities. The Investor acknowledges that the Investor is aware that there are substantial risks incident to the purchase and ownership of the Securities, including those set forth in Parent’s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may bear one or more legends in substantially the following form and substance: </w:t>
      </w:r>
    </w:p>
    <w:p>
      <w:pPr>
        <w:pStyle w:val="TextBody"/>
        <w:bidi w:val="0"/>
        <w:spacing w:before="24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the Investor in advance of Closing if such a legend is to be placed on its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The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the Investor solely by direct contact between Investor and the Company and/or its representatives. The Investor did not become aware of this offering of the Securities, nor were the Securities offered to the Investor, by any other means, and none of the Company and/or its representatives acted as investment advisor, broker or dealer to the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representations, warranties and covenants set forth herein. Such Investor acknowledges and agrees that the Investor and such Investor’s professional advisor(s), if any, have had the opportunity to ask such questions, receive such answers and obtain such information from the Company regarding Parent, the Company, their respective businesses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the common stock, $0.0001 par value per share, of Parent (“</w:t>
      </w:r>
      <w:r>
        <w:rPr>
          <w:rFonts w:ascii="Times New Roman" w:hAnsi="Times New Roman"/>
          <w:b/>
          <w:sz w:val="20"/>
        </w:rPr>
        <w:t>Parent Common Stock</w:t>
      </w:r>
      <w:r>
        <w:rPr>
          <w:rFonts w:ascii="Times New Roman" w:hAnsi="Times New Roman"/>
          <w:sz w:val="20"/>
        </w:rPr>
        <w:t xml:space="preserve">”) on Nasdaq and, in accordance therewith, will use reasonable best efforts to cause Parent to comply in all material respects with Parent’s reporting, filing and other obligations under the rules and regulations of Nasdaq, and (b) to obtain approval of the listing of the shares of Parent Common Stock issued in exchange for the Initial Shares and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by 9:00 a.m., New York City time, on the first Business Day immediately following the date of this Agreement (</w:t>
      </w:r>
      <w:r>
        <w:rPr>
          <w:rFonts w:ascii="Times New Roman" w:hAnsi="Times New Roman"/>
          <w:sz w:val="20"/>
          <w:u w:val="single"/>
        </w:rPr>
        <w:t>provided</w:t>
      </w:r>
      <w:r>
        <w:rPr>
          <w:rFonts w:ascii="Times New Roman" w:hAnsi="Times New Roman"/>
          <w:sz w:val="20"/>
        </w:rPr>
        <w:t xml:space="preserve"> that, if this Agreement is executed between midnight and 9:00 a.m., New York City time on any Business Day, no later than 9:01 a.m. on the date of this Agreement), issue a press release and ensure that Parent shall substantially contemporaneously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and the transactions contemplated hereby or the transactions contemplated by the Merger Agreement disclosed to the Investors prior to the Disclosure Time. Following the Disclosure Time,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the Investor, except (A) as required by the federal securities law in connection with (1) any registration statement contemplated by the Registration Rights Agreement and (2) the filing of final Transaction Agreements with the SEC or pursuant to other routine proceedings of regulatory authorities, or (B) to the extent such disclosure is required by law, at the request of the staff of the SEC or regulatory agency or under the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such Investor customary representations and other documentation reasonably acceptable to the Company in connection therewith. The Company shall be responsible for the fees of its Transfer Agent and its legal counsel associated with such legend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sz w:val="20"/>
          <w:u w:val="single"/>
        </w:rPr>
        <w:t>Section</w:t>
      </w:r>
      <w:r>
        <w:rPr>
          <w:rFonts w:ascii="Times New Roman" w:hAnsi="Times New Roman"/>
          <w:sz w:val="20"/>
        </w:rPr>
        <w:t xml:space="preserve"> 5.5(b)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Commissions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 accordance with the engagement letter relating hereto.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(1) imposes no liability or obligation on, (2) includes as an unconditional term thereof the giving of a complete, explicit and unconditional release from the party bringing such indemnified claims of all liability of the indemnified party in respect of such claim or litigation in favor of, and (3)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Reservation of Common Stock</w:t>
      </w:r>
      <w:r>
        <w:rPr>
          <w:rFonts w:ascii="Times New Roman" w:hAnsi="Times New Roman"/>
          <w:sz w:val="20"/>
        </w:rPr>
        <w:t xml:space="preserve">.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Legend Removal</w:t>
      </w:r>
      <w:r>
        <w:rPr>
          <w:rFonts w:ascii="Times New Roman" w:hAnsi="Times New Roman"/>
          <w:sz w:val="20"/>
        </w:rPr>
        <w:t xml:space="preserve">. The restrictive legends described in </w:t>
      </w:r>
      <w:r>
        <w:rPr>
          <w:rFonts w:ascii="Times New Roman" w:hAnsi="Times New Roman"/>
          <w:sz w:val="20"/>
          <w:u w:val="single"/>
        </w:rPr>
        <w:t>Section 4.10</w:t>
      </w:r>
      <w:r>
        <w:rPr>
          <w:rFonts w:ascii="Times New Roman" w:hAnsi="Times New Roman"/>
          <w:sz w:val="20"/>
        </w:rPr>
        <w:t xml:space="preserve"> shall promptly be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or a Company Material Adverse Effect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Gibson, Dunn &amp; Crutcher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6.1(k) (Registration Statement; No Stop Orders) </w:t>
      </w:r>
      <w:r>
        <w:rPr>
          <w:rFonts w:ascii="Times New Roman" w:hAnsi="Times New Roman"/>
          <w:sz w:val="20"/>
          <w:u w:val="single"/>
        </w:rPr>
        <w:t>6.1(l)</w:t>
      </w:r>
      <w:r>
        <w:rPr>
          <w:rFonts w:ascii="Times New Roman" w:hAnsi="Times New Roman"/>
          <w:sz w:val="20"/>
        </w:rPr>
        <w:t xml:space="preserve"> (Nasdaq), and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Parent Stockholder Approval</w:t>
      </w:r>
      <w:r>
        <w:rPr>
          <w:rFonts w:ascii="Times New Roman" w:hAnsi="Times New Roman"/>
          <w:sz w:val="20"/>
        </w:rPr>
        <w:t xml:space="preserve">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w:t>
      </w:r>
      <w:r>
        <w:rPr>
          <w:rFonts w:ascii="Times New Roman" w:hAnsi="Times New Roman"/>
          <w:sz w:val="20"/>
        </w:rPr>
        <w:t xml:space="preserve"> 6.2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(with respect to itself only)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By either the Company or an Investor (with respect to itself only) if the Closing has not occurred on or before March 23,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advisor of any Investor without such Investor’s prior written consent (email being sufficient).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275"/>
        <w:gridCol w:w="33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addressed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Serapha Bio, Inc.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Attention: Alice Lee, President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50" w:type="dxa"/>
        <w:jc w:val="left"/>
        <w:tblInd w:w="0" w:type="dxa"/>
        <w:tblLayout w:type="fixed"/>
        <w:tblCellMar>
          <w:top w:w="0" w:type="dxa"/>
          <w:left w:w="0" w:type="dxa"/>
          <w:bottom w:w="0" w:type="dxa"/>
          <w:right w:w="0" w:type="dxa"/>
        </w:tblCellMar>
      </w:tblPr>
      <w:tblGrid>
        <w:gridCol w:w="75"/>
        <w:gridCol w:w="260"/>
        <w:gridCol w:w="411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w:t>
      </w:r>
      <w:r>
        <w:rPr>
          <w:rFonts w:ascii="Times New Roman" w:hAnsi="Times New Roman"/>
          <w:sz w:val="20"/>
          <w:u w:val="single"/>
        </w:rPr>
        <w:t>Exhibit A</w:t>
      </w:r>
      <w:r>
        <w:rPr>
          <w:rFonts w:ascii="Times New Roman" w:hAnsi="Times New Roman"/>
          <w:sz w:val="20"/>
        </w:rPr>
        <w:t xml:space="preserve">, or such address as subsequently modified by written notice given in accordance with this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Delaware General Corporation Law, as amended or superseded from time to time,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(a) to perform all or part of its obligations under this Agreement or (b)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w:t>
      </w:r>
      <w:r>
        <w:rPr>
          <w:rFonts w:ascii="Times New Roman" w:hAnsi="Times New Roman"/>
          <w:sz w:val="20"/>
          <w:u w:val="single"/>
        </w:rPr>
        <w:t>Section 5.3</w:t>
      </w:r>
      <w:r>
        <w:rPr>
          <w:rFonts w:ascii="Times New Roman" w:hAnsi="Times New Roman"/>
          <w:sz w:val="20"/>
        </w:rPr>
        <w:t xml:space="preserve">,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Parent and/or the Company may file a form of this Agreement and the Registration Rights Agreement with the SEC as exhibits to a periodic report or a registration statement of Parent and/or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 except as expressly set forth in this Agreement. Notwithstanding the foregoing, the Indemnified Persons are intended third-party beneficiaries of </w:t>
      </w:r>
      <w:r>
        <w:rPr>
          <w:rFonts w:ascii="Times New Roman" w:hAnsi="Times New Roman"/>
          <w:sz w:val="20"/>
          <w:u w:val="single"/>
        </w:rPr>
        <w:t>Section</w:t>
      </w:r>
      <w:r>
        <w:rPr>
          <w:rFonts w:ascii="Times New Roman" w:hAnsi="Times New Roman"/>
          <w:sz w:val="20"/>
        </w:rPr>
        <w:t xml:space="preserve">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Gibson, Dunn &amp; Crutcher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344" w:type="dxa"/>
        <w:jc w:val="left"/>
        <w:tblInd w:w="0" w:type="dxa"/>
        <w:tblLayout w:type="fixed"/>
        <w:tblCellMar>
          <w:top w:w="0" w:type="dxa"/>
          <w:left w:w="0" w:type="dxa"/>
          <w:bottom w:w="0" w:type="dxa"/>
          <w:right w:w="0" w:type="dxa"/>
        </w:tblCellMar>
      </w:tblPr>
      <w:tblGrid>
        <w:gridCol w:w="761"/>
        <w:gridCol w:w="141"/>
        <w:gridCol w:w="1442"/>
      </w:tblGrid>
      <w:tr>
        <w:trPr/>
        <w:tc>
          <w:tcPr>
            <w:tcW w:w="7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b/>
              </w:rPr>
            </w:pPr>
            <w:r>
              <w:rPr>
                <w:b/>
              </w:rPr>
              <w:t>SERAPHA:</w:t>
            </w:r>
          </w:p>
        </w:tc>
      </w:tr>
      <w:tr>
        <w:trPr/>
        <w:tc>
          <w:tcPr>
            <w:tcW w:w="2344"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b/>
              </w:rPr>
            </w:pPr>
            <w:r>
              <w:rPr>
                <w:b/>
              </w:rPr>
              <w:t>SERAPHA BIO, INC.</w:t>
            </w:r>
          </w:p>
        </w:tc>
      </w:tr>
      <w:tr>
        <w:trPr/>
        <w:tc>
          <w:tcPr>
            <w:tcW w:w="761" w:type="dxa"/>
            <w:tcBorders/>
            <w:vAlign w:val="center"/>
          </w:tcPr>
          <w:p>
            <w:pPr>
              <w:pStyle w:val="TableContents"/>
              <w:bidi w:val="0"/>
              <w:spacing w:before="0" w:after="283"/>
              <w:jc w:val="left"/>
              <w:rPr>
                <w:sz w:val="4"/>
                <w:szCs w:val="4"/>
              </w:rPr>
            </w:pPr>
            <w:r>
              <w:rPr>
                <w:sz w:val="4"/>
                <w:szCs w:val="4"/>
              </w:rPr>
            </w:r>
          </w:p>
        </w:tc>
        <w:tc>
          <w:tcPr>
            <w:tcW w:w="1583" w:type="dxa"/>
            <w:gridSpan w:val="2"/>
            <w:tcBorders/>
            <w:vAlign w:val="center"/>
          </w:tcPr>
          <w:p>
            <w:pPr>
              <w:pStyle w:val="TableContents"/>
              <w:bidi w:val="0"/>
              <w:spacing w:before="0" w:after="283"/>
              <w:jc w:val="left"/>
              <w:rPr>
                <w:sz w:val="4"/>
                <w:szCs w:val="4"/>
              </w:rPr>
            </w:pPr>
            <w:r>
              <w:rPr>
                <w:sz w:val="4"/>
                <w:szCs w:val="4"/>
              </w:rPr>
            </w:r>
          </w:p>
        </w:tc>
      </w:tr>
      <w:tr>
        <w:trPr/>
        <w:tc>
          <w:tcPr>
            <w:tcW w:w="761" w:type="dxa"/>
            <w:tcBorders/>
            <w:vAlign w:val="center"/>
          </w:tcPr>
          <w:p>
            <w:pPr>
              <w:pStyle w:val="TableContents"/>
              <w:bidi w:val="0"/>
              <w:spacing w:before="0" w:after="283"/>
              <w:jc w:val="left"/>
              <w:rPr/>
            </w:pPr>
            <w:r>
              <w:rPr/>
              <w:t>By:</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144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xml:space="preserve">Name: </w:t>
            </w:r>
          </w:p>
        </w:tc>
      </w:tr>
      <w:tr>
        <w:trPr/>
        <w:tc>
          <w:tcPr>
            <w:tcW w:w="7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xml:space="preserve">Title: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3573" w:type="dxa"/>
        <w:jc w:val="left"/>
        <w:tblInd w:w="0" w:type="dxa"/>
        <w:tblLayout w:type="fixed"/>
        <w:tblCellMar>
          <w:top w:w="0" w:type="dxa"/>
          <w:left w:w="0" w:type="dxa"/>
          <w:bottom w:w="0" w:type="dxa"/>
          <w:right w:w="0" w:type="dxa"/>
        </w:tblCellMar>
      </w:tblPr>
      <w:tblGrid>
        <w:gridCol w:w="2923"/>
        <w:gridCol w:w="288"/>
        <w:gridCol w:w="362"/>
      </w:tblGrid>
      <w:tr>
        <w:trPr/>
        <w:tc>
          <w:tcPr>
            <w:tcW w:w="29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b/>
              </w:rPr>
            </w:pPr>
            <w:r>
              <w:rPr>
                <w:b/>
              </w:rPr>
              <w:t>INVESTOR:</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b/>
              </w:rPr>
            </w:pPr>
            <w:r>
              <w:rPr>
                <w:b/>
              </w:rPr>
              <w:t>[NAME]</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283"/>
              <w:jc w:val="left"/>
              <w:rPr/>
            </w:pPr>
            <w:r>
              <w:rPr/>
              <w:t>By:</w:t>
            </w:r>
          </w:p>
        </w:tc>
        <w:tc>
          <w:tcPr>
            <w:tcW w:w="288" w:type="dxa"/>
            <w:tcBorders>
              <w:bottom w:val="single" w:sz="6" w:space="0" w:color="000000"/>
            </w:tcBorders>
            <w:tcMar>
              <w:bottom w:w="28" w:type="dxa"/>
            </w:tcMar>
            <w:vAlign w:val="center"/>
          </w:tcPr>
          <w:p>
            <w:pPr>
              <w:pStyle w:val="TableContents"/>
              <w:bidi w:val="0"/>
              <w:spacing w:before="0" w:after="283"/>
              <w:jc w:val="left"/>
              <w:rPr/>
            </w:pPr>
            <w:r>
              <w:rPr/>
              <w:t> </w:t>
            </w:r>
          </w:p>
        </w:tc>
        <w:tc>
          <w:tcPr>
            <w:tcW w:w="36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283"/>
              <w:jc w:val="left"/>
              <w:rPr/>
            </w:pPr>
            <w:r>
              <w:rPr/>
              <w:t>Name:</w:t>
            </w:r>
          </w:p>
        </w:tc>
        <w:tc>
          <w:tcPr>
            <w:tcW w:w="288" w:type="dxa"/>
            <w:tcBorders>
              <w:bottom w:val="single" w:sz="6" w:space="0" w:color="000000"/>
            </w:tcBorders>
            <w:tcMar>
              <w:bottom w:w="28" w:type="dxa"/>
            </w:tcMar>
            <w:vAlign w:val="center"/>
          </w:tcPr>
          <w:p>
            <w:pPr>
              <w:pStyle w:val="TableContents"/>
              <w:bidi w:val="0"/>
              <w:spacing w:before="0" w:after="283"/>
              <w:jc w:val="left"/>
              <w:rPr/>
            </w:pPr>
            <w:r>
              <w:rPr/>
              <w:t> </w:t>
            </w:r>
          </w:p>
        </w:tc>
        <w:tc>
          <w:tcPr>
            <w:tcW w:w="36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283"/>
              <w:jc w:val="left"/>
              <w:rPr/>
            </w:pPr>
            <w:r>
              <w:rPr/>
              <w:t>Title:</w:t>
            </w:r>
          </w:p>
        </w:tc>
        <w:tc>
          <w:tcPr>
            <w:tcW w:w="288" w:type="dxa"/>
            <w:tcBorders>
              <w:bottom w:val="single" w:sz="6" w:space="0" w:color="000000"/>
            </w:tcBorders>
            <w:tcMar>
              <w:bottom w:w="28" w:type="dxa"/>
            </w:tcMar>
            <w:vAlign w:val="center"/>
          </w:tcPr>
          <w:p>
            <w:pPr>
              <w:pStyle w:val="TableContents"/>
              <w:bidi w:val="0"/>
              <w:spacing w:before="0" w:after="283"/>
              <w:jc w:val="left"/>
              <w:rPr/>
            </w:pPr>
            <w:r>
              <w:rPr/>
              <w:t> </w:t>
            </w:r>
          </w:p>
        </w:tc>
        <w:tc>
          <w:tcPr>
            <w:tcW w:w="36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pPr>
            <w:r>
              <w:rPr/>
              <w:t>Beneficial Ownership Limitation: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2" w:name="tx108148_54"/>
      <w:bookmarkStart w:id="243" w:name="ii108148_51"/>
      <w:bookmarkEnd w:id="242"/>
      <w:bookmarkEnd w:id="243"/>
      <w:r>
        <w:rPr>
          <w:rFonts w:ascii="Times New Roman" w:hAnsi="Times New Roman"/>
          <w:b/>
          <w:sz w:val="20"/>
        </w:rPr>
        <w:t xml:space="preserve">Annex K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Serapha Bio, Inc. 2026 Stock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Serapha Bio, Inc. and its stockholders by providing stock-based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Restricted Stock Units and Other Stock-Based Awards and for Incentive Bonuses, which may be paid in cash, Common Stock or a combination thereof, as determined by the Committee.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2.</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or no contest to: (A) a felony or (B) any misdemeanor involving moral turpitude, deceit, dishonesty or fraud; (iii) failure to perform in all material respects the Participant’s assigned duties and responsibilities; (iv) gross negligence or willful misconduct that results in or is reasonably anticipated to result in material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Company; (v) violation of any material provision of any agreement(s) between the Participant and the Company; or (vi) material violation of any written Company policies.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stockholders of the Company in substantially the same proportions as their ownership of the Company immediately prior to such sale.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Common Stock</w:t>
      </w:r>
      <w:r>
        <w:rPr>
          <w:rFonts w:ascii="Times New Roman" w:hAnsi="Times New Roman"/>
          <w:sz w:val="20"/>
        </w:rPr>
        <w:t xml:space="preserve">” means the common stock of the Company, $0.0001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Company</w:t>
      </w:r>
      <w:r>
        <w:rPr>
          <w:rFonts w:ascii="Times New Roman" w:hAnsi="Times New Roman"/>
          <w:sz w:val="20"/>
        </w:rPr>
        <w:t xml:space="preserve">” means Serapha Bio, Inc., a Delaware corporation, and except as utilized in the definition of Change in Control, any successor corporation.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Dividend Equivalent</w:t>
      </w:r>
      <w:r>
        <w:rPr>
          <w:rFonts w:ascii="Times New Roman" w:hAnsi="Times New Roman"/>
          <w:sz w:val="20"/>
        </w:rPr>
        <w:t xml:space="preserve">” means an amount payable in cash or Common Stock, as determined by the Committee, equal to the dividends that would have been paid to the Participant if the share of Common Stock with respect to which the Dividend Equivalent relates had been owned by the Participant.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Eligible Person</w:t>
      </w:r>
      <w:r>
        <w:rPr>
          <w:rFonts w:ascii="Times New Roman" w:hAnsi="Times New Roman"/>
          <w:sz w:val="20"/>
        </w:rPr>
        <w:t xml:space="preserve">” means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of a share of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1.409A-1(b)(5)(iv)(B)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June 22, 2026 by and among Serapha Bio, Inc., Boundless Bio, Inc., a Delaware corporation, and Boulder Merger Sub Corp., a Delaware corporation.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Option</w:t>
      </w:r>
      <w:r>
        <w:rPr>
          <w:rFonts w:ascii="Times New Roman" w:hAnsi="Times New Roman"/>
          <w:sz w:val="20"/>
        </w:rPr>
        <w:t xml:space="preserve">”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par value $0.0001 (determined on an as-converted basis without regard to any limitations on such conversion).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(z) “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Restricted Stock</w:t>
      </w:r>
      <w:r>
        <w:rPr>
          <w:rFonts w:ascii="Times New Roman" w:hAnsi="Times New Roman"/>
          <w:sz w:val="20"/>
        </w:rPr>
        <w:t xml:space="preserve">” means an Award or issuance of Common Stock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Restricted Stock Unit</w:t>
      </w:r>
      <w:r>
        <w:rPr>
          <w:rFonts w:ascii="Times New Roman" w:hAnsi="Times New Roman"/>
          <w:sz w:val="20"/>
        </w:rPr>
        <w:t xml:space="preserve">” means an Award denominated in units of Common Stock under which the issuance of shares of such Common Stock (or cash payment in lieu thereof) is subject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i/>
          <w:sz w:val="20"/>
        </w:rPr>
        <w:t>Substitute Awards</w:t>
      </w:r>
      <w:r>
        <w:rPr>
          <w:rFonts w:ascii="Times New Roman" w:hAnsi="Times New Roman"/>
          <w:sz w:val="20"/>
        </w:rPr>
        <w:t xml:space="preserve">”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b/>
              </w:rPr>
            </w:pPr>
            <w:r>
              <w:rPr>
                <w:b/>
              </w:rPr>
              <w:t>3.</w:t>
            </w:r>
          </w:p>
        </w:tc>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left"/>
              <w:rPr>
                <w:b/>
              </w:rPr>
            </w:pPr>
            <w:r>
              <w:rPr>
                <w:b/>
              </w:rPr>
              <w:t>4.</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the Closing Date (as defined in the Merger Agreement) (the “</w:t>
      </w:r>
      <w:r>
        <w:rPr>
          <w:rFonts w:ascii="Times New Roman" w:hAnsi="Times New Roman"/>
          <w:b/>
          <w:i/>
          <w:sz w:val="20"/>
        </w:rPr>
        <w:t>Effective Date</w:t>
      </w:r>
      <w:r>
        <w:rPr>
          <w:rFonts w:ascii="Times New Roman" w:hAnsi="Times New Roman"/>
          <w:sz w:val="20"/>
        </w:rPr>
        <w:t xml:space="preserve">”). The Plan shall remain available for the grant of Awards until August 26, 2036.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15"/>
        <w:gridCol w:w="3515"/>
      </w:tblGrid>
      <w:tr>
        <w:trPr/>
        <w:tc>
          <w:tcPr>
            <w:tcW w:w="215" w:type="dxa"/>
            <w:tcBorders/>
            <w:vAlign w:val="center"/>
          </w:tcPr>
          <w:p>
            <w:pPr>
              <w:pStyle w:val="TableContents"/>
              <w:bidi w:val="0"/>
              <w:spacing w:before="0" w:after="283"/>
              <w:jc w:val="left"/>
              <w:rPr>
                <w:b/>
              </w:rPr>
            </w:pPr>
            <w:r>
              <w:rPr>
                <w:b/>
              </w:rPr>
              <w:t>5.</w:t>
            </w:r>
          </w:p>
        </w:tc>
        <w:tc>
          <w:tcPr>
            <w:tcW w:w="3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Aggregate Limits</w:t>
      </w:r>
      <w:r>
        <w:rPr>
          <w:rFonts w:ascii="Times New Roman" w:hAnsi="Times New Roman"/>
          <w:sz w:val="20"/>
        </w:rPr>
        <w:t xml:space="preserve">. The aggregate number of shares of Common Stock issuable under the Plan shall be equal to (i) 12%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Common Stock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shares of Common Stock than would otherwise occur pursuant to this sentence. The aggregate number of shares of Common Stock available for grant under this Plan and the number of shares of Common Stock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shares of Common Stock issued under this Plan may be shares that are authorized and unissued or shares that were reacquired by the Company, including shares purchased in the open market or in private transactions.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Substitute Awards</w:t>
      </w:r>
      <w:r>
        <w:rPr>
          <w:rFonts w:ascii="Times New Roman" w:hAnsi="Times New Roman"/>
          <w:sz w:val="20"/>
        </w:rPr>
        <w:t xml:space="preserve">.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Times New Roman" w:hAnsi="Times New Roman"/>
          <w:i/>
          <w:sz w:val="20"/>
        </w:rPr>
        <w:t>provided, however</w:t>
      </w:r>
      <w:r>
        <w:rPr>
          <w:rFonts w:ascii="Times New Roman" w:hAnsi="Times New Roman"/>
          <w:sz w:val="20"/>
        </w:rPr>
        <w:t xml:space="preserve">, that 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or combination, and (iii) shall comply with the requirements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Tax Code Limits</w:t>
      </w:r>
      <w:r>
        <w:rPr>
          <w:rFonts w:ascii="Times New Roman" w:hAnsi="Times New Roman"/>
          <w:sz w:val="20"/>
        </w:rPr>
        <w:t xml:space="preserve">. The aggregate number of shares of Common Stock that may be issued pursuant to the exercise of Incentive Stock Options granted under this Plan shall be equal to 200,000,000,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$750,000 during any calendar year; </w:t>
      </w:r>
      <w:r>
        <w:rPr>
          <w:rFonts w:ascii="Times New Roman" w:hAnsi="Times New Roman"/>
          <w:i/>
          <w:sz w:val="20"/>
        </w:rPr>
        <w:t>provided, however</w:t>
      </w:r>
      <w:r>
        <w:rPr>
          <w:rFonts w:ascii="Times New Roman" w:hAnsi="Times New Roman"/>
          <w:sz w:val="20"/>
        </w:rPr>
        <w:t xml:space="preserve">,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283"/>
              <w:jc w:val="left"/>
              <w:rPr>
                <w:b/>
              </w:rPr>
            </w:pPr>
            <w:r>
              <w:rPr>
                <w:b/>
              </w:rPr>
              <w:t>6.</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Chief Financial Officer of the Company (or such other officer with similar authority),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12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as a result of gross negligence or willful misconduct in the performance of their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shares of Common 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215"/>
        <w:gridCol w:w="1160"/>
      </w:tblGrid>
      <w:tr>
        <w:trPr/>
        <w:tc>
          <w:tcPr>
            <w:tcW w:w="215" w:type="dxa"/>
            <w:tcBorders/>
            <w:vAlign w:val="center"/>
          </w:tcPr>
          <w:p>
            <w:pPr>
              <w:pStyle w:val="TableContents"/>
              <w:bidi w:val="0"/>
              <w:spacing w:before="0" w:after="283"/>
              <w:jc w:val="left"/>
              <w:rPr>
                <w:b/>
              </w:rPr>
            </w:pPr>
            <w:r>
              <w:rPr>
                <w:b/>
              </w:rPr>
              <w:t>7.</w:t>
            </w:r>
          </w:p>
        </w:tc>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Rights of a Stockholder</w:t>
      </w:r>
      <w:r>
        <w:rPr>
          <w:rFonts w:ascii="Times New Roman" w:hAnsi="Times New Roman"/>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No Fractional Shares</w:t>
      </w:r>
      <w:r>
        <w:rPr>
          <w:rFonts w:ascii="Times New Roman" w:hAnsi="Times New Roman"/>
          <w:sz w:val="20"/>
        </w:rPr>
        <w:t xml:space="preserve">. No fractional shares of Common Stock shall be issued pursuant to an Award or in settlement thereof. </w:t>
      </w:r>
    </w:p>
    <w:p>
      <w:pPr>
        <w:pStyle w:val="TextBody"/>
        <w:bidi w:val="0"/>
        <w:spacing w:before="0" w:after="0"/>
        <w:jc w:val="left"/>
        <w:rPr/>
      </w:pPr>
      <w:r>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b/>
              </w:rPr>
            </w:pPr>
            <w:r>
              <w:rPr>
                <w:b/>
              </w:rPr>
              <w:t>8.</w:t>
            </w:r>
          </w:p>
        </w:tc>
        <w:tc>
          <w:tcPr>
            <w:tcW w:w="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Committee, including an irrevocable commitment by a broker to pay over such amount from a sale of the shares of Common Stock issuable under an Option, the delivery of previously owned shares of Common Stock or withholding of shares of Common Stock otherwise deliverable upon exercise.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shares of Common Stock to the Company in payment of the exercise price and/or tax withholding obligation under any other employee stock option.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Option or any shares of Common Stock subject to an Option until the Participant has become the holder of record of such shares.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b/>
              </w:rPr>
            </w:pPr>
            <w:r>
              <w:rPr>
                <w:b/>
              </w:rPr>
              <w:t>9.</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deem appropriate. Stock Appreciation Rights may be settled in Common Stock, cash, Restricted Stock or a combination thereof, as determined by the Committee and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35"/>
        <w:gridCol w:w="3695"/>
      </w:tblGrid>
      <w:tr>
        <w:trPr/>
        <w:tc>
          <w:tcPr>
            <w:tcW w:w="335" w:type="dxa"/>
            <w:tcBorders/>
            <w:vAlign w:val="center"/>
          </w:tcPr>
          <w:p>
            <w:pPr>
              <w:pStyle w:val="TableContents"/>
              <w:bidi w:val="0"/>
              <w:spacing w:before="0" w:after="283"/>
              <w:jc w:val="left"/>
              <w:rPr>
                <w:b/>
              </w:rPr>
            </w:pPr>
            <w:r>
              <w:rPr>
                <w:b/>
              </w:rPr>
              <w:t>10.</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b/>
              </w:rPr>
            </w:pPr>
            <w:r>
              <w:rPr>
                <w:b/>
              </w:rPr>
              <w:t>11.</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Common Stock, other Awards, or other property, as the Committee shall determine.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Common Stock, as determined by the Committee.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may be adjusted by the Committee on the basis of such further considerations as the Committee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b/>
              </w:rPr>
            </w:pPr>
            <w:r>
              <w:rPr>
                <w:b/>
              </w:rPr>
              <w:t>13.</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shares of Common Stock,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35"/>
        <w:gridCol w:w="1805"/>
      </w:tblGrid>
      <w:tr>
        <w:trPr/>
        <w:tc>
          <w:tcPr>
            <w:tcW w:w="335" w:type="dxa"/>
            <w:tcBorders/>
            <w:vAlign w:val="center"/>
          </w:tcPr>
          <w:p>
            <w:pPr>
              <w:pStyle w:val="TableContents"/>
              <w:bidi w:val="0"/>
              <w:spacing w:before="0" w:after="283"/>
              <w:jc w:val="left"/>
              <w:rPr>
                <w:b/>
              </w:rPr>
            </w:pPr>
            <w:r>
              <w:rPr>
                <w:b/>
              </w:rPr>
              <w:t>14.</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335"/>
        <w:gridCol w:w="5330"/>
      </w:tblGrid>
      <w:tr>
        <w:trPr/>
        <w:tc>
          <w:tcPr>
            <w:tcW w:w="335" w:type="dxa"/>
            <w:tcBorders/>
            <w:vAlign w:val="center"/>
          </w:tcPr>
          <w:p>
            <w:pPr>
              <w:pStyle w:val="TableContents"/>
              <w:bidi w:val="0"/>
              <w:spacing w:before="0" w:after="283"/>
              <w:jc w:val="left"/>
              <w:rPr>
                <w:b/>
              </w:rPr>
            </w:pPr>
            <w:r>
              <w:rPr>
                <w:b/>
              </w:rPr>
              <w:t>15.</w:t>
            </w:r>
          </w:p>
        </w:tc>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283"/>
              <w:jc w:val="left"/>
              <w:rPr>
                <w:b/>
              </w:rPr>
            </w:pPr>
            <w:r>
              <w:rPr>
                <w:b/>
              </w:rPr>
              <w:t>16.</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Common Stock.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performance criteria, and other terms to reflect the foregoing events, which adjustments need not be uniform as between different Awards or different types of Awards. No fractional shares of Common Stock shall be issued or issuable pursuant to such an adjustment.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17.</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335"/>
        <w:gridCol w:w="3410"/>
      </w:tblGrid>
      <w:tr>
        <w:trPr/>
        <w:tc>
          <w:tcPr>
            <w:tcW w:w="335" w:type="dxa"/>
            <w:tcBorders/>
            <w:vAlign w:val="center"/>
          </w:tcPr>
          <w:p>
            <w:pPr>
              <w:pStyle w:val="TableContents"/>
              <w:bidi w:val="0"/>
              <w:spacing w:before="0" w:after="283"/>
              <w:jc w:val="left"/>
              <w:rPr>
                <w:b/>
              </w:rPr>
            </w:pPr>
            <w:r>
              <w:rPr>
                <w:b/>
              </w:rPr>
              <w:t>18.</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19.</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10" w:type="dxa"/>
        <w:jc w:val="left"/>
        <w:tblInd w:w="0" w:type="dxa"/>
        <w:tblLayout w:type="fixed"/>
        <w:tblCellMar>
          <w:top w:w="0" w:type="dxa"/>
          <w:left w:w="0" w:type="dxa"/>
          <w:bottom w:w="0" w:type="dxa"/>
          <w:right w:w="0" w:type="dxa"/>
        </w:tblCellMar>
      </w:tblPr>
      <w:tblGrid>
        <w:gridCol w:w="335"/>
        <w:gridCol w:w="2975"/>
      </w:tblGrid>
      <w:tr>
        <w:trPr/>
        <w:tc>
          <w:tcPr>
            <w:tcW w:w="335" w:type="dxa"/>
            <w:tcBorders/>
            <w:vAlign w:val="center"/>
          </w:tcPr>
          <w:p>
            <w:pPr>
              <w:pStyle w:val="TableContents"/>
              <w:bidi w:val="0"/>
              <w:spacing w:before="0" w:after="283"/>
              <w:jc w:val="left"/>
              <w:rPr>
                <w:b/>
              </w:rPr>
            </w:pPr>
            <w:r>
              <w:rPr>
                <w:b/>
              </w:rPr>
              <w:t>20.</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(a) increase the maximum number of shares of Common Stock for which Awards may be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24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240" w:after="0"/>
        <w:jc w:val="left"/>
        <w:rPr>
          <w:rFonts w:ascii="Times New Roman" w:hAnsi="Times New Roman"/>
          <w:sz w:val="20"/>
        </w:rPr>
      </w:pPr>
      <w:r>
        <w:rPr>
          <w:rFonts w:ascii="Times New Roman" w:hAnsi="Times New Roman"/>
          <w:sz w:val="20"/>
        </w:rPr>
        <w:t xml:space="preserve">(d) otherwise amend the Plan in any manner requiring stockholder approval by law or the rules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b/>
              </w:rPr>
            </w:pPr>
            <w:r>
              <w:rPr>
                <w:b/>
              </w:rPr>
              <w:t>21.</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335"/>
        <w:gridCol w:w="2090"/>
      </w:tblGrid>
      <w:tr>
        <w:trPr/>
        <w:tc>
          <w:tcPr>
            <w:tcW w:w="335" w:type="dxa"/>
            <w:tcBorders/>
            <w:vAlign w:val="center"/>
          </w:tcPr>
          <w:p>
            <w:pPr>
              <w:pStyle w:val="TableContents"/>
              <w:bidi w:val="0"/>
              <w:spacing w:before="0" w:after="283"/>
              <w:jc w:val="left"/>
              <w:rPr>
                <w:b/>
              </w:rPr>
            </w:pPr>
            <w:r>
              <w:rPr>
                <w:b/>
              </w:rPr>
              <w:t>22.</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23.</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Delaware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335"/>
        <w:gridCol w:w="4985"/>
      </w:tblGrid>
      <w:tr>
        <w:trPr/>
        <w:tc>
          <w:tcPr>
            <w:tcW w:w="335" w:type="dxa"/>
            <w:tcBorders/>
            <w:vAlign w:val="center"/>
          </w:tcPr>
          <w:p>
            <w:pPr>
              <w:pStyle w:val="TableContents"/>
              <w:bidi w:val="0"/>
              <w:spacing w:before="0" w:after="283"/>
              <w:jc w:val="left"/>
              <w:rPr>
                <w:b/>
              </w:rPr>
            </w:pPr>
            <w:r>
              <w:rPr>
                <w:b/>
              </w:rPr>
              <w:t>24.</w:t>
            </w:r>
          </w:p>
        </w:tc>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b/>
              </w:rPr>
            </w:pPr>
            <w:r>
              <w:rPr>
                <w:b/>
              </w:rPr>
              <w:t>25.</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26.</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27.</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335"/>
        <w:gridCol w:w="1325"/>
      </w:tblGrid>
      <w:tr>
        <w:trPr/>
        <w:tc>
          <w:tcPr>
            <w:tcW w:w="335" w:type="dxa"/>
            <w:tcBorders/>
            <w:vAlign w:val="center"/>
          </w:tcPr>
          <w:p>
            <w:pPr>
              <w:pStyle w:val="TableContents"/>
              <w:bidi w:val="0"/>
              <w:spacing w:before="0" w:after="283"/>
              <w:jc w:val="left"/>
              <w:rPr>
                <w:b/>
              </w:rPr>
            </w:pPr>
            <w:r>
              <w:rPr>
                <w:b/>
              </w:rPr>
              <w:t>28.</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335"/>
        <w:gridCol w:w="2030"/>
      </w:tblGrid>
      <w:tr>
        <w:trPr/>
        <w:tc>
          <w:tcPr>
            <w:tcW w:w="335" w:type="dxa"/>
            <w:tcBorders/>
            <w:vAlign w:val="center"/>
          </w:tcPr>
          <w:p>
            <w:pPr>
              <w:pStyle w:val="TableContents"/>
              <w:bidi w:val="0"/>
              <w:spacing w:before="0" w:after="283"/>
              <w:jc w:val="left"/>
              <w:rPr>
                <w:b/>
              </w:rPr>
            </w:pPr>
            <w:r>
              <w:rPr>
                <w:b/>
              </w:rPr>
              <w:t>29.</w:t>
            </w:r>
          </w:p>
        </w:tc>
        <w:tc>
          <w:tcPr>
            <w:tcW w:w="2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association on which the Company’s securities are listed or as is otherwise required by Rule 10D-1 under the Act or other applicable law. 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b/>
              </w:rPr>
            </w:pPr>
            <w:r>
              <w:rPr>
                <w:b/>
              </w:rPr>
              <w:t>30.</w:t>
            </w:r>
          </w:p>
        </w:tc>
        <w:tc>
          <w:tcPr>
            <w:tcW w:w="2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31.</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4" w:name="tx108148_55"/>
      <w:bookmarkStart w:id="245" w:name="ii108148_61"/>
      <w:bookmarkEnd w:id="244"/>
      <w:bookmarkEnd w:id="245"/>
      <w:r>
        <w:rPr>
          <w:rFonts w:ascii="Times New Roman" w:hAnsi="Times New Roman"/>
          <w:b/>
          <w:sz w:val="20"/>
        </w:rPr>
        <w:t xml:space="preserve">Annex L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Serapha Bio,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283"/>
              <w:jc w:val="left"/>
              <w:rPr>
                <w:b/>
              </w:rPr>
            </w:pPr>
            <w:r>
              <w:rPr>
                <w:b/>
              </w:rPr>
              <w:t>2.</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Common Stock</w:t>
      </w:r>
      <w:r>
        <w:rPr>
          <w:rFonts w:ascii="Times New Roman" w:hAnsi="Times New Roman"/>
          <w:sz w:val="20"/>
        </w:rPr>
        <w:t xml:space="preserve">” means the common stock of the Company, $0.0001 par value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Company</w:t>
      </w:r>
      <w:r>
        <w:rPr>
          <w:rFonts w:ascii="Times New Roman" w:hAnsi="Times New Roman"/>
          <w:sz w:val="20"/>
        </w:rPr>
        <w:t xml:space="preserve">” means Serapha Bio, Inc., a Delaware corporation, and any successor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Effective Date, the Designated Subsidiaries consist exclusively of .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Effective Date</w:t>
      </w:r>
      <w:r>
        <w:rPr>
          <w:rFonts w:ascii="Times New Roman" w:hAnsi="Times New Roman"/>
          <w:sz w:val="20"/>
        </w:rPr>
        <w:t xml:space="preserve">” means the Closing Date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calendar year.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June 22, 2026, by and among Serapha Bio, Inc., Boundless Bio, Inc., a Delaware corporation, and Boulder Merger Sub Corp., a Delaware corporation.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The first Offering Period shall commence on a date established by the Administrator and end on the next June 8 or December 8 that follows the Effective Date, and subsequent Offering Periods shall be each six-month period commencing the day after the prior Offering Period ends and ending on each June 8 and December 8.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par value $0.0001 per share (determined on an as-converted basis without regard to any limitations 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Period</w:t>
      </w:r>
      <w:r>
        <w:rPr>
          <w:rFonts w:ascii="Times New Roman" w:hAnsi="Times New Roman"/>
          <w:sz w:val="20"/>
        </w:rPr>
        <w:t xml:space="preserve">” means the period during an Offering Period during which shares of Common Stock may be purchased on a Participant’s behalf in accordance with the terms of the Plan, as established by the Administrator. Unless the Administrator determines otherwise, during the first Offering Period, the Purchase Period will begin on the first date of such Offering Period and end on the last day of such Offering Period, and subsequent Purchase Periods shall be each six-month period commencing thereafter. Unless the Administrator determines otherwise, each Purchase Period following the first Purchase Period will be a six-month period.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Purchase Price</w:t>
      </w:r>
      <w:r>
        <w:rPr>
          <w:rFonts w:ascii="Times New Roman" w:hAnsi="Times New Roman"/>
          <w:sz w:val="20"/>
        </w:rPr>
        <w:t xml:space="preserve">” means an amount equal to 85% of the Fair Market Value of a share of Common Stock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Trading Day</w:t>
      </w:r>
      <w:r>
        <w:rPr>
          <w:rFonts w:ascii="Times New Roman" w:hAnsi="Times New Roman"/>
          <w:sz w:val="20"/>
        </w:rPr>
        <w:t xml:space="preserve">” means a day on which the national stock exchange upon which the Common Stock is listed is open for trading or, if the Common Stock is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3.</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 at a rate that exceeds $25,000 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b/>
              </w:rPr>
            </w:pPr>
            <w:r>
              <w:rPr>
                <w:b/>
              </w:rPr>
              <w:t>4.</w:t>
            </w:r>
          </w:p>
        </w:tc>
        <w:tc>
          <w:tcPr>
            <w:tcW w:w="1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b/>
              </w:rPr>
            </w:pPr>
            <w:r>
              <w:rPr>
                <w:b/>
              </w:rPr>
              <w:t>5.</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b/>
              </w:rPr>
            </w:pPr>
            <w:r>
              <w:rPr>
                <w:b/>
              </w:rPr>
              <w:t>6.</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that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rPr>
            </w:pPr>
            <w:r>
              <w:rPr>
                <w:b/>
              </w:rPr>
              <w:t>7.</w:t>
            </w:r>
          </w:p>
        </w:tc>
        <w:tc>
          <w:tcPr>
            <w:tcW w:w="1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shares of Common Stock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shares of Common Stock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b/>
              </w:rPr>
            </w:pPr>
            <w:r>
              <w:rPr>
                <w:b/>
              </w:rPr>
              <w:t>8.</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240" w:after="0"/>
        <w:jc w:val="left"/>
        <w:rPr>
          <w:rFonts w:ascii="Times New Roman" w:hAnsi="Times New Roman"/>
          <w:sz w:val="20"/>
        </w:rPr>
      </w:pPr>
      <w:r>
        <w:rPr>
          <w:rFonts w:ascii="Times New Roman" w:hAnsi="Times New Roman"/>
          <w:sz w:val="20"/>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b/>
              </w:rPr>
            </w:pPr>
            <w:r>
              <w:rPr>
                <w:b/>
              </w:rPr>
              <w:t>9.</w:t>
            </w:r>
          </w:p>
        </w:tc>
        <w:tc>
          <w:tcPr>
            <w:tcW w:w="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b/>
              </w:rPr>
            </w:pPr>
            <w:r>
              <w:rPr>
                <w:b/>
              </w:rPr>
              <w:t>10.</w:t>
            </w:r>
          </w:p>
        </w:tc>
        <w:tc>
          <w:tcPr>
            <w:tcW w:w="1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b/>
              </w:rPr>
            </w:pPr>
            <w:r>
              <w:rPr>
                <w:b/>
              </w:rPr>
              <w:t>11.</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35"/>
        <w:gridCol w:w="725"/>
      </w:tblGrid>
      <w:tr>
        <w:trPr/>
        <w:tc>
          <w:tcPr>
            <w:tcW w:w="335" w:type="dxa"/>
            <w:tcBorders/>
            <w:vAlign w:val="center"/>
          </w:tcPr>
          <w:p>
            <w:pPr>
              <w:pStyle w:val="TableContents"/>
              <w:bidi w:val="0"/>
              <w:spacing w:before="0" w:after="283"/>
              <w:jc w:val="left"/>
              <w:rPr>
                <w:b/>
              </w:rPr>
            </w:pPr>
            <w:r>
              <w:rPr>
                <w:b/>
              </w:rPr>
              <w:t>12.</w:t>
            </w:r>
          </w:p>
        </w:tc>
        <w:tc>
          <w:tcPr>
            <w:tcW w:w="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such interest shall apply to all Participants in the relevant Offering except to the extent otherwise permitted by Treasury Regulation Section 1.423-2(f). </w:t>
      </w:r>
    </w:p>
    <w:p>
      <w:pPr>
        <w:pStyle w:val="TextBody"/>
        <w:bidi w:val="0"/>
        <w:spacing w:before="0" w:after="0"/>
        <w:jc w:val="left"/>
        <w:rPr/>
      </w:pPr>
      <w:r>
        <w:rPr/>
        <w:t> </w:t>
      </w:r>
    </w:p>
    <w:tbl>
      <w:tblPr>
        <w:tblW w:w="880" w:type="dxa"/>
        <w:jc w:val="left"/>
        <w:tblInd w:w="0" w:type="dxa"/>
        <w:tblLayout w:type="fixed"/>
        <w:tblCellMar>
          <w:top w:w="0" w:type="dxa"/>
          <w:left w:w="0" w:type="dxa"/>
          <w:bottom w:w="0" w:type="dxa"/>
          <w:right w:w="0" w:type="dxa"/>
        </w:tblCellMar>
      </w:tblPr>
      <w:tblGrid>
        <w:gridCol w:w="335"/>
        <w:gridCol w:w="545"/>
      </w:tblGrid>
      <w:tr>
        <w:trPr/>
        <w:tc>
          <w:tcPr>
            <w:tcW w:w="335" w:type="dxa"/>
            <w:tcBorders/>
            <w:vAlign w:val="center"/>
          </w:tcPr>
          <w:p>
            <w:pPr>
              <w:pStyle w:val="TableContents"/>
              <w:bidi w:val="0"/>
              <w:spacing w:before="0" w:after="283"/>
              <w:jc w:val="left"/>
              <w:rPr>
                <w:b/>
              </w:rPr>
            </w:pPr>
            <w:r>
              <w:rPr>
                <w:b/>
              </w:rPr>
              <w:t>13.</w:t>
            </w:r>
          </w:p>
        </w:tc>
        <w:tc>
          <w:tcPr>
            <w:tcW w:w="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Section 18 hereof, the maximum number of shares of Common Stock that will be made available for sale under the Plan shall be equal to (i) a number equal to the lesser of (x) 7,500,000 or (y) 1% of the total number of shares of Outstanding Common Stock immediately following the closing of the transactions set forth in the Merger Agreement, plus (ii) any shares of Common Stock added as a result of the following sentence (collectively, the “Share Pool”). The Share Pool will automatically increase on January 1 of each year beginning in 2027 and ending with a final increase on January 1, 2036, in an amount equal to the lesser of (x) 8,000,000 or (y) 1% of the Outstanding Common Stock on the preceding December 31; provided, however, that the Administrator may provide that there will be no January 1 increase in the Share Pool for any such year or that the increase in the Share Pool for any such year will be a smaller number of shares of Common Stock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(c) Shares of Common Stock to be delivered to a Participant under the Plan will be registered in the name of the Participant or in the name of the Participant and his or her spouse.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283"/>
              <w:jc w:val="left"/>
              <w:rPr>
                <w:b/>
              </w:rPr>
            </w:pPr>
            <w:r>
              <w:rPr>
                <w:b/>
              </w:rPr>
              <w:t>14.</w:t>
            </w:r>
          </w:p>
        </w:tc>
        <w:tc>
          <w:tcPr>
            <w:tcW w:w="1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Chief Financial Officer (or such other officer with similar authority), and to his or her delegates or designees,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35"/>
        <w:gridCol w:w="2330"/>
      </w:tblGrid>
      <w:tr>
        <w:trPr/>
        <w:tc>
          <w:tcPr>
            <w:tcW w:w="335" w:type="dxa"/>
            <w:tcBorders/>
            <w:vAlign w:val="center"/>
          </w:tcPr>
          <w:p>
            <w:pPr>
              <w:pStyle w:val="TableContents"/>
              <w:bidi w:val="0"/>
              <w:spacing w:before="0" w:after="283"/>
              <w:jc w:val="left"/>
              <w:rPr>
                <w:b/>
              </w:rPr>
            </w:pPr>
            <w:r>
              <w:rPr>
                <w:b/>
              </w:rPr>
              <w:t>15.</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16.</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17.</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shares of Common Stock are issued, Participants will only have the rights of an unsecured creditor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05" w:type="dxa"/>
        <w:jc w:val="left"/>
        <w:tblInd w:w="0" w:type="dxa"/>
        <w:tblLayout w:type="fixed"/>
        <w:tblCellMar>
          <w:top w:w="0" w:type="dxa"/>
          <w:left w:w="0" w:type="dxa"/>
          <w:bottom w:w="0" w:type="dxa"/>
          <w:right w:w="0" w:type="dxa"/>
        </w:tblCellMar>
      </w:tblPr>
      <w:tblGrid>
        <w:gridCol w:w="335"/>
        <w:gridCol w:w="6770"/>
      </w:tblGrid>
      <w:tr>
        <w:trPr/>
        <w:tc>
          <w:tcPr>
            <w:tcW w:w="335" w:type="dxa"/>
            <w:tcBorders/>
            <w:vAlign w:val="center"/>
          </w:tcPr>
          <w:p>
            <w:pPr>
              <w:pStyle w:val="TableContents"/>
              <w:bidi w:val="0"/>
              <w:spacing w:before="0" w:after="283"/>
              <w:jc w:val="left"/>
              <w:rPr>
                <w:b/>
              </w:rPr>
            </w:pPr>
            <w:r>
              <w:rPr>
                <w:b/>
              </w:rPr>
              <w:t>18.</w:t>
            </w:r>
          </w:p>
        </w:tc>
        <w:tc>
          <w:tcPr>
            <w:tcW w:w="6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335"/>
        <w:gridCol w:w="2465"/>
      </w:tblGrid>
      <w:tr>
        <w:trPr/>
        <w:tc>
          <w:tcPr>
            <w:tcW w:w="335" w:type="dxa"/>
            <w:tcBorders/>
            <w:vAlign w:val="center"/>
          </w:tcPr>
          <w:p>
            <w:pPr>
              <w:pStyle w:val="TableContents"/>
              <w:bidi w:val="0"/>
              <w:spacing w:before="0" w:after="283"/>
              <w:jc w:val="left"/>
              <w:rPr>
                <w:b/>
              </w:rPr>
            </w:pPr>
            <w:r>
              <w:rPr>
                <w:b/>
              </w:rPr>
              <w:t>19.</w:t>
            </w:r>
          </w:p>
        </w:tc>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shares of Common Stock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335"/>
        <w:gridCol w:w="695"/>
      </w:tblGrid>
      <w:tr>
        <w:trPr/>
        <w:tc>
          <w:tcPr>
            <w:tcW w:w="335" w:type="dxa"/>
            <w:tcBorders/>
            <w:vAlign w:val="center"/>
          </w:tcPr>
          <w:p>
            <w:pPr>
              <w:pStyle w:val="TableContents"/>
              <w:bidi w:val="0"/>
              <w:spacing w:before="0" w:after="283"/>
              <w:jc w:val="left"/>
              <w:rPr>
                <w:b/>
              </w:rPr>
            </w:pPr>
            <w:r>
              <w:rPr>
                <w:b/>
              </w:rPr>
              <w:t>20.</w:t>
            </w:r>
          </w:p>
        </w:tc>
        <w:tc>
          <w:tcPr>
            <w:tcW w:w="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21.</w:t>
            </w:r>
          </w:p>
        </w:tc>
        <w:tc>
          <w:tcPr>
            <w:tcW w:w="3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(a) Shares of Common Stock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35"/>
        <w:gridCol w:w="1205"/>
      </w:tblGrid>
      <w:tr>
        <w:trPr/>
        <w:tc>
          <w:tcPr>
            <w:tcW w:w="335" w:type="dxa"/>
            <w:tcBorders/>
            <w:vAlign w:val="center"/>
          </w:tcPr>
          <w:p>
            <w:pPr>
              <w:pStyle w:val="TableContents"/>
              <w:bidi w:val="0"/>
              <w:spacing w:before="0" w:after="283"/>
              <w:jc w:val="left"/>
              <w:rPr>
                <w:b/>
              </w:rPr>
            </w:pPr>
            <w:r>
              <w:rPr>
                <w:b/>
              </w:rPr>
              <w:t>22.</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23.</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stockholders of the Company within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24.</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Delaware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25.</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26.</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4070"/>
        <w:gridCol w:w="120"/>
        <w:gridCol w:w="4835"/>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u w:val="single"/>
              </w:rPr>
              <w:t>   </w:t>
            </w:r>
            <w:r>
              <w:rPr/>
              <w:t xml:space="preserve"> </w:t>
            </w:r>
            <w:r>
              <w:rPr/>
              <w:t>Original Application</w:t>
            </w:r>
          </w:p>
        </w:tc>
        <w:tc>
          <w:tcPr>
            <w:tcW w:w="12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xml:space="preserve">Offering Date: </w:t>
            </w:r>
            <w:r>
              <w:rPr>
                <w:u w:val="single"/>
              </w:rPr>
              <w:t>              </w:t>
            </w:r>
          </w:p>
        </w:tc>
      </w:tr>
      <w:tr>
        <w:trPr/>
        <w:tc>
          <w:tcPr>
            <w:tcW w:w="4070" w:type="dxa"/>
            <w:tcBorders/>
            <w:vAlign w:val="center"/>
          </w:tcPr>
          <w:p>
            <w:pPr>
              <w:pStyle w:val="TableContents"/>
              <w:bidi w:val="0"/>
              <w:spacing w:before="0" w:after="283"/>
              <w:jc w:val="left"/>
              <w:rPr/>
            </w:pPr>
            <w:r>
              <w:rPr>
                <w:u w:val="single"/>
              </w:rPr>
              <w:t>   </w:t>
            </w:r>
            <w:r>
              <w:rPr/>
              <w:t xml:space="preserve"> </w:t>
            </w:r>
            <w:r>
              <w:rPr/>
              <w:t>Change in Payroll Deduction Rate</w:t>
            </w:r>
          </w:p>
        </w:tc>
        <w:tc>
          <w:tcPr>
            <w:tcW w:w="12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 xml:space="preserve">              </w:t>
      </w:r>
      <w:r>
        <w:rPr>
          <w:rFonts w:ascii="Times New Roman" w:hAnsi="Times New Roman"/>
          <w:sz w:val="20"/>
        </w:rPr>
        <w:t xml:space="preserve"> hereby elects to participate in the Serapha Bio,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Common Stock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w:t>
      </w:r>
      <w:r>
        <w:rPr>
          <w:rFonts w:ascii="Times New Roman" w:hAnsi="Times New Roman"/>
          <w:sz w:val="20"/>
          <w:u w:val="single"/>
        </w:rPr>
        <w:t>   </w:t>
      </w:r>
      <w:r>
        <w:rPr>
          <w:rFonts w:ascii="Times New Roman" w:hAnsi="Times New Roman"/>
          <w:sz w:val="20"/>
        </w:rPr>
        <w:t xml:space="preserve">% of my Compensation on each pay 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Common Stock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5. Shares of Common Stock purchased for me under the Plan should be issued in the name(s) of </w:t>
      </w:r>
      <w:r>
        <w:rPr>
          <w:rFonts w:ascii="Times New Roman" w:hAnsi="Times New Roman"/>
          <w:sz w:val="20"/>
          <w:u w:val="single"/>
        </w:rPr>
        <w:t>            </w:t>
      </w:r>
      <w:r>
        <w:rPr>
          <w:rFonts w:ascii="Times New Roman" w:hAnsi="Times New Roman"/>
          <w:sz w:val="20"/>
        </w:rPr>
        <w:t xml:space="preserve">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holding period,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615" w:type="dxa"/>
        <w:jc w:val="left"/>
        <w:tblInd w:w="0" w:type="dxa"/>
        <w:tblLayout w:type="fixed"/>
        <w:tblCellMar>
          <w:top w:w="0" w:type="dxa"/>
          <w:left w:w="0" w:type="dxa"/>
          <w:bottom w:w="0" w:type="dxa"/>
          <w:right w:w="0" w:type="dxa"/>
        </w:tblCellMar>
      </w:tblPr>
      <w:tblGrid>
        <w:gridCol w:w="2480"/>
        <w:gridCol w:w="60"/>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4595"/>
        <w:gridCol w:w="60"/>
        <w:gridCol w:w="455"/>
        <w:gridCol w:w="60"/>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0"/>
              <w:jc w:val="left"/>
              <w:rPr>
                <w:u w:val="single"/>
              </w:rPr>
            </w:pPr>
            <w:r>
              <w:rPr>
                <w:u w:val="singl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Date: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Participant in the Offering Period of the Serapha Bio, Inc. 2026 Employee Stock Purchase Plan that began on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1940" w:type="dxa"/>
        <w:jc w:val="left"/>
        <w:tblInd w:w="0" w:type="dxa"/>
        <w:tblLayout w:type="fixed"/>
        <w:tblCellMar>
          <w:top w:w="0" w:type="dxa"/>
          <w:left w:w="0" w:type="dxa"/>
          <w:bottom w:w="0" w:type="dxa"/>
          <w:right w:w="0" w:type="dxa"/>
        </w:tblCellMar>
      </w:tblPr>
      <w:tblGrid>
        <w:gridCol w:w="1805"/>
        <w:gridCol w:w="6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Address: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935"/>
        <w:gridCol w:w="120"/>
        <w:gridCol w:w="455"/>
        <w:gridCol w:w="120"/>
        <w:gridCol w:w="7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pBdr>
                <w:bottom w:val="single" w:sz="2" w:space="1" w:color="000000"/>
              </w:pBdr>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Date:</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935" w:type="dxa"/>
            <w:tcBorders/>
            <w:vAlign w:val="center"/>
          </w:tcPr>
          <w:p>
            <w:pPr>
              <w:pStyle w:val="TableContents"/>
              <w:bidi w:val="0"/>
              <w:spacing w:before="0" w:after="283"/>
              <w:jc w:val="left"/>
              <w:rPr/>
            </w:pPr>
            <w:r>
              <w:rPr/>
              <w:t>Signature</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w:t>
      </w:r>
    </w:p>
    <w:p>
      <w:pPr>
        <w:pStyle w:val="TextBody"/>
        <w:bidi w:val="0"/>
        <w:spacing w:before="120" w:after="0"/>
        <w:jc w:val="left"/>
        <w:rPr>
          <w:rFonts w:ascii="Times New Roman" w:hAnsi="Times New Roman"/>
          <w:sz w:val="20"/>
        </w:rPr>
      </w:pPr>
      <w:r>
        <w:rPr>
          <w:rFonts w:ascii="Times New Roman" w:hAnsi="Times New Roman"/>
          <w:sz w:val="20"/>
        </w:rPr>
        <w:t xml:space="preserve">Boundless Bio and Serapha are corporations under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not in good faith or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 intentional misconduct or a knowing violation of law, (iii) in the case of a director, under Section 174 of the DGCL, (iv) for any transaction from which the director or officer derived an improper personal benefit, or (v) in the case of an officer, in any action by or in the right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Boundless Bio </w:t>
      </w:r>
    </w:p>
    <w:p>
      <w:pPr>
        <w:pStyle w:val="TextBody"/>
        <w:bidi w:val="0"/>
        <w:spacing w:before="120" w:after="0"/>
        <w:jc w:val="left"/>
        <w:rPr>
          <w:rFonts w:ascii="Times New Roman" w:hAnsi="Times New Roman"/>
          <w:sz w:val="20"/>
        </w:rPr>
      </w:pPr>
      <w:r>
        <w:rPr>
          <w:rFonts w:ascii="Times New Roman" w:hAnsi="Times New Roman"/>
          <w:sz w:val="20"/>
        </w:rPr>
        <w:t xml:space="preserve">The Boundless Bio Charter contains provisions that eliminate, to the maximum extent permitted by the DGCL, the personal liability of directors and officers for monetary damages for breach of fiduciary duty as a director or officer. The Boundless Bio Charter provides that Boundless Bio shall have the power to provide rights to indemnification and advancement of expenses to its current and former officers, directors, employees and agents, and the Boundless Bio Bylaws provide that Boundless Bio shall indemnify its directors and officers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Boundless Bio has entered into indemnification agreements with its directors and executive officers, in addition to the indemnification provided for in the Boundless Bio Charter and the Boundless Bio Bylaws, and it intends to enter into indemnification agreements with any new directors and executive officers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Boundless Bio maintains directors’ and officers’ liability insurance for the benefit of its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Serapha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law, a director or officer of Serapha shall not be personally liable to Serapha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Serapha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Serapha has entered into an indemnification agreement with each of its directors and officers and will purchase directors’ and officers’ liability insurance. The indemnification agreements require Serapha to indemnify its directors and officers to the fullest extent permitted under Delaware law. </w:t>
      </w:r>
    </w:p>
    <w:p>
      <w:pPr>
        <w:pStyle w:val="TextBody"/>
        <w:bidi w:val="0"/>
        <w:spacing w:before="24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240" w:after="0"/>
        <w:jc w:val="left"/>
        <w:rPr>
          <w:rFonts w:ascii="Times New Roman" w:hAnsi="Times New Roman"/>
          <w:sz w:val="20"/>
        </w:rPr>
      </w:pPr>
      <w:r>
        <w:rPr>
          <w:rFonts w:ascii="Times New Roman" w:hAnsi="Times New Roman"/>
          <w:sz w:val="20"/>
        </w:rPr>
        <w:t xml:space="preserve">(1) Exhibit Index </w:t>
      </w:r>
    </w:p>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(2)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are incorporated herein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120" w:after="0"/>
        <w:jc w:val="left"/>
        <w:rPr>
          <w:rFonts w:ascii="Times New Roman" w:hAnsi="Times New Roman"/>
          <w:sz w:val="20"/>
        </w:rPr>
      </w:pPr>
      <w:r>
        <w:rPr>
          <w:rFonts w:ascii="Times New Roman" w:hAnsi="Times New Roman"/>
          <w:sz w:val="20"/>
        </w:rPr>
        <w:t xml:space="preserve">(e)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registrant hereby undertakes that, for purposes of determining any liability under the Securities Act, each filing of the registrant’s annual report pursuant to Section 13(a) or Section 15(d)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p>
    <w:p>
      <w:pPr>
        <w:pStyle w:val="TextBody"/>
        <w:bidi w:val="0"/>
        <w:spacing w:before="120" w:after="0"/>
        <w:jc w:val="left"/>
        <w:rPr>
          <w:rFonts w:ascii="Times New Roman" w:hAnsi="Times New Roman"/>
          <w:sz w:val="20"/>
        </w:rPr>
      </w:pPr>
      <w:r>
        <w:rPr>
          <w:rFonts w:ascii="Times New Roman" w:hAnsi="Times New Roman"/>
          <w:sz w:val="20"/>
        </w:rPr>
        <w:t xml:space="preserve">(i)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120" w:after="0"/>
        <w:jc w:val="left"/>
        <w:rPr>
          <w:rFonts w:ascii="Times New Roman" w:hAnsi="Times New Roman"/>
          <w:sz w:val="20"/>
        </w:rPr>
      </w:pPr>
      <w:r>
        <w:rPr>
          <w:rFonts w:ascii="Times New Roman" w:hAnsi="Times New Roman"/>
          <w:sz w:val="20"/>
        </w:rPr>
        <w:t xml:space="preserve">(ii) The registrant undertakes that every prospectus (i) that is filed pursuant to paragraph (3)(i)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(4)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(5) 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2"/>
        <w:gridCol w:w="60"/>
        <w:gridCol w:w="9373"/>
      </w:tblGrid>
      <w:tr>
        <w:trPr/>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77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60" w:type="dxa"/>
            <w:tcBorders/>
            <w:vAlign w:val="center"/>
          </w:tcPr>
          <w:p>
            <w:pPr>
              <w:pStyle w:val="TableContents"/>
              <w:bidi w:val="0"/>
              <w:spacing w:before="0" w:after="283"/>
              <w:jc w:val="left"/>
              <w:rPr/>
            </w:pPr>
            <w:r>
              <w:rPr/>
              <w:t> </w:t>
            </w:r>
          </w:p>
        </w:tc>
        <w:tc>
          <w:tcPr>
            <w:tcW w:w="937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72" w:type="dxa"/>
            <w:tcBorders/>
            <w:vAlign w:val="center"/>
          </w:tcPr>
          <w:p>
            <w:pPr>
              <w:pStyle w:val="TableContents"/>
              <w:bidi w:val="0"/>
              <w:spacing w:before="0" w:after="283"/>
              <w:jc w:val="left"/>
              <w:rPr>
                <w:sz w:val="4"/>
                <w:szCs w:val="4"/>
              </w:rPr>
            </w:pPr>
            <w:r>
              <w:rPr>
                <w:sz w:val="4"/>
                <w:szCs w:val="4"/>
              </w:rPr>
            </w:r>
          </w:p>
        </w:tc>
        <w:tc>
          <w:tcPr>
            <w:tcW w:w="9433"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center"/>
          </w:tcPr>
          <w:p>
            <w:pPr>
              <w:pStyle w:val="TableContents"/>
              <w:bidi w:val="0"/>
              <w:spacing w:before="0" w:after="283"/>
              <w:jc w:val="left"/>
              <w:rPr/>
            </w:pPr>
            <w:r>
              <w:rPr/>
              <w:t>  </w:t>
            </w:r>
            <w:r>
              <w:rPr/>
              <w:t>2.1(a)†*</w:t>
            </w:r>
          </w:p>
        </w:tc>
        <w:tc>
          <w:tcPr>
            <w:tcW w:w="60" w:type="dxa"/>
            <w:tcBorders/>
            <w:vAlign w:val="center"/>
          </w:tcPr>
          <w:p>
            <w:pPr>
              <w:pStyle w:val="TableContents"/>
              <w:bidi w:val="0"/>
              <w:spacing w:before="0" w:after="283"/>
              <w:jc w:val="left"/>
              <w:rPr/>
            </w:pPr>
            <w:r>
              <w:rPr/>
              <w:t> </w:t>
            </w:r>
          </w:p>
        </w:tc>
        <w:tc>
          <w:tcPr>
            <w:tcW w:w="9373" w:type="dxa"/>
            <w:tcBorders/>
            <w:vAlign w:val="center"/>
          </w:tcPr>
          <w:p>
            <w:pPr>
              <w:pStyle w:val="TableContents"/>
              <w:bidi w:val="0"/>
              <w:spacing w:before="0" w:after="283"/>
              <w:jc w:val="left"/>
              <w:rPr/>
            </w:pPr>
            <w:hyperlink w:anchor="annexacov">
              <w:r>
                <w:rPr>
                  <w:rStyle w:val="InternetLink"/>
                </w:rPr>
                <w:t xml:space="preserve">Agreement and Plan of Merger and Reorganization, dated June 22, 2026, by and among Boundless Bio, Inc., Boulder Merger Sub Corp., and Serapha Bio, Inc. (included as </w:t>
              </w:r>
            </w:hyperlink>
            <w:hyperlink w:anchor="annexacov">
              <w:r>
                <w:rPr>
                  <w:rStyle w:val="InternetLink"/>
                  <w:i/>
                </w:rPr>
                <w:t>Annex A</w:t>
              </w:r>
            </w:hyperlink>
            <w:hyperlink w:anchor="annexacov">
              <w:r>
                <w:rPr>
                  <w:rStyle w:val="InternetLink"/>
                </w:rPr>
                <w:t xml:space="preserve"> to the accompanying proxy statement/prospectus and incorporated herein by reference). </w:t>
              </w:r>
            </w:hyperlink>
          </w:p>
        </w:tc>
      </w:tr>
      <w:tr>
        <w:trPr/>
        <w:tc>
          <w:tcPr>
            <w:tcW w:w="772" w:type="dxa"/>
            <w:tcBorders/>
            <w:vAlign w:val="center"/>
          </w:tcPr>
          <w:p>
            <w:pPr>
              <w:pStyle w:val="TableContents"/>
              <w:bidi w:val="0"/>
              <w:spacing w:before="0" w:after="283"/>
              <w:jc w:val="left"/>
              <w:rPr>
                <w:sz w:val="4"/>
                <w:szCs w:val="4"/>
              </w:rPr>
            </w:pPr>
            <w:r>
              <w:rPr>
                <w:sz w:val="4"/>
                <w:szCs w:val="4"/>
              </w:rPr>
            </w:r>
          </w:p>
        </w:tc>
        <w:tc>
          <w:tcPr>
            <w:tcW w:w="9433"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center"/>
          </w:tcPr>
          <w:p>
            <w:pPr>
              <w:pStyle w:val="TableContents"/>
              <w:bidi w:val="0"/>
              <w:spacing w:before="0" w:after="283"/>
              <w:jc w:val="left"/>
              <w:rPr/>
            </w:pPr>
            <w:r>
              <w:rPr/>
              <w:t>  </w:t>
            </w:r>
            <w:r>
              <w:rPr/>
              <w:t>2.1(b)*</w:t>
            </w:r>
          </w:p>
        </w:tc>
        <w:tc>
          <w:tcPr>
            <w:tcW w:w="60" w:type="dxa"/>
            <w:tcBorders/>
            <w:vAlign w:val="center"/>
          </w:tcPr>
          <w:p>
            <w:pPr>
              <w:pStyle w:val="TableContents"/>
              <w:bidi w:val="0"/>
              <w:spacing w:before="0" w:after="283"/>
              <w:jc w:val="left"/>
              <w:rPr/>
            </w:pPr>
            <w:r>
              <w:rPr/>
              <w:t> </w:t>
            </w:r>
          </w:p>
        </w:tc>
        <w:tc>
          <w:tcPr>
            <w:tcW w:w="9373" w:type="dxa"/>
            <w:tcBorders/>
            <w:vAlign w:val="center"/>
          </w:tcPr>
          <w:p>
            <w:pPr>
              <w:pStyle w:val="TableContents"/>
              <w:bidi w:val="0"/>
              <w:spacing w:before="0" w:after="283"/>
              <w:jc w:val="left"/>
              <w:rPr/>
            </w:pPr>
            <w:hyperlink w:anchor="annexacov">
              <w:r>
                <w:rPr>
                  <w:rStyle w:val="InternetLink"/>
                </w:rPr>
                <w:t xml:space="preserve">Amendment No. 1 to Agreement and Plan of Merger and Reorganization, dated as of August 28, 2026, by and among Boundless Bio, Inc., Boulder Merger Sub Corp., and Serapha Bio, Inc. (included as </w:t>
              </w:r>
            </w:hyperlink>
            <w:hyperlink w:anchor="annexacov">
              <w:r>
                <w:rPr>
                  <w:rStyle w:val="InternetLink"/>
                  <w:i/>
                </w:rPr>
                <w:t>Annex A</w:t>
              </w:r>
            </w:hyperlink>
            <w:hyperlink w:anchor="annexacov">
              <w:r>
                <w:rPr>
                  <w:rStyle w:val="InternetLink"/>
                </w:rPr>
                <w:t xml:space="preserve"> to the accompanying proxy statement/prospectus and incorporated herein by reference).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05"/>
        <w:gridCol w:w="120"/>
        <w:gridCol w:w="9380"/>
      </w:tblGrid>
      <w:tr>
        <w:trPr/>
        <w:tc>
          <w:tcPr>
            <w:tcW w:w="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80" w:type="dxa"/>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15">
              <w:r>
                <w:rPr>
                  <w:rStyle w:val="InternetLink"/>
                </w:rPr>
                <w:t xml:space="preserve">Amended and Restated Certificate of Incorporation of Boundless Bio, Inc. (incorporated by reference to Exhibit 3.1 to Boundless Bio, Inc.’s Current Report on Form 8-K (File No. 001-41989) filed with the SEC on April 2, 2024).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16">
              <w:r>
                <w:rPr>
                  <w:rStyle w:val="InternetLink"/>
                </w:rPr>
                <w:t xml:space="preserve">Amended and Restated Bylaws of Boundless Bio, Inc. (incorporated by reference to Exhibit 3.2 to Boundless Bio, Inc.’s Current Report on Form 8-K (File No. 001-41989) filed with the SEC on April 2, 2024).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33.htm">
              <w:r>
                <w:rPr>
                  <w:rStyle w:val="InternetLink"/>
                </w:rPr>
                <w:t xml:space="preserve">Amended and Restated Certificate of Incorporation of Serapha Bio, Inc., as currently in effect.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34.htm">
              <w:r>
                <w:rPr>
                  <w:rStyle w:val="InternetLink"/>
                </w:rPr>
                <w:t>Bylaws of Serapha Bio, Inc., as currently in effect.</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17">
              <w:r>
                <w:rPr>
                  <w:rStyle w:val="InternetLink"/>
                </w:rPr>
                <w:t xml:space="preserve">Specimen Stock Certificate Evidencing Shares of Common Stock of Boundless Bio, Inc. (incorporated by reference to Exhibit 4.1 to Boundless Bio, Inc.’s Registration Statement on Form S-1/A (File No. 333-277696) filed with the SEC on March 21, 2024).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18">
              <w:r>
                <w:rPr>
                  <w:rStyle w:val="InternetLink"/>
                </w:rPr>
                <w:t xml:space="preserve">Amended and Restated Investor Rights Agreement, dated April 5, 2023, by and among Boundless Bio, Inc. and certain of its stockholders (incorporated by reference to Exhibit 4.2 to Boundless Bio, Inc.’s Registration Statement on Form S-1 (File No. 333-277696) filed with the SEC on March 6, 2024).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43.htm">
              <w:r>
                <w:rPr>
                  <w:rStyle w:val="InternetLink"/>
                </w:rPr>
                <w:t xml:space="preserve">Warrant to Purchase Shares, dated June 12, 2026, by and between Serapha Bio, Inc. and YolTech Therapeutics Co., Ltd.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44.htm">
              <w:r>
                <w:rPr>
                  <w:rStyle w:val="InternetLink"/>
                </w:rPr>
                <w:t xml:space="preserve">Form of Pre-Funded Warrant to Purchase Common Stock of Serapha Bio, Inc.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19">
              <w:r>
                <w:rPr>
                  <w:rStyle w:val="InternetLink"/>
                </w:rPr>
                <w:t xml:space="preserve">Form of Registration Rights Agreement, dated June 22, 2026, by and among Serapha Bio, Inc. and certain investors (incorporated by reference to Exhibit 10.4 to Boundless Bio, Inc.’s Current Report on Form 8-K (File No. 001-41989) filed with the SEC on June 23, 2026).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46.htm">
              <w:r>
                <w:rPr>
                  <w:rStyle w:val="InternetLink"/>
                </w:rPr>
                <w:t xml:space="preserve">Investors’ Rights Agreement, dated June 22, 2026, by and among Serapha Bio, Inc. and certain parties thereto.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Opinion of Latham &amp; Watkins LLP, counsel of Boundless Bio, Inc.</w:t>
            </w:r>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ii108148_11a">
              <w:r>
                <w:rPr>
                  <w:rStyle w:val="InternetLink"/>
                </w:rPr>
                <w:t xml:space="preserve">Form of Boundless Bio Support Agreement (included as </w:t>
              </w:r>
            </w:hyperlink>
            <w:hyperlink w:anchor="ii108148_11a">
              <w:r>
                <w:rPr>
                  <w:rStyle w:val="InternetLink"/>
                  <w:i/>
                </w:rPr>
                <w:t>Annex G</w:t>
              </w:r>
            </w:hyperlink>
            <w:hyperlink w:anchor="ii108148_11a">
              <w:r>
                <w:rPr>
                  <w:rStyle w:val="InternetLink"/>
                </w:rPr>
                <w:t xml:space="preserve"> to the accompanying proxy statement/prospectus and incorporated herein by reference).</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ii108148_21">
              <w:r>
                <w:rPr>
                  <w:rStyle w:val="InternetLink"/>
                </w:rPr>
                <w:t xml:space="preserve">Form of Serapha Support Agreement (included as </w:t>
              </w:r>
            </w:hyperlink>
            <w:hyperlink w:anchor="ii108148_21">
              <w:r>
                <w:rPr>
                  <w:rStyle w:val="InternetLink"/>
                  <w:i/>
                </w:rPr>
                <w:t>Annex H</w:t>
              </w:r>
            </w:hyperlink>
            <w:hyperlink w:anchor="ii108148_21">
              <w:r>
                <w:rPr>
                  <w:rStyle w:val="InternetLink"/>
                </w:rPr>
                <w:t xml:space="preserve"> to the accompanying proxy statement/prospectus and incorporated herein by reference).</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ii108148_31">
              <w:r>
                <w:rPr>
                  <w:rStyle w:val="InternetLink"/>
                </w:rPr>
                <w:t xml:space="preserve">Form of Lock-Up Agreement (included as </w:t>
              </w:r>
            </w:hyperlink>
            <w:hyperlink w:anchor="ii108148_31">
              <w:r>
                <w:rPr>
                  <w:rStyle w:val="InternetLink"/>
                  <w:i/>
                </w:rPr>
                <w:t>Annex I</w:t>
              </w:r>
            </w:hyperlink>
            <w:hyperlink w:anchor="ii108148_31">
              <w:r>
                <w:rPr>
                  <w:rStyle w:val="InternetLink"/>
                </w:rPr>
                <w:t xml:space="preserve"> to the accompanying proxy statement/prospectus and incorporated herein by reference).</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ii108148_41">
              <w:r>
                <w:rPr>
                  <w:rStyle w:val="InternetLink"/>
                </w:rPr>
                <w:t xml:space="preserve">Form of Securities Purchase Agreement (included as </w:t>
              </w:r>
            </w:hyperlink>
            <w:hyperlink w:anchor="ii108148_41">
              <w:r>
                <w:rPr>
                  <w:rStyle w:val="InternetLink"/>
                  <w:i/>
                </w:rPr>
                <w:t>Annex J</w:t>
              </w:r>
            </w:hyperlink>
            <w:hyperlink w:anchor="ii108148_41">
              <w:r>
                <w:rPr>
                  <w:rStyle w:val="InternetLink"/>
                </w:rPr>
                <w:t xml:space="preserve"> to the accompanying proxy statement/prospectus and incorporated herein by reference).</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d108148dex105.htm">
              <w:r>
                <w:rPr>
                  <w:rStyle w:val="InternetLink"/>
                </w:rPr>
                <w:t xml:space="preserve">Exclusive License Agreement, dated June 12, 2026, by and between Serapha Bio, Inc. and YolTech Therapeutics Co., Ltd.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20">
              <w:r>
                <w:rPr>
                  <w:rStyle w:val="InternetLink"/>
                </w:rPr>
                <w:t xml:space="preserve">Boundless Bio, Inc. 2018 Equity Incentive Plan, as amended, and form of stock option agreement and form of restricted stock agreement thereunder (incorporated by reference to Exhibit 10.1 to Boundless Bio, Inc.’s Registration Statement on Form S-1 (File No. 333-277696) filed with the SEC on March 6, 2024). </w:t>
              </w:r>
            </w:hyperlink>
          </w:p>
        </w:tc>
      </w:tr>
      <w:tr>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r:id="rId21">
              <w:r>
                <w:rPr>
                  <w:rStyle w:val="InternetLink"/>
                </w:rPr>
                <w:t xml:space="preserve">Boundless Bio, Inc. 2024 Incentive Award Plan and form of stock option agreement and form of restricted stock unit agreement thereunder (incorporated by reference to Exhibit 10.2 to Boundless Bio, Inc.’s Registration Statement on Form S-1/A (File No. 333-277696) filed with the SEC on March 21,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89"/>
        <w:gridCol w:w="120"/>
        <w:gridCol w:w="9296"/>
      </w:tblGrid>
      <w:tr>
        <w:trPr/>
        <w:tc>
          <w:tcPr>
            <w:tcW w:w="7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96" w:type="dxa"/>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29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2">
              <w:r>
                <w:rPr>
                  <w:rStyle w:val="InternetLink"/>
                </w:rPr>
                <w:t xml:space="preserve">Boundless Bio, Inc. 2024 Employee Stock Purchase Plan (incorporated by reference to Exhibit 10.3 to Boundless Bio, Inc.’s Registration Statement on Form S-1/A (File No. 333-277696) filed with the SEC on March 21, 2024).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3">
              <w:r>
                <w:rPr>
                  <w:rStyle w:val="InternetLink"/>
                </w:rPr>
                <w:t xml:space="preserve">Boundless Bio, Inc. Non-Employee Director Compensation Program (as amended and restated effective March 6, 2026) (incorporated by reference to Exhibit 10.1 to Boundless Bio, Inc.’s Quarterly Report on Form 10-Q (File No. 001-41989) filed with the SEC on May 8,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4">
              <w:r>
                <w:rPr>
                  <w:rStyle w:val="InternetLink"/>
                </w:rPr>
                <w:t xml:space="preserve">Severance Agreement and Release of All Claims, dated July 1, 2026, between Boundless Bio, Inc. and Zachary Hornby (incorporated by reference to Exhibit 10.5 to Boundless Bio, Inc.’s Quarterly Report on Form 10-Q (File No. 001-41989) filed with the SEC on August 7,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5">
              <w:r>
                <w:rPr>
                  <w:rStyle w:val="InternetLink"/>
                </w:rPr>
                <w:t xml:space="preserve">Severance Agreement and Release of All Claims, dated July 1, 2026, between Boundless Bio, Inc. and Robert Doebele, M.D., Ph.D. (incorporated by reference to Exhibit 10.6 to Boundless Bio, Inc.’s Quarterly Report on Form 10-Q (File No. 001-41989) filed with the SEC on August 7,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6">
              <w:r>
                <w:rPr>
                  <w:rStyle w:val="InternetLink"/>
                </w:rPr>
                <w:t xml:space="preserve">Severance Agreement and Release of All Claims, dated July 2, 2026, between Boundless Bio, Inc. and Christian Hassig, Ph.D. (incorporated by reference to Exhibit 10.7 to Boundless Bio, Inc.’s Quarterly Report on Form 10-Q (File No. 001-41989) filed with the SEC on August 7,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7">
              <w:r>
                <w:rPr>
                  <w:rStyle w:val="InternetLink"/>
                </w:rPr>
                <w:t xml:space="preserve">Amended and Restated Employment Offer Letter Agreement, dated June 23, 2026, between Boundless Bio, Inc. and Jessica Oien (incorporated by reference to Exhibit 10.8 to Boundless Bio, Inc.’s Quarterly Report on Form 10-Q (File No. 001-41989) filed with the SEC on August 7,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8">
              <w:r>
                <w:rPr>
                  <w:rStyle w:val="InternetLink"/>
                </w:rPr>
                <w:t xml:space="preserve">Amended and Restated Employment Offer Letter Agreement, dated June 23, 2026, between Boundless Bio, Inc. and David Hinkle (incorporated by reference to Exhibit 10.9 to Boundless Bio, Inc.’s Quarterly Report on Form 10-Q (File No. 001-41989) filed with the SEC on August 7,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29">
              <w:r>
                <w:rPr>
                  <w:rStyle w:val="InternetLink"/>
                </w:rPr>
                <w:t xml:space="preserve">Boundless Bio, Inc. Severance and Change in Control Severance Plan (incorporated by reference to Exhibit 10.17 to Boundless Bio, Inc.’s Registration Statement on Form S-1 (File No. 333-277696) filed with the SEC on March 6, 2024).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30">
              <w:r>
                <w:rPr>
                  <w:rStyle w:val="InternetLink"/>
                </w:rPr>
                <w:t xml:space="preserve">Boundless Bio, Inc. Corporate Bonus Plan (incorporated by reference to Exhibit 10.18 to Boundless Bio, Inc.’s Registration Statement on Form S-1 (File No. 333-277696) filed with the SEC on March 6, 2024).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31">
              <w:r>
                <w:rPr>
                  <w:rStyle w:val="InternetLink"/>
                </w:rPr>
                <w:t xml:space="preserve">Form of Indemnification Agreement for Directors and Officers of Boundless Bio, Inc. (incorporated by reference to Exhibit 10.19 to Boundless Bio, Inc.’s Registration Statement on Form S-1/A (File No. 333-277696) filed with the SEC on March 21, 2024).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r:id="rId32">
              <w:r>
                <w:rPr>
                  <w:rStyle w:val="InternetLink"/>
                </w:rPr>
                <w:t xml:space="preserve">Agreement for Termination of Lease and Voluntary Surrender of Premises, dated April 13, 2026, between ARE-10933 North Torrey Pines, LLC and Boundless Bio, Inc. (incorporated by reference to Exhibit 10.2 to Boundless Bio, Inc.’s Quarterly Report on Form 10-Q (File No. 001-41989) filed with the SEC on May 8, 2026). </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w:anchor="d108148dex1019.htm">
              <w:r>
                <w:rPr>
                  <w:rStyle w:val="InternetLink"/>
                </w:rPr>
                <w:t>Serapha Bio, Inc. 2026 Equity Incentive Plan.</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w:anchor="ii108148_51">
              <w:r>
                <w:rPr>
                  <w:rStyle w:val="InternetLink"/>
                </w:rPr>
                <w:t xml:space="preserve">Serapha Bio, Inc. 2026 Stock Incentive Plan (included as </w:t>
              </w:r>
            </w:hyperlink>
            <w:hyperlink w:anchor="ii108148_51">
              <w:r>
                <w:rPr>
                  <w:rStyle w:val="InternetLink"/>
                  <w:i/>
                </w:rPr>
                <w:t>Annex K</w:t>
              </w:r>
            </w:hyperlink>
            <w:hyperlink w:anchor="ii108148_51">
              <w:r>
                <w:rPr>
                  <w:rStyle w:val="InternetLink"/>
                </w:rPr>
                <w:t xml:space="preserve"> to the accompanying proxy statement/prospectus and incorporated herein by reference).</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w:anchor="ii108148_61">
              <w:r>
                <w:rPr>
                  <w:rStyle w:val="InternetLink"/>
                </w:rPr>
                <w:t xml:space="preserve">Serapha Bio, Inc. 2026 Employee Stock Purchase Plan (included as </w:t>
              </w:r>
            </w:hyperlink>
            <w:hyperlink w:anchor="ii108148_61">
              <w:r>
                <w:rPr>
                  <w:rStyle w:val="InternetLink"/>
                  <w:i/>
                </w:rPr>
                <w:t>Annex L</w:t>
              </w:r>
            </w:hyperlink>
            <w:hyperlink w:anchor="ii108148_61">
              <w:r>
                <w:rPr>
                  <w:rStyle w:val="InternetLink"/>
                </w:rPr>
                <w:t xml:space="preserve"> to the accompanying proxy statement/prospectus and incorporated herein by reference).</w:t>
              </w:r>
            </w:hyperlink>
          </w:p>
        </w:tc>
      </w:tr>
      <w:tr>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296" w:type="dxa"/>
            <w:tcBorders/>
            <w:vAlign w:val="center"/>
          </w:tcPr>
          <w:p>
            <w:pPr>
              <w:pStyle w:val="TableContents"/>
              <w:bidi w:val="0"/>
              <w:spacing w:before="0" w:after="283"/>
              <w:jc w:val="left"/>
              <w:rPr/>
            </w:pPr>
            <w:hyperlink w:anchor="d108148dex1022.htm">
              <w:r>
                <w:rPr>
                  <w:rStyle w:val="InternetLink"/>
                </w:rPr>
                <w:t>Form of Indemnification Agreement between Serapha Bio, Inc. and its directors and officers.</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25"/>
        <w:gridCol w:w="120"/>
        <w:gridCol w:w="9260"/>
      </w:tblGrid>
      <w:tr>
        <w:trPr/>
        <w:tc>
          <w:tcPr>
            <w:tcW w:w="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2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1023.htm">
              <w:r>
                <w:rPr>
                  <w:rStyle w:val="InternetLink"/>
                </w:rPr>
                <w:t>Offer Letter, dated June 15, 2026, between Serapha Bio, Inc. and Kenneth Mills.</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1024.htm">
              <w:r>
                <w:rPr>
                  <w:rStyle w:val="InternetLink"/>
                </w:rPr>
                <w:t xml:space="preserve">Offer Letter, dated June 30, 2026, between Serapha Bio, Inc. and Daphne Karydas. </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231.htm">
              <w:r>
                <w:rPr>
                  <w:rStyle w:val="InternetLink"/>
                </w:rPr>
                <w:t xml:space="preserve">Consent of KPMG LLP, independent registered public accounting firm of Boundless Bio, Inc. </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232.htm">
              <w:r>
                <w:rPr>
                  <w:rStyle w:val="InternetLink"/>
                </w:rPr>
                <w:t xml:space="preserve">Consent of KPMG LLP, independent auditors of Serapha Bio, Inc. </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233.htm">
              <w:r>
                <w:rPr>
                  <w:rStyle w:val="InternetLink"/>
                </w:rPr>
                <w:t>Consent of Lucid Capital Markets LLC</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23.4**</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Consent of Latham &amp; Watkins LLP (included in Exhibit 5.1)</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poa">
              <w:r>
                <w:rPr>
                  <w:rStyle w:val="InternetLink"/>
                </w:rPr>
                <w:t xml:space="preserve">Power of Attorney (included on the signature page of the Registration Statement) </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annexd">
              <w:r>
                <w:rPr>
                  <w:rStyle w:val="InternetLink"/>
                </w:rPr>
                <w:t xml:space="preserve">Form of Proxy Card of Boundless Bio, Inc. (included as </w:t>
              </w:r>
            </w:hyperlink>
            <w:hyperlink w:anchor="annexd">
              <w:r>
                <w:rPr>
                  <w:rStyle w:val="InternetLink"/>
                  <w:i/>
                </w:rPr>
                <w:t>Annex D</w:t>
              </w:r>
            </w:hyperlink>
            <w:hyperlink w:anchor="annexd">
              <w:r>
                <w:rPr>
                  <w:rStyle w:val="InternetLink"/>
                </w:rPr>
                <w:t xml:space="preserve"> to the accompanying proxy statement/prospectus and incorporated herein by reference). </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992.htm">
              <w:r>
                <w:rPr>
                  <w:rStyle w:val="InternetLink"/>
                </w:rPr>
                <w:t>Consent of Kenneth Mills to serve as a director of Boundless Bio, Inc. to be renamed Serapha Bio, Inc.</w:t>
              </w:r>
            </w:hyperlink>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Instance Document – the instance document does not appear in the Interactive Data File because XBRL tags are embedded within the Inline XBRL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Taxonomy Extension Schema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Taxonomy Extension Calculation Linkbase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Taxonomy Extension Definition Linkbase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Taxonomy Extension Label Linkbase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Inline XBRL Taxonomy Presentation Linkbase Document</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Cover Page Interactive Data File. Formatted in Inline XBRL and contained in exhibit 101.</w:t>
            </w:r>
          </w:p>
        </w:tc>
      </w:tr>
      <w:tr>
        <w:trPr/>
        <w:tc>
          <w:tcPr>
            <w:tcW w:w="82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08148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601(a)(5) of Regulation S-K. Boundless Bio will furnish supplementally a copy of any omitted annex, schedule or exhibit to the SEC upon request.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pursuant to Item 601(b) of Regulation S-K because the omitted information is (i) not material and (ii) treated by the Registrant as private or confidential. </w:t>
            </w:r>
          </w:p>
        </w:tc>
      </w:tr>
    </w:tbl>
    <w:tbl>
      <w:tblPr>
        <w:tblW w:w="4735" w:type="dxa"/>
        <w:jc w:val="left"/>
        <w:tblInd w:w="0" w:type="dxa"/>
        <w:tblLayout w:type="fixed"/>
        <w:tblCellMar>
          <w:top w:w="0" w:type="dxa"/>
          <w:left w:w="0" w:type="dxa"/>
          <w:bottom w:w="0" w:type="dxa"/>
          <w:right w:w="0" w:type="dxa"/>
        </w:tblCellMar>
      </w:tblPr>
      <w:tblGrid>
        <w:gridCol w:w="155"/>
        <w:gridCol w:w="4580"/>
      </w:tblGrid>
      <w:tr>
        <w:trPr/>
        <w:tc>
          <w:tcPr>
            <w:tcW w:w="155"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2530" w:type="dxa"/>
        <w:jc w:val="left"/>
        <w:tblInd w:w="0" w:type="dxa"/>
        <w:tblLayout w:type="fixed"/>
        <w:tblCellMar>
          <w:top w:w="0" w:type="dxa"/>
          <w:left w:w="0" w:type="dxa"/>
          <w:bottom w:w="0" w:type="dxa"/>
          <w:right w:w="0" w:type="dxa"/>
        </w:tblCellMar>
      </w:tblPr>
      <w:tblGrid>
        <w:gridCol w:w="275"/>
        <w:gridCol w:w="2255"/>
      </w:tblGrid>
      <w:tr>
        <w:trPr/>
        <w:tc>
          <w:tcPr>
            <w:tcW w:w="275"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6" w:name="poa"/>
      <w:bookmarkEnd w:id="24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San Diego, State of California, on the 8th day of October, 2026.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380"/>
        <w:gridCol w:w="60"/>
        <w:gridCol w:w="579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b/>
              </w:rPr>
            </w:pPr>
            <w:r>
              <w:rPr>
                <w:b/>
              </w:rPr>
              <w:t>BOUNDLESS 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85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95" w:type="dxa"/>
            <w:tcBorders>
              <w:bottom w:val="single" w:sz="6" w:space="0" w:color="000000"/>
            </w:tcBorders>
            <w:tcMar>
              <w:bottom w:w="28" w:type="dxa"/>
            </w:tcMar>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 Jessica Oien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pPr>
            <w:r>
              <w:rPr/>
              <w:t>Name: Jessica Oien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pPr>
            <w:r>
              <w:rPr/>
              <w:t>Title: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Jessica Oien and David Hinkle, and each or any one of them,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on behalf of the Registrant and in the capacities and on the dates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9"/>
        <w:gridCol w:w="120"/>
        <w:gridCol w:w="6305"/>
        <w:gridCol w:w="60"/>
        <w:gridCol w:w="1581"/>
      </w:tblGrid>
      <w:tr>
        <w:trPr/>
        <w:tc>
          <w:tcPr>
            <w:tcW w:w="2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21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6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58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Jessica Oien</w:t>
            </w:r>
          </w:p>
          <w:p>
            <w:pPr>
              <w:pStyle w:val="TableContents"/>
              <w:bidi w:val="0"/>
              <w:spacing w:before="0" w:after="20"/>
              <w:jc w:val="left"/>
              <w:rPr>
                <w:rFonts w:ascii="Times New Roman" w:hAnsi="Times New Roman"/>
                <w:sz w:val="20"/>
              </w:rPr>
            </w:pPr>
            <w:r>
              <w:rPr>
                <w:rFonts w:ascii="Times New Roman" w:hAnsi="Times New Roman"/>
                <w:sz w:val="20"/>
              </w:rPr>
              <w:t>Jessica Oien</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President, Chief Legal Officer and Corporate Secretary</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Hinkle</w:t>
            </w:r>
          </w:p>
          <w:p>
            <w:pPr>
              <w:pStyle w:val="TableContents"/>
              <w:bidi w:val="0"/>
              <w:spacing w:before="0" w:after="20"/>
              <w:jc w:val="left"/>
              <w:rPr>
                <w:rFonts w:ascii="Times New Roman" w:hAnsi="Times New Roman"/>
                <w:sz w:val="20"/>
              </w:rPr>
            </w:pPr>
            <w:r>
              <w:rPr>
                <w:rFonts w:ascii="Times New Roman" w:hAnsi="Times New Roman"/>
                <w:sz w:val="20"/>
              </w:rPr>
              <w:t>David Hinkle</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Senior Vice President, Finance, Controller and Treasurer (</w:t>
            </w:r>
            <w:r>
              <w:rPr>
                <w:rFonts w:ascii="Times New Roman" w:hAnsi="Times New Roman"/>
                <w:i/>
                <w:sz w:val="20"/>
              </w:rPr>
              <w:t>Principal Financial Officer and</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center"/>
              <w:rPr/>
            </w:pPr>
            <w:r>
              <w:rPr>
                <w:i/>
              </w:rPr>
              <w:t>Principal Accounting Officer</w:t>
            </w:r>
            <w:r>
              <w:rPr/>
              <w:t>)</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Lim, M.D.</w:t>
            </w:r>
          </w:p>
          <w:p>
            <w:pPr>
              <w:pStyle w:val="TableContents"/>
              <w:bidi w:val="0"/>
              <w:spacing w:before="0" w:after="20"/>
              <w:jc w:val="left"/>
              <w:rPr>
                <w:rFonts w:ascii="Times New Roman" w:hAnsi="Times New Roman"/>
                <w:sz w:val="20"/>
              </w:rPr>
            </w:pPr>
            <w:r>
              <w:rPr>
                <w:rFonts w:ascii="Times New Roman" w:hAnsi="Times New Roman"/>
                <w:sz w:val="20"/>
              </w:rPr>
              <w:t>Jonathan Lim, M.D.</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Christensen, Ph.D.</w:t>
            </w:r>
          </w:p>
          <w:p>
            <w:pPr>
              <w:pStyle w:val="TableContents"/>
              <w:bidi w:val="0"/>
              <w:spacing w:before="0" w:after="20"/>
              <w:jc w:val="left"/>
              <w:rPr>
                <w:rFonts w:ascii="Times New Roman" w:hAnsi="Times New Roman"/>
                <w:sz w:val="20"/>
              </w:rPr>
            </w:pPr>
            <w:r>
              <w:rPr>
                <w:rFonts w:ascii="Times New Roman" w:hAnsi="Times New Roman"/>
                <w:sz w:val="20"/>
              </w:rPr>
              <w:t>James Christensen, Ph.D.</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Jennifer Lew</w:t>
            </w:r>
          </w:p>
          <w:p>
            <w:pPr>
              <w:pStyle w:val="TableContents"/>
              <w:bidi w:val="0"/>
              <w:spacing w:before="0" w:after="20"/>
              <w:jc w:val="left"/>
              <w:rPr>
                <w:rFonts w:ascii="Times New Roman" w:hAnsi="Times New Roman"/>
                <w:sz w:val="20"/>
              </w:rPr>
            </w:pPr>
            <w:r>
              <w:rPr>
                <w:rFonts w:ascii="Times New Roman" w:hAnsi="Times New Roman"/>
                <w:sz w:val="20"/>
              </w:rPr>
              <w:t>Jennifer Lew</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r>
        <w:trPr/>
        <w:tc>
          <w:tcPr>
            <w:tcW w:w="2139" w:type="dxa"/>
            <w:tcBorders/>
            <w:vAlign w:val="center"/>
          </w:tcPr>
          <w:p>
            <w:pPr>
              <w:pStyle w:val="TableContents"/>
              <w:bidi w:val="0"/>
              <w:spacing w:before="0" w:after="283"/>
              <w:jc w:val="left"/>
              <w:rPr>
                <w:sz w:val="4"/>
                <w:szCs w:val="4"/>
              </w:rPr>
            </w:pPr>
            <w:r>
              <w:rPr>
                <w:sz w:val="4"/>
                <w:szCs w:val="4"/>
              </w:rPr>
            </w:r>
          </w:p>
        </w:tc>
        <w:tc>
          <w:tcPr>
            <w:tcW w:w="6425" w:type="dxa"/>
            <w:gridSpan w:val="2"/>
            <w:tcBorders/>
            <w:vAlign w:val="center"/>
          </w:tcPr>
          <w:p>
            <w:pPr>
              <w:pStyle w:val="TableContents"/>
              <w:bidi w:val="0"/>
              <w:spacing w:before="0" w:after="283"/>
              <w:jc w:val="left"/>
              <w:rPr>
                <w:sz w:val="4"/>
                <w:szCs w:val="4"/>
              </w:rPr>
            </w:pPr>
            <w:r>
              <w:rPr>
                <w:sz w:val="4"/>
                <w:szCs w:val="4"/>
              </w:rPr>
            </w:r>
          </w:p>
        </w:tc>
        <w:tc>
          <w:tcPr>
            <w:tcW w:w="1641" w:type="dxa"/>
            <w:gridSpan w:val="2"/>
            <w:tcBorders/>
            <w:vAlign w:val="center"/>
          </w:tcPr>
          <w:p>
            <w:pPr>
              <w:pStyle w:val="TableContents"/>
              <w:bidi w:val="0"/>
              <w:spacing w:before="0" w:after="283"/>
              <w:jc w:val="left"/>
              <w:rPr>
                <w:sz w:val="4"/>
                <w:szCs w:val="4"/>
              </w:rPr>
            </w:pPr>
            <w:r>
              <w:rPr>
                <w:sz w:val="4"/>
                <w:szCs w:val="4"/>
              </w:rPr>
            </w:r>
          </w:p>
        </w:tc>
      </w:tr>
      <w:tr>
        <w:trPr/>
        <w:tc>
          <w:tcPr>
            <w:tcW w:w="2139"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Nancy Whiting, Pharm.D.</w:t>
            </w:r>
          </w:p>
          <w:p>
            <w:pPr>
              <w:pStyle w:val="TableContents"/>
              <w:bidi w:val="0"/>
              <w:spacing w:before="0" w:after="20"/>
              <w:jc w:val="left"/>
              <w:rPr>
                <w:rFonts w:ascii="Times New Roman" w:hAnsi="Times New Roman"/>
                <w:sz w:val="20"/>
              </w:rPr>
            </w:pPr>
            <w:r>
              <w:rPr>
                <w:rFonts w:ascii="Times New Roman" w:hAnsi="Times New Roman"/>
                <w:sz w:val="20"/>
              </w:rPr>
              <w:t>Nancy Whiting, Pharm.D.</w:t>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center"/>
              <w:rPr/>
            </w:pPr>
            <w:r>
              <w:rPr/>
              <w:t>October 8,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247" w:name="d108148dex33.htm"/>
      <w:bookmarkStart w:id="248" w:name="ksd108148dex33"/>
      <w:bookmarkEnd w:id="247"/>
      <w:bookmarkEnd w:id="248"/>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Sections 242 and 245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RTW Newco10,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this corporation was originally incorporated pursuant to the General Corporation Law on April 2, 2026 under the name RTW Newco10, Inc.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the sole member of the Board of Directors of this corporation (the “</w:t>
      </w:r>
      <w:r>
        <w:rPr>
          <w:rFonts w:ascii="Times New Roman" w:hAnsi="Times New Roman"/>
          <w:b/>
          <w:sz w:val="20"/>
        </w:rPr>
        <w:t>Board of Directors</w:t>
      </w:r>
      <w:r>
        <w:rPr>
          <w:rFonts w:ascii="Times New Roman" w:hAnsi="Times New Roman"/>
          <w:sz w:val="20"/>
        </w:rPr>
        <w:t xml:space="preserve">”)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name of this corporation is Serapha Bio, Inc. (the “</w:t>
      </w:r>
      <w:r>
        <w:rPr>
          <w:rFonts w:ascii="Times New Roman" w:hAnsi="Times New Roman"/>
          <w:b/>
          <w:sz w:val="20"/>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address of the registered office of the Corporation in the State of Delaware is 251 Little Falls Drive, in the City of Wilmington, County of New Castle, Delaware 19808. The name of its registered agent at such address is Corporation Service Company.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nature of the business or purposes to be conducted or promoted is to engage in any lawful act or activity for which corporations may be organized under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total number of shares of all classes of stock which the Corporation shall have the authority to issue is 160,000,000. The Corporation has two classes of stock, referred to as Common Stock and Preferred Stock. There are 100,000,000 shares of authorized Common Stock, $0.00001 par value per share and 60,000,000 shares of authorized Preferred Stock, $0.00001 par value per share (the “</w:t>
      </w:r>
      <w:r>
        <w:rPr>
          <w:rFonts w:ascii="Times New Roman" w:hAnsi="Times New Roman"/>
          <w:b/>
          <w:sz w:val="20"/>
        </w:rPr>
        <w:t>Preferred Stock</w:t>
      </w:r>
      <w:r>
        <w:rPr>
          <w:rFonts w:ascii="Times New Roman" w:hAnsi="Times New Roman"/>
          <w:sz w:val="20"/>
        </w:rPr>
        <w:t>”), 35,000,000 of which are hereby designated “</w:t>
      </w:r>
      <w:r>
        <w:rPr>
          <w:rFonts w:ascii="Times New Roman" w:hAnsi="Times New Roman"/>
          <w:b/>
          <w:sz w:val="20"/>
        </w:rPr>
        <w:t>Series A Preferred Stock</w:t>
      </w:r>
      <w:r>
        <w:rPr>
          <w:rFonts w:ascii="Times New Roman" w:hAnsi="Times New Roman"/>
          <w:sz w:val="20"/>
        </w:rPr>
        <w:t>”. Of the authorized shares of Preferred Stock, 25,000,000 shares are hereby designated “</w:t>
      </w:r>
      <w:r>
        <w:rPr>
          <w:rFonts w:ascii="Times New Roman" w:hAnsi="Times New Roman"/>
          <w:b/>
          <w:sz w:val="20"/>
        </w:rPr>
        <w:t>Series A-1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designations and the powers, preferences and special rights, and the qualifications, limitations or restrictions thereof in respect of each class of capital stock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General</w:t>
      </w:r>
      <w:r>
        <w:rPr>
          <w:rFonts w:ascii="Times New Roman" w:hAnsi="Times New Roman"/>
          <w:sz w:val="20"/>
        </w:rPr>
        <w:t xml:space="preserve">. The voting, dividend and liquidation rights of the holders of the Common Stock are subject to and qualified by the powers, preferences and special rights of the holders of the Preferred Stock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Voting</w:t>
      </w:r>
      <w:r>
        <w:rPr>
          <w:rFonts w:ascii="Times New Roman" w:hAnsi="Times New Roman"/>
          <w:sz w:val="20"/>
        </w:rPr>
        <w:t xml:space="preserve">. Except as otherwise provided herein or by applicable law, the holders of the Common Stock shall be entitled to one vote for each share of Common Stock held as of the applicable record date for each meeting of stockholders (and written actions in lieu of meetings);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Common Stock, as such, shall not be entitled to vote on any amendment to this Amended and Restated Certificate of Incorporation (this “</w:t>
      </w:r>
      <w:r>
        <w:rPr>
          <w:rFonts w:ascii="Times New Roman" w:hAnsi="Times New Roman"/>
          <w:b/>
          <w:sz w:val="20"/>
        </w:rPr>
        <w:t>Certificate of Incorporation</w:t>
      </w:r>
      <w:r>
        <w:rPr>
          <w:rFonts w:ascii="Times New Roman" w:hAnsi="Times New Roman"/>
          <w:sz w:val="20"/>
        </w:rPr>
        <w:t xml:space="preserve">”)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Preferred Stock shall have the powers, preferences and special rights set forth in this Part B of this Article Fourth. Unless otherwise indicated, references to “sections” or “Sections” in this Part B of this Article Fourth refer to sections of Part B of this Article Fourth. References to “Preferred Stock” mean the Series A Preferred Stock and the Series A-1 Preferred Stock, collectively, unless the context requires otherwise. The Series A-1 Preferred Stock shall have the same rights, preferences, privileges and restrictions as the Series A Preferred Stock in all respects, except that the Series A-1 Preferred Stock shall be non-voting.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 the holders of the Preferred Stock then outstanding shall first receive, or simultaneously receive, a dividend on each outstanding share of Preferred Stock in an amount at least equal to (i) in the case of a dividend on Common Stock, the product of (A) the dividend declared, paid or set aside on such Common Stock and (B) the number of shares of Common Stock issuable upon conversion of a share of such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Preferred Stock, divided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divided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 provided that, if the Corporation declares, pays or sets aside, on the same date, a dividend on shares of more than one class or series of capital stock of the Corporation,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dividend payable to the holders of Preferred Stock pursuant to this Section 1 shall be calculated based upon the dividend on the class or series of capital stock that would result in the highest Preferred Stock dividend for the applicable series of Preferred Stock. The “</w:t>
      </w:r>
      <w:r>
        <w:rPr>
          <w:rFonts w:ascii="Times New Roman" w:hAnsi="Times New Roman"/>
          <w:b/>
          <w:sz w:val="20"/>
        </w:rPr>
        <w:t>Original Issue Price</w:t>
      </w:r>
      <w:r>
        <w:rPr>
          <w:rFonts w:ascii="Times New Roman" w:hAnsi="Times New Roman"/>
          <w:sz w:val="20"/>
        </w:rPr>
        <w:t xml:space="preserve">” shall mean, with respect to the Series A Preferred Stock, $4.50 per share, subject to appropriate adjustment in the event of any stock dividend, stock split, combination or other similar recapitalization with respect to the applicable Preferred Stock. The Original Issue Price for the Series A-1 Preferred Stock shall be $4.50 per share (which shall be equal to the Original Issue Price for the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Liquidation, Dissolution or Winding Up; Certain Mergers, Consolidations and 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Preferential Payments to Holders of Preferred Stock</w:t>
      </w:r>
      <w:r>
        <w:rPr>
          <w:rFonts w:ascii="Times New Roman" w:hAnsi="Times New Roman"/>
          <w:sz w:val="20"/>
        </w:rPr>
        <w:t xml:space="preserve">. In the event of (a) any voluntary or involuntary liquidation, dissolution or winding up of the Corporation, the holders of shares of each series of Preferred Stock then outstanding shall be entitled to be paid out of the assets of the Corporation available for distribution to its stockholders, and (b) a Deemed Liquidation Event (as defined below), the holders of shares of each series of Preferred Stock then outstanding shall be entitled to be paid out of the consideration payable to stockholders in such Deemed Liquidation Event or out of the Available Proceeds (as defined below), as applicable, on a </w:t>
      </w:r>
      <w:r>
        <w:rPr>
          <w:rFonts w:ascii="Times New Roman" w:hAnsi="Times New Roman"/>
          <w:i/>
          <w:sz w:val="20"/>
        </w:rPr>
        <w:t>pari passu</w:t>
      </w:r>
      <w:r>
        <w:rPr>
          <w:rFonts w:ascii="Times New Roman" w:hAnsi="Times New Roman"/>
          <w:sz w:val="20"/>
        </w:rPr>
        <w:t xml:space="preserve"> basis based on their respective Liquidation Amounts (as defined below) and before any payment shall be made to the holders of Common Stock by reason of their ownership thereof, an amount per share of each such series of Preferred Stock equal to the greater of (i) one times the applicable Original Issue Price, plus any dividends declared but unpaid thereon, or (ii) such amount per share as would have been payable had all shares of such series of Preferred Stock (and all shares of all other series of Preferred Stock that would receive a larger distribution per share if such series of Preferred Stock were converted into Common Stock) been converted into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is hereinafter referred to, for each series of Preferred Stock, as applicable, as the “</w:t>
      </w:r>
      <w:r>
        <w:rPr>
          <w:rFonts w:ascii="Times New Roman" w:hAnsi="Times New Roman"/>
          <w:b/>
          <w:sz w:val="20"/>
        </w:rPr>
        <w:t>Liquidation Amount</w:t>
      </w:r>
      <w:r>
        <w:rPr>
          <w:rFonts w:ascii="Times New Roman" w:hAnsi="Times New Roman"/>
          <w:sz w:val="20"/>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hAnsi="Times New Roman"/>
          <w:sz w:val="20"/>
          <w:u w:val="single"/>
        </w:rPr>
        <w:t>Section 2.1</w:t>
      </w:r>
      <w:r>
        <w:rPr>
          <w:rFonts w:ascii="Times New Roman" w:hAnsi="Times New Roman"/>
          <w:sz w:val="20"/>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Payments to Holders of Common Stock</w:t>
      </w:r>
      <w:r>
        <w:rPr>
          <w:rFonts w:ascii="Times New Roman" w:hAnsi="Times New Roman"/>
          <w:sz w:val="20"/>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hAnsi="Times New Roman"/>
          <w:sz w:val="20"/>
          <w:u w:val="single"/>
        </w:rPr>
        <w:t>Section 2.1</w:t>
      </w:r>
      <w:r>
        <w:rPr>
          <w:rFonts w:ascii="Times New Roman" w:hAnsi="Times New Roman"/>
          <w:sz w:val="20"/>
        </w:rPr>
        <w:t xml:space="preserve"> or the remaining Available Proceeds, as the case may be, shall be distributed among the holders of shares of Common Stock, pro rata based on the number of shares of Common Stock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Deemed Liquidation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2.3.1 </w:t>
      </w:r>
      <w:r>
        <w:rPr>
          <w:rFonts w:ascii="Times New Roman" w:hAnsi="Times New Roman"/>
          <w:b/>
          <w:sz w:val="20"/>
        </w:rPr>
        <w:t>Definition</w:t>
      </w:r>
      <w:r>
        <w:rPr>
          <w:rFonts w:ascii="Times New Roman" w:hAnsi="Times New Roman"/>
          <w:sz w:val="20"/>
        </w:rPr>
        <w:t>. Each of the following events shall be considered a “</w:t>
      </w:r>
      <w:r>
        <w:rPr>
          <w:rFonts w:ascii="Times New Roman" w:hAnsi="Times New Roman"/>
          <w:b/>
          <w:sz w:val="20"/>
        </w:rPr>
        <w:t>Deemed Liquidation Event</w:t>
      </w:r>
      <w:r>
        <w:rPr>
          <w:rFonts w:ascii="Times New Roman" w:hAnsi="Times New Roman"/>
          <w:sz w:val="20"/>
        </w:rPr>
        <w:t>” unless the holders of at least a majority of the outstanding shares of Series A Preferred Stock, which majority must include each of (i) RTW Holdings X, LLC and (ii) RA Capital Healthcare Fund, L.P. and RA Capital Nexus Fund IV, L.P., taken together (such holders holding such majority, the “</w:t>
      </w:r>
      <w:r>
        <w:rPr>
          <w:rFonts w:ascii="Times New Roman" w:hAnsi="Times New Roman"/>
          <w:b/>
          <w:sz w:val="20"/>
        </w:rPr>
        <w:t>Requisite Holders</w:t>
      </w:r>
      <w:r>
        <w:rPr>
          <w:rFonts w:ascii="Times New Roman" w:hAnsi="Times New Roman"/>
          <w:sz w:val="20"/>
        </w:rPr>
        <w:t xml:space="preserve">”; provided that, for purposes of determining the Requisite Holders, the shares held by RA Capital Healthcare Fund, L.P. and RA Capital Nexus Fund IV, L.P. shall be aggregated and treated as held by a single holder, and the shares held by RTW Holdings X, LLC shall not be aggregated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shares of any other holder), elect otherwise by written notice sent to the Corporation at least 10 days prior to the effective date of any such event: </w:t>
      </w:r>
    </w:p>
    <w:p>
      <w:pPr>
        <w:pStyle w:val="TextBody"/>
        <w:bidi w:val="0"/>
        <w:spacing w:before="120" w:after="0"/>
        <w:jc w:val="left"/>
        <w:rPr>
          <w:rFonts w:ascii="Times New Roman" w:hAnsi="Times New Roman"/>
          <w:sz w:val="20"/>
        </w:rPr>
      </w:pPr>
      <w:r>
        <w:rPr>
          <w:rFonts w:ascii="Times New Roman" w:hAnsi="Times New Roman"/>
          <w:sz w:val="20"/>
        </w:rPr>
        <w:t xml:space="preserve">(a) a merger, consolidation, statutory conversion, transfer, domestication, or continuance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1"/>
        <w:gridCol w:w="511"/>
        <w:gridCol w:w="7043"/>
      </w:tblGrid>
      <w:tr>
        <w:trPr/>
        <w:tc>
          <w:tcPr>
            <w:tcW w:w="2651"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is a constituent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subsidiary of the Corporation is a constituent party and the Corporation issues shares of its capital stock pursuant to such merger, consolidation, statutory conversion, transfer, domestication, or continuance,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 </w:t>
      </w:r>
    </w:p>
    <w:p>
      <w:pPr>
        <w:pStyle w:val="TextBody"/>
        <w:bidi w:val="0"/>
        <w:spacing w:before="240" w:after="0"/>
        <w:jc w:val="left"/>
        <w:rPr>
          <w:rFonts w:ascii="Times New Roman" w:hAnsi="Times New Roman"/>
          <w:sz w:val="20"/>
        </w:rPr>
      </w:pPr>
      <w:r>
        <w:rPr>
          <w:rFonts w:ascii="Times New Roman" w:hAnsi="Times New Roman"/>
          <w:sz w:val="20"/>
        </w:rPr>
        <w:t xml:space="preserve">(b) (i) the sale, lease, transfer, exclusive license or other disposition, in a single transaction or series of related transactions, by the Corporation or any subsidiary of the Corporation of all or substantially all the assets of the Corporation and its subsidiaries taken as a whole, or (ii) the sale, lease, transfer, exclusive license, or other disposition (whether by merger, consolidation, statutory conversion, domestication,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b/>
          <w:sz w:val="20"/>
        </w:rPr>
        <w:t>Effecting a Deemed Liquidation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not have the power to effect a Deemed Liquidation Event referred to in </w:t>
      </w:r>
      <w:r>
        <w:rPr>
          <w:rFonts w:ascii="Times New Roman" w:hAnsi="Times New Roman"/>
          <w:sz w:val="20"/>
          <w:u w:val="single"/>
        </w:rPr>
        <w:t>Section 2.3.1(a)(i)</w:t>
      </w:r>
      <w:r>
        <w:rPr>
          <w:rFonts w:ascii="Times New Roman" w:hAnsi="Times New Roman"/>
          <w:sz w:val="20"/>
        </w:rPr>
        <w:t xml:space="preserve"> unless the agreement or plan with respect to such transaction, or terms of such transaction (any such agreement, plan or terms, the “</w:t>
      </w:r>
      <w:r>
        <w:rPr>
          <w:rFonts w:ascii="Times New Roman" w:hAnsi="Times New Roman"/>
          <w:b/>
          <w:sz w:val="20"/>
        </w:rPr>
        <w:t>Transaction Document</w:t>
      </w:r>
      <w:r>
        <w:rPr>
          <w:rFonts w:ascii="Times New Roman" w:hAnsi="Times New Roman"/>
          <w:sz w:val="20"/>
        </w:rPr>
        <w:t xml:space="preserve">”), provide that the consideration payable to the stockholders of the Corporation in such Deemed Liquidation Event shall be allocated to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2.2.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 Deemed Liquidation Event referred to in </w:t>
      </w:r>
      <w:r>
        <w:rPr>
          <w:rFonts w:ascii="Times New Roman" w:hAnsi="Times New Roman"/>
          <w:sz w:val="20"/>
          <w:u w:val="single"/>
        </w:rPr>
        <w:t>Section 2.3.1(a)(ii)</w:t>
      </w:r>
      <w:r>
        <w:rPr>
          <w:rFonts w:ascii="Times New Roman" w:hAnsi="Times New Roman"/>
          <w:sz w:val="20"/>
        </w:rPr>
        <w:t xml:space="preserve"> or </w:t>
      </w:r>
      <w:r>
        <w:rPr>
          <w:rFonts w:ascii="Times New Roman" w:hAnsi="Times New Roman"/>
          <w:sz w:val="20"/>
          <w:u w:val="single"/>
        </w:rPr>
        <w:t>2.3.1(b</w:t>
      </w:r>
      <w:r>
        <w:rPr>
          <w:rFonts w:ascii="Times New Roman" w:hAnsi="Times New Roman"/>
          <w:sz w:val="20"/>
        </w:rPr>
        <w:t xml:space="preserve">),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than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 w:hAnsi="Times New Roman"/>
          <w:b/>
          <w:sz w:val="20"/>
        </w:rPr>
        <w:t>Available</w:t>
      </w:r>
      <w:r>
        <w:rPr>
          <w:rFonts w:ascii="Times New Roman" w:hAnsi="Times New Roman"/>
          <w:sz w:val="20"/>
        </w:rPr>
        <w:t xml:space="preserve"> </w:t>
      </w:r>
      <w:r>
        <w:rPr>
          <w:rFonts w:ascii="Times New Roman" w:hAnsi="Times New Roman"/>
          <w:b/>
          <w:sz w:val="20"/>
        </w:rPr>
        <w:t>Proceeds</w:t>
      </w:r>
      <w:r>
        <w:rPr>
          <w:rFonts w:ascii="Times New Roman" w:hAnsi="Times New Roman"/>
          <w:sz w:val="20"/>
        </w:rPr>
        <w:t>”) on the 150th day after such Deemed Liquidation Event (the “</w:t>
      </w:r>
      <w:r>
        <w:rPr>
          <w:rFonts w:ascii="Times New Roman" w:hAnsi="Times New Roman"/>
          <w:b/>
          <w:sz w:val="20"/>
        </w:rPr>
        <w:t>DLE Redemption Date</w:t>
      </w:r>
      <w:r>
        <w:rPr>
          <w:rFonts w:ascii="Times New Roman" w:hAnsi="Times New Roman"/>
          <w:sz w:val="20"/>
        </w:rPr>
        <w:t xml:space="preserve">”), to redeem all outstanding shares of Preferred Stock at a price per share equal to the applicable Liquidation Amount; </w:t>
      </w:r>
      <w:r>
        <w:rPr>
          <w:rFonts w:ascii="Times New Roman" w:hAnsi="Times New Roman"/>
          <w:i/>
          <w:sz w:val="20"/>
        </w:rPr>
        <w:t>provided</w:t>
      </w:r>
      <w:r>
        <w:rPr>
          <w:rFonts w:ascii="Times New Roman" w:hAnsi="Times New Roman"/>
          <w:sz w:val="20"/>
        </w:rPr>
        <w:t xml:space="preserve">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Times New Roman" w:hAnsi="Times New Roman"/>
          <w:sz w:val="20"/>
          <w:u w:val="single"/>
        </w:rPr>
        <w:t>Section 2.3.2</w:t>
      </w:r>
      <w:r>
        <w:rPr>
          <w:rFonts w:ascii="Times New Roman" w:hAnsi="Times New Roman"/>
          <w:sz w:val="20"/>
        </w:rPr>
        <w:t xml:space="preserve">, the Corporation shall not expend or dissipate the Available Proceeds for any purpose, except to discharge expenses incurred in connection with such Deemed Liquidation Event. In connection with a distribution or redemption provided for in </w:t>
      </w:r>
      <w:r>
        <w:rPr>
          <w:rFonts w:ascii="Times New Roman" w:hAnsi="Times New Roman"/>
          <w:sz w:val="20"/>
          <w:u w:val="single"/>
        </w:rPr>
        <w:t>Section 2.3.2</w:t>
      </w:r>
      <w:r>
        <w:rPr>
          <w:rFonts w:ascii="Times New Roman" w:hAnsi="Times New Roman"/>
          <w:sz w:val="20"/>
        </w:rPr>
        <w:t>, the Corporation shall send written notice of the redemption (the “</w:t>
      </w:r>
      <w:r>
        <w:rPr>
          <w:rFonts w:ascii="Times New Roman" w:hAnsi="Times New Roman"/>
          <w:b/>
          <w:sz w:val="20"/>
        </w:rPr>
        <w:t>Redemption Notice</w:t>
      </w:r>
      <w:r>
        <w:rPr>
          <w:rFonts w:ascii="Times New Roman" w:hAnsi="Times New Roman"/>
          <w:sz w:val="20"/>
        </w:rPr>
        <w:t xml:space="preserve">”) to each holder of record of Preferred Stock. Each Redemption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held by the holder that the Corporation shall redeem on the date specified in the Redemption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9"/>
        <w:gridCol w:w="7043"/>
      </w:tblGrid>
      <w:tr>
        <w:trPr/>
        <w:tc>
          <w:tcPr>
            <w:tcW w:w="265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and the price per share at which the shares of Preferred Stock are being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holders of shares in certificated form, that the holder is to surrender to the Corporation, in the manner and at the place designated, his, her or its certificate or certificates representing the shares of Preferred Stock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b/>
          <w:sz w:val="20"/>
        </w:rPr>
        <w:t>Amount Deemed Paid or Distributed</w:t>
      </w:r>
      <w:r>
        <w:rPr>
          <w:rFonts w:ascii="Times New Roman" w:hAnsi="Times New Roman"/>
          <w:sz w:val="20"/>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Requisite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2.3.4 </w:t>
      </w:r>
      <w:r>
        <w:rPr>
          <w:rFonts w:ascii="Times New Roman" w:hAnsi="Times New Roman"/>
          <w:b/>
          <w:sz w:val="20"/>
        </w:rPr>
        <w:t>Allocation of Escrow and Contingent Consideration</w:t>
      </w:r>
      <w:r>
        <w:rPr>
          <w:rFonts w:ascii="Times New Roman" w:hAnsi="Times New Roman"/>
          <w:sz w:val="20"/>
        </w:rPr>
        <w:t xml:space="preserve">. In the event of a Deemed Liquidation Event pursuant to </w:t>
      </w:r>
      <w:r>
        <w:rPr>
          <w:rFonts w:ascii="Times New Roman" w:hAnsi="Times New Roman"/>
          <w:sz w:val="20"/>
          <w:u w:val="single"/>
        </w:rPr>
        <w:t>Section 2.3.1(a)(i)</w:t>
      </w:r>
      <w:r>
        <w:rPr>
          <w:rFonts w:ascii="Times New Roman" w:hAnsi="Times New Roman"/>
          <w:sz w:val="20"/>
        </w:rPr>
        <w:t>, if any portion of the consideration payable to the stockholders of the Corporation is payable only upon satisfaction of contingencies (the “</w:t>
      </w:r>
      <w:r>
        <w:rPr>
          <w:rFonts w:ascii="Times New Roman" w:hAnsi="Times New Roman"/>
          <w:b/>
          <w:sz w:val="20"/>
        </w:rPr>
        <w:t>Additional Consideration</w:t>
      </w:r>
      <w:r>
        <w:rPr>
          <w:rFonts w:ascii="Times New Roman" w:hAnsi="Times New Roman"/>
          <w:sz w:val="20"/>
        </w:rPr>
        <w:t>”), the Transaction Document shall provide that (a) the portion of such consideration that is not Additional Consideration (such portion, the “</w:t>
      </w:r>
      <w:r>
        <w:rPr>
          <w:rFonts w:ascii="Times New Roman" w:hAnsi="Times New Roman"/>
          <w:b/>
          <w:sz w:val="20"/>
        </w:rPr>
        <w:t>Initial Consideration</w:t>
      </w:r>
      <w:r>
        <w:rPr>
          <w:rFonts w:ascii="Times New Roman" w:hAnsi="Times New Roman"/>
          <w:sz w:val="20"/>
        </w:rPr>
        <w:t xml:space="preserve">”)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after taking into account the previous payment of the Initial Consideration as part of the same transaction. For the purposes of this </w:t>
      </w:r>
      <w:r>
        <w:rPr>
          <w:rFonts w:ascii="Times New Roman" w:hAnsi="Times New Roman"/>
          <w:sz w:val="20"/>
          <w:u w:val="single"/>
        </w:rPr>
        <w:t>Section 2.3.4</w:t>
      </w:r>
      <w:r>
        <w:rPr>
          <w:rFonts w:ascii="Times New Roman" w:hAnsi="Times New Roman"/>
          <w:sz w:val="20"/>
        </w:rPr>
        <w:t xml:space="preserve">, consideration placed into escrow or retained as a holdback to be available for satisfaction of indemnification or similar obligations in connection with such Deemed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a meeting), each holder of outstanding shares of Series A Preferred Stock shall be entitled to cast the number of votes equal to the number of whole shares of Common Stock into which the shares of Series A Preferred Stock held by such holder are convertible (as provided in </w:t>
      </w:r>
      <w:r>
        <w:rPr>
          <w:rFonts w:ascii="Times New Roman" w:hAnsi="Times New Roman"/>
          <w:sz w:val="20"/>
          <w:u w:val="single"/>
        </w:rPr>
        <w:t>Section 4</w:t>
      </w:r>
      <w:r>
        <w:rPr>
          <w:rFonts w:ascii="Times New Roman" w:hAnsi="Times New Roman"/>
          <w:sz w:val="20"/>
        </w:rPr>
        <w:t xml:space="preserve"> below) as of the record date for determining stockholders entitled to vote on such matter. Except as provided by law or by the other provisions of this Certificate of Incorporation, holders of Series A Preferred Stock shall vote together with the holders of Common Stock as a single class and on an as-converted to Common Stock basis. Except as required by the General Corporation Law, holders of Series A-1 Preferred Stock shall have no voting rights and shall not be entitled to vote on any matter presented to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At all times when at least 15,334,197 shares of Series A Preferred Stock remain outstanding (subject to appropriate adjustment in the event of any stock dividend, stock split, combination, or other similar recapitalization with respect to the Series A Preferred Stock), the holders of record of the shares of Series A Preferred Stock, exclusively and voting together as a separate class on an as-converted to Common Stock basis, shall be entitled to elect five directors of the Corporation (the “</w:t>
      </w:r>
      <w:r>
        <w:rPr>
          <w:rFonts w:ascii="Times New Roman" w:hAnsi="Times New Roman"/>
          <w:b/>
          <w:sz w:val="20"/>
        </w:rPr>
        <w:t>Preferred Directors</w:t>
      </w:r>
      <w:r>
        <w:rPr>
          <w:rFonts w:ascii="Times New Roman" w:hAnsi="Times New Roman"/>
          <w:sz w:val="20"/>
        </w:rPr>
        <w:t xml:space="preserve">”); (ii) the holders of Common Stock and Series A Preferred Stock, voting together as a single class on an as-converted basis, shall be entitled to elect one director, who shall be the Chief Executive Officer; (iii) the holders of Common Stock and Series A Preferred Stock, voting together as a single class on an as-converted basis, shall be entitled to elect one director who is not an employee or Affiliate of the Corporation or any holder of Preferred Stock; and (iv) the holders of record of the shares of Common Stock and of any other class or series of voting stock (including the Series A Preferred Stock), exclusively and voting together as a single class on an as-converted to Common Stock basis, shall be entitled to elect the balance of the total number of directors of the Corporation. Notwithstanding the foregoing, for administrative convenience, the initial Preferred Directors may also be appointed by the Board of Directors in connection with the approval of the initial issuance of Series A Preferred Stock without a separate action by the holders of Series 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director elected as provided in </w:t>
      </w:r>
      <w:r>
        <w:rPr>
          <w:rFonts w:ascii="Times New Roman" w:hAnsi="Times New Roman"/>
          <w:sz w:val="20"/>
          <w:u w:val="single"/>
        </w:rPr>
        <w:t>Section 3.2(a)(i)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appointed by the proviso of </w:t>
      </w:r>
      <w:r>
        <w:rPr>
          <w:rFonts w:ascii="Times New Roman" w:hAnsi="Times New Roman"/>
          <w:sz w:val="20"/>
          <w:u w:val="single"/>
        </w:rPr>
        <w:t>Section 3.2(a)</w:t>
      </w:r>
      <w:r>
        <w:rPr>
          <w:rFonts w:ascii="Times New Roman" w:hAnsi="Times New Roman"/>
          <w:sz w:val="20"/>
        </w:rPr>
        <w:t xml:space="preserve">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8"/>
        <w:gridCol w:w="7045"/>
      </w:tblGrid>
      <w:tr>
        <w:trPr/>
        <w:tc>
          <w:tcPr>
            <w:tcW w:w="265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70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holders of shares of Series A Preferred Stock or Common Stock, as the case may be, fail to elect a sufficient number of directors to fill all directorships for which they are entitled to elect directors pursuant to </w:t>
            </w:r>
            <w:r>
              <w:rPr>
                <w:rFonts w:ascii="Times New Roman" w:hAnsi="Times New Roman"/>
                <w:sz w:val="20"/>
                <w:u w:val="single"/>
              </w:rPr>
              <w:t>Section 3.2(a)</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3.2(a)</w:t>
            </w:r>
            <w:r>
              <w:rPr>
                <w:rFonts w:ascii="Times New Roman" w:hAnsi="Times New Roman"/>
                <w:sz w:val="20"/>
              </w:rPr>
              <w:t xml:space="preserve">), then any directorship not so filled shall remain vacant until such time as the holders of the Preferred Stock or Common Stock, as the case may be, fill such directorship in accordance with </w:t>
            </w:r>
            <w:r>
              <w:rPr>
                <w:rFonts w:ascii="Times New Roman" w:hAnsi="Times New Roman"/>
                <w:sz w:val="20"/>
                <w:u w:val="single"/>
              </w:rPr>
              <w:t>Section 3.2(a)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vacancy in the director seat described in Section 3.2(a)(ii) or (iii) can be filled by either (A) the stockholders entitled to elect such director, or (B) a majority of the remaining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At any meeting held for the purpose of electing a director, the presence in person or by proxy of the holders of a majority of the outstanding shares of the class or series of capital stock entitled to elect such director shall constitute a quorum for the purpose of electing such director. </w:t>
      </w:r>
    </w:p>
    <w:p>
      <w:pPr>
        <w:pStyle w:val="TextBody"/>
        <w:bidi w:val="0"/>
        <w:spacing w:before="240" w:after="0"/>
        <w:jc w:val="left"/>
        <w:rPr>
          <w:rFonts w:ascii="Times New Roman" w:hAnsi="Times New Roman"/>
          <w:sz w:val="20"/>
        </w:rPr>
      </w:pPr>
      <w:r>
        <w:rPr>
          <w:rFonts w:ascii="Times New Roman" w:hAnsi="Times New Roman"/>
          <w:sz w:val="20"/>
        </w:rPr>
        <w:t>(e) For purposes of this Certificate of Incorporation, “</w:t>
      </w:r>
      <w:r>
        <w:rPr>
          <w:rFonts w:ascii="Times New Roman" w:hAnsi="Times New Roman"/>
          <w:b/>
          <w:sz w:val="20"/>
        </w:rPr>
        <w:t>Requisite Directors</w:t>
      </w:r>
      <w:r>
        <w:rPr>
          <w:rFonts w:ascii="Times New Roman" w:hAnsi="Times New Roman"/>
          <w:sz w:val="20"/>
        </w:rPr>
        <w:t xml:space="preserve">” means the Board of Directors, including at least a majority of the Preferred Directors then seated.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Preferred Stock Protective Provisions</w:t>
      </w:r>
      <w:r>
        <w:rPr>
          <w:rFonts w:ascii="Times New Roman" w:hAnsi="Times New Roman"/>
          <w:sz w:val="20"/>
        </w:rPr>
        <w:t xml:space="preserve">. At any time when at least 21,178,375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reorganization, recapitalization, reclassification, waiver, statutory conversion, or otherwise, effect any of the following acts or transactions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3.3.1 liquidate, dissolve or wind up the affairs of the Corporation or effect any Deemed Liquidation Event or any other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3.3.2 amend, alter or repeal any provision of the Certificate of Incorporation or Bylaws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3.3.3 create, issue or obligate itself to issue (A) shares of any capital stock unless the same ranks junior to the Preferred Stock with respect to its special rights, powers and preferences, or (B) any Simple Agreements for Future Equity or convertible notes which may convert into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3.3.4 increase or decrease the authorized number of shares of Common Stock, Preferred Stock or any additional class or series of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3.3.5 purchase or redeem or pay or declare any dividend or make any distribution on any capital stock, other than (A) redemptions of or dividends or distributions on the Preferred Stock as authorized in the Certificate of Incorporation, (B) dividends or other distributions payable on the Common Stock solely in the form of additional shares of Common Stock; (C) stock repurchased from former employees or consultants in connection with the cessation of their employment/services, at no greater than the original purchase price thereof, and (D) redemptions, dividends or repurchases approved by the Requisite Directors; </w:t>
      </w:r>
    </w:p>
    <w:p>
      <w:pPr>
        <w:pStyle w:val="TextBody"/>
        <w:bidi w:val="0"/>
        <w:spacing w:before="240" w:after="0"/>
        <w:jc w:val="left"/>
        <w:rPr>
          <w:rFonts w:ascii="Times New Roman" w:hAnsi="Times New Roman"/>
          <w:sz w:val="20"/>
        </w:rPr>
      </w:pPr>
      <w:r>
        <w:rPr>
          <w:rFonts w:ascii="Times New Roman" w:hAnsi="Times New Roman"/>
          <w:sz w:val="20"/>
        </w:rPr>
        <w:t xml:space="preserve">3.3.6 without the approval of the Requisite Directors, (A) create or adopt any equity compensation plan or (B) amend any such plan to increase the number of shares authorized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3.3.7 create, or issue, any debt security,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w:t>
      </w:r>
    </w:p>
    <w:p>
      <w:pPr>
        <w:pStyle w:val="TextBody"/>
        <w:bidi w:val="0"/>
        <w:spacing w:before="240" w:after="0"/>
        <w:jc w:val="left"/>
        <w:rPr>
          <w:rFonts w:ascii="Times New Roman" w:hAnsi="Times New Roman"/>
          <w:sz w:val="20"/>
        </w:rPr>
      </w:pPr>
      <w:r>
        <w:rPr>
          <w:rFonts w:ascii="Times New Roman" w:hAnsi="Times New Roman"/>
          <w:sz w:val="20"/>
        </w:rPr>
        <w:t xml:space="preserve">3.3.8 create, or hold capital stock in, any subsidiary that is not wholly owned (either directly or through one or more other subsidiaries) by the Corporation (or substantially wholly owned other than de minimis holdings of a second holder as may be required by non-U.S. law), or permit any subsidiary to create,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3.3.9 increase or decrease the authorized number of directors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3.3.10 sell, assign, license, pledge or encumber material technology or intellectual property, or enter into or grant any royalty streams related thereto, other than transactions entered into in the ordinary course of business, unless approved by the Board of Directors, including the approval of at least one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3.3.11 unless otherwise approved by the Requisite Directors, make, or permit any subsidiary to make, any loan or advance to any entity or individual, including, without limitation, any employee or director of the Corporation or any subsidiary, except advances and similar expenditures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3.3.12 unless otherwise approved by the Requisite Directors, guarantee, directly or indirectly, or permit any subsidiary to guarantee, directly or indirectly, any indebtedness except for trade accounts of the Corporation or any subsidiary arising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3.3.13 unless otherwise approved by the Requisite Directors, hire, terminate, or change the compensation of, approve or amend any stock or option awards to, or enter into any non-employment related transaction with, the Chief Executive Officer, any individual reporting directly to the Board of Directors, or executive-level individual reporting directly to the Chief Executive Officer, or any immediate family member of any such individual; or </w:t>
      </w:r>
    </w:p>
    <w:p>
      <w:pPr>
        <w:pStyle w:val="TextBody"/>
        <w:bidi w:val="0"/>
        <w:spacing w:before="240" w:after="0"/>
        <w:jc w:val="left"/>
        <w:rPr>
          <w:rFonts w:ascii="Times New Roman" w:hAnsi="Times New Roman"/>
          <w:sz w:val="20"/>
        </w:rPr>
      </w:pPr>
      <w:r>
        <w:rPr>
          <w:rFonts w:ascii="Times New Roman" w:hAnsi="Times New Roman"/>
          <w:sz w:val="20"/>
        </w:rPr>
        <w:t xml:space="preserve">3.3.14 unless otherwise approved by the Requisite Directors, approve any equity grant to any employee who holds at least 1% of the capital stock of the Corporation (on an as-converted basis) that (A) vests other than on a four-year schedule with a one-year cliff, (B) provides for acceleration of vesting, or (C) is not subject to a right of first refusal in favor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Conversion</w:t>
      </w:r>
      <w:r>
        <w:rPr>
          <w:rFonts w:ascii="Times New Roman" w:hAnsi="Times New Roman"/>
          <w:sz w:val="20"/>
        </w:rPr>
        <w:t>. The holders of the Preferred Stock shall have conversion rights as follows (the “</w:t>
      </w:r>
      <w:r>
        <w:rPr>
          <w:rFonts w:ascii="Times New Roman" w:hAnsi="Times New Roman"/>
          <w:b/>
          <w:sz w:val="20"/>
        </w:rPr>
        <w:t>Conversion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rPr>
        <w:t>Conversion Ratio</w:t>
      </w:r>
      <w:r>
        <w:rPr>
          <w:rFonts w:ascii="Times New Roman" w:hAnsi="Times New Roman"/>
          <w:sz w:val="20"/>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 w:hAnsi="Times New Roman"/>
          <w:sz w:val="20"/>
          <w:u w:val="single"/>
        </w:rPr>
        <w:t>Section 4.2</w:t>
      </w:r>
      <w:r>
        <w:rPr>
          <w:rFonts w:ascii="Times New Roman" w:hAnsi="Times New Roman"/>
          <w:sz w:val="20"/>
        </w:rPr>
        <w:t xml:space="preserve"> below), as is determined by dividing the applicable Original Issue Price by the applicable Conversion Price (as defined below) in effect at the time of conversion. The “</w:t>
      </w:r>
      <w:r>
        <w:rPr>
          <w:rFonts w:ascii="Times New Roman" w:hAnsi="Times New Roman"/>
          <w:b/>
          <w:sz w:val="20"/>
        </w:rPr>
        <w:t>Conversion Price</w:t>
      </w:r>
      <w:r>
        <w:rPr>
          <w:rFonts w:ascii="Times New Roman" w:hAnsi="Times New Roman"/>
          <w:sz w:val="20"/>
        </w:rPr>
        <w:t xml:space="preserve">” applicable to the Preferred Stock as of the Original Issue Date shall be equal to $4.50 per share of the Series A Preferred Stock. The Conversion Price for the Series A-1 Preferred Stock as of the Original Issue Date shall be $4.50 per share (which shall be equal to the initial Conversion Price for the Series A Preferred Stock). Such initial Conversion Price for a series of Preferred Stock, and the rate at which shares of Preferred Stock may be converted into shares of Common Stock, shall be subject to adjustment as provided in this </w:t>
      </w:r>
      <w:r>
        <w:rPr>
          <w:rFonts w:ascii="Times New Roman" w:hAnsi="Times New Roman"/>
          <w:sz w:val="20"/>
          <w:u w:val="single"/>
        </w:rPr>
        <w:t>Section 4</w:t>
      </w:r>
      <w:r>
        <w:rPr>
          <w:rFonts w:ascii="Times New Roman" w:hAnsi="Times New Roman"/>
          <w:sz w:val="20"/>
        </w:rPr>
        <w:t xml:space="preserve">. Notwithstanding the foregoing and notwithstanding </w:t>
      </w:r>
      <w:r>
        <w:rPr>
          <w:rFonts w:ascii="Times New Roman" w:hAnsi="Times New Roman"/>
          <w:sz w:val="20"/>
          <w:u w:val="single"/>
        </w:rPr>
        <w:t>Section 4.3.1</w:t>
      </w:r>
      <w:r>
        <w:rPr>
          <w:rFonts w:ascii="Times New Roman" w:hAnsi="Times New Roman"/>
          <w:sz w:val="20"/>
        </w:rPr>
        <w:t xml:space="preserve">, the optional right to convert shares of Series A Preferred Stock into shares of Common Stock pursuant to the first sentence of this </w:t>
      </w:r>
      <w:r>
        <w:rPr>
          <w:rFonts w:ascii="Times New Roman" w:hAnsi="Times New Roman"/>
          <w:sz w:val="20"/>
          <w:u w:val="single"/>
        </w:rPr>
        <w:t>Section 4.1.1</w:t>
      </w:r>
      <w:r>
        <w:rPr>
          <w:rFonts w:ascii="Times New Roman" w:hAnsi="Times New Roman"/>
          <w:sz w:val="20"/>
        </w:rPr>
        <w:t xml:space="preserve"> shall be suspended, and no optional conversion of Series A Preferred Stock may be effective, from and after the date the Corporation delivers (pursuant to Section 5.2.1 below) notice of a Qualified Financing (as defined below) until immediately after the earlier of (x) consummation of the Qualified Financing and the associated Special Mandatory Conversion or (y) termination of the Qualified Financing; provided, however, that the foregoing limitation on the right to optionally convert shares into Common Stock pursuant to this Section 4.1.1 shall not affect the calculation of the number of shares deemed issuable upon conversion of such shares for purposes of (A) voting rights under this Certificate of Incorporation, or (B) determining amounts payable in respect of shares of Series A Preferred Stock in connection with a dissolution, liquidation, or winding up of the Corporation or pursuant to a Deemed Liquidation Event. For the avoidance of doubt, this suspension shall not apply to the Series A-1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rPr>
        <w:t>Termination of Conversion Rights</w:t>
      </w:r>
      <w:r>
        <w:rPr>
          <w:rFonts w:ascii="Times New Roman" w:hAnsi="Times New Roman"/>
          <w:sz w:val="20"/>
        </w:rPr>
        <w:t xml:space="preserve">. In the event of a notice of redemption of any shares of Preferred Stock pursuant to </w:t>
      </w:r>
      <w:r>
        <w:rPr>
          <w:rFonts w:ascii="Times New Roman" w:hAnsi="Times New Roman"/>
          <w:sz w:val="20"/>
          <w:u w:val="single"/>
        </w:rPr>
        <w:t>Section 2.3.2(b)</w:t>
      </w:r>
      <w:r>
        <w:rPr>
          <w:rFonts w:ascii="Times New Roman" w:hAnsi="Times New Roman"/>
          <w:sz w:val="20"/>
        </w:rPr>
        <w:t xml:space="preserve">, the Conversion Rights of the shares designated for redemption shall terminate at 5:00 p.m. Eastern time (the “close of business” for purposes hereof)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hAnsi="Times New Roman"/>
          <w:i/>
          <w:sz w:val="20"/>
        </w:rPr>
        <w:t>provided</w:t>
      </w:r>
      <w:r>
        <w:rPr>
          <w:rFonts w:ascii="Times New Roman" w:hAnsi="Times New Roman"/>
          <w:sz w:val="20"/>
        </w:rPr>
        <w:t xml:space="preserve"> that the foregoing termination of Conversion Rights shall not affect the amount(s) otherwise paid or payable in accordance with </w:t>
      </w:r>
      <w:r>
        <w:rPr>
          <w:rFonts w:ascii="Times New Roman" w:hAnsi="Times New Roman"/>
          <w:sz w:val="20"/>
          <w:u w:val="single"/>
        </w:rPr>
        <w:t>Section 2.1</w:t>
      </w:r>
      <w:r>
        <w:rPr>
          <w:rFonts w:ascii="Times New Roman" w:hAnsi="Times New Roman"/>
          <w:sz w:val="20"/>
        </w:rPr>
        <w:t xml:space="preserve"> to the holders of Preferred Stock pursuant to such liquidation, dissolution or winding up of the Corporation or a Deemed Liquidation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Number of Shares Issuable Upon Conversion</w:t>
      </w:r>
      <w:r>
        <w:rPr>
          <w:rFonts w:ascii="Times New Roman" w:hAnsi="Times New Roman"/>
          <w:sz w:val="20"/>
        </w:rPr>
        <w:t xml:space="preserve">. The number of shares of Common Stock issuable to a holder of Preferred Stock upon conversion of such Preferred Stock shall be the nearest whole share, after aggregating all fractional interests in shares of Common Stock that would otherwise be issuable upon conversion of all shares of that same series of Preferred Stock being converted by such holder (with any fractional interests after such aggregation representing 0.5 or greater of a whole share being entitled to a whole share). For the avoidance of doubt, no fractional interests in shares of Common Stock shall be created or issuable as a result of the conversion of the Preferred Stock pursuant to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b/>
          <w:sz w:val="20"/>
        </w:rPr>
        <w:t>Notice of Conversion</w:t>
      </w:r>
      <w:r>
        <w:rPr>
          <w:rFonts w:ascii="Times New Roman" w:hAnsi="Times New Roman"/>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Unless a later time and date is otherwise specified by the Corporation,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hAnsi="Times New Roman"/>
          <w:b/>
          <w:sz w:val="20"/>
        </w:rPr>
        <w:t>Conversion Time</w:t>
      </w:r>
      <w:r>
        <w:rPr>
          <w:rFonts w:ascii="Times New Roman" w:hAnsi="Times New Roman"/>
          <w:sz w:val="20"/>
        </w:rPr>
        <w:t xml:space="preserve">”), and the shares of Common Stock issuable upon conversion of the specified shares shall be deemed to be outstanding of record as of such date. The Corporation shall, as soon as practicable after the Conversion Time (i)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the shares of Preferred Stock represented by any surrendered certificate that were not converted into Common Stock, and (ii) pay all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b/>
          <w:sz w:val="20"/>
        </w:rPr>
        <w:t>Reservation of Shares</w:t>
      </w:r>
      <w:r>
        <w:rPr>
          <w:rFonts w:ascii="Times New Roman" w:hAnsi="Times New Roman"/>
          <w:sz w:val="20"/>
        </w:rPr>
        <w:t xml:space="preserve">.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that would 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4.3.3 </w:t>
      </w:r>
      <w:r>
        <w:rPr>
          <w:rFonts w:ascii="Times New Roman" w:hAnsi="Times New Roman"/>
          <w:b/>
          <w:sz w:val="20"/>
        </w:rPr>
        <w:t>Effect of Conversion</w:t>
      </w:r>
      <w:r>
        <w:rPr>
          <w:rFonts w:ascii="Times New Roman" w:hAnsi="Times New Roman"/>
          <w:sz w:val="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 </w:t>
      </w:r>
    </w:p>
    <w:p>
      <w:pPr>
        <w:pStyle w:val="TextBody"/>
        <w:bidi w:val="0"/>
        <w:spacing w:before="240" w:after="0"/>
        <w:jc w:val="left"/>
        <w:rPr>
          <w:rFonts w:ascii="Times New Roman" w:hAnsi="Times New Roman"/>
          <w:sz w:val="20"/>
        </w:rPr>
      </w:pPr>
      <w:r>
        <w:rPr>
          <w:rFonts w:ascii="Times New Roman" w:hAnsi="Times New Roman"/>
          <w:sz w:val="20"/>
        </w:rPr>
        <w:t xml:space="preserve">4.3.4 </w:t>
      </w:r>
      <w:r>
        <w:rPr>
          <w:rFonts w:ascii="Times New Roman" w:hAnsi="Times New Roman"/>
          <w:b/>
          <w:sz w:val="20"/>
        </w:rPr>
        <w:t>No Further Adjustment</w:t>
      </w:r>
      <w:r>
        <w:rPr>
          <w:rFonts w:ascii="Times New Roman" w:hAnsi="Times New Roman"/>
          <w:sz w:val="20"/>
        </w:rPr>
        <w:t xml:space="preserve">. Upon any such conversion, no adjustment to the Conversion Price shall be made for any declared but unpaid dividends on the Preferred Stock surrendered for conversion or on the Common Stock delivered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4.3.5 </w:t>
      </w:r>
      <w:r>
        <w:rPr>
          <w:rFonts w:ascii="Times New Roman" w:hAnsi="Times New Roman"/>
          <w:b/>
          <w:sz w:val="20"/>
        </w:rPr>
        <w:t>Taxes</w:t>
      </w:r>
      <w:r>
        <w:rPr>
          <w:rFonts w:ascii="Times New Roman" w:hAnsi="Times New Roman"/>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hAnsi="Times New Roman"/>
          <w:sz w:val="20"/>
          <w:u w:val="single"/>
        </w:rPr>
        <w:t>Section 4</w:t>
      </w:r>
      <w:r>
        <w:rPr>
          <w:rFonts w:ascii="Times New Roman" w:hAnsi="Times New Roman"/>
          <w:sz w:val="20"/>
        </w:rPr>
        <w:t xml:space="preserve">.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Adjustments</w:t>
      </w:r>
      <w:r>
        <w:rPr>
          <w:rFonts w:ascii="Times New Roman" w:hAnsi="Times New Roman"/>
          <w:sz w:val="20"/>
        </w:rPr>
        <w:t xml:space="preserve"> </w:t>
      </w:r>
      <w:r>
        <w:rPr>
          <w:rFonts w:ascii="Times New Roman" w:hAnsi="Times New Roman"/>
          <w:b/>
          <w:sz w:val="20"/>
        </w:rPr>
        <w:t>to Preferred Stock Conversion Price for Diluting Issues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b/>
          <w:sz w:val="20"/>
        </w:rPr>
        <w:t>Special Definitions</w:t>
      </w:r>
      <w:r>
        <w:rPr>
          <w:rFonts w:ascii="Times New Roman" w:hAnsi="Times New Roman"/>
          <w:sz w:val="20"/>
        </w:rPr>
        <w:t xml:space="preserve">. For purposes of this Article Fourth, the following definitions shall apply: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Additional Shares of Common Stock</w:t>
      </w:r>
      <w:r>
        <w:rPr>
          <w:rFonts w:ascii="Times New Roman" w:hAnsi="Times New Roman"/>
          <w:sz w:val="20"/>
        </w:rPr>
        <w:t xml:space="preserve">” means all shares of Common Stock issued (or, pursuant to </w:t>
      </w:r>
      <w:r>
        <w:rPr>
          <w:rFonts w:ascii="Times New Roman" w:hAnsi="Times New Roman"/>
          <w:sz w:val="20"/>
          <w:u w:val="single"/>
        </w:rPr>
        <w:t>Section 4.4.3</w:t>
      </w:r>
      <w:r>
        <w:rPr>
          <w:rFonts w:ascii="Times New Roman" w:hAnsi="Times New Roman"/>
          <w:sz w:val="20"/>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 w:hAnsi="Times New Roman"/>
          <w:b/>
          <w:sz w:val="20"/>
        </w:rPr>
        <w:t>Exempted 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series of Preferred Stock, shares of Common Stock, Options or Convertible Securities issued as a dividend or distribution on such series of Preferred Stock (including dividends payable in connection with dividends on other classes or series of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by reason of a dividend, stock split, split-up or other distribution on shares of Common Stock that is covered by </w:t>
            </w:r>
            <w:r>
              <w:rPr>
                <w:rFonts w:ascii="Times New Roman" w:hAnsi="Times New Roman"/>
                <w:sz w:val="20"/>
                <w:u w:val="single"/>
              </w:rPr>
              <w:t>Section 4.5</w:t>
            </w:r>
            <w:r>
              <w:rPr>
                <w:rFonts w:ascii="Times New Roman" w:hAnsi="Times New Roman"/>
                <w:sz w:val="20"/>
              </w:rPr>
              <w:t xml:space="preserve">, 4.6, </w:t>
            </w:r>
            <w:r>
              <w:rPr>
                <w:rFonts w:ascii="Times New Roman" w:hAnsi="Times New Roman"/>
                <w:sz w:val="20"/>
                <w:u w:val="single"/>
              </w:rPr>
              <w:t>4.7</w:t>
            </w:r>
            <w:r>
              <w:rPr>
                <w:rFonts w:ascii="Times New Roman" w:hAnsi="Times New Roman"/>
                <w:sz w:val="20"/>
              </w:rPr>
              <w:t xml:space="preserve"> or </w:t>
            </w:r>
            <w:r>
              <w:rPr>
                <w:rFonts w:ascii="Times New Roman" w:hAnsi="Times New Roman"/>
                <w:sz w:val="20"/>
                <w:u w:val="single"/>
              </w:rPr>
              <w:t>4.8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banks, equipment lessors or other financial institutions, or to real property lessors, pursuant to a debt financing, equipment leasing or real property leasing transaction approved by the Requisite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653"/>
        <w:gridCol w:w="509"/>
        <w:gridCol w:w="7043"/>
      </w:tblGrid>
      <w:tr>
        <w:trPr/>
        <w:tc>
          <w:tcPr>
            <w:tcW w:w="265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Options issued to employees or directors of, or consultants or advisors to, the Corporation or any of its subsidiaries pursuant to a plan, agreement or arrangement approved (i) prior to the Original Issue Date or (ii)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suppliers or third party service providers in connection with the provision of goods or services pursuant to transactions approved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 w:hAnsi="Times New Roman"/>
                <w:sz w:val="20"/>
                <w:u w:val="single"/>
              </w:rPr>
              <w:t>provided</w:t>
            </w:r>
            <w:r>
              <w:rPr>
                <w:rFonts w:ascii="Times New Roman" w:hAnsi="Times New Roman"/>
                <w:sz w:val="20"/>
              </w:rPr>
              <w:t xml:space="preserve"> that such issuances are approved by the Requisite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issued in connection with a firmly underwritten public offering of the Corporation’s Common Stock pursuant to an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in connection with sponsored research, collaboration, technology license, development, OEM, marketing or other similar agreements or strategic partnerships approved by the Requisite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Series A-1 Preferred Stock, shares of Common Stock issuable or issued upon conversion of Series A-1 Preferred Stock, warrants to purchase shares of Series A-1 Preferred Stock, or shares of Series A-1 Preferred Stock issuable or issued upon exercise of warrants to purchase shares of Series A-1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Convertible Securities</w:t>
      </w:r>
      <w:r>
        <w:rPr>
          <w:rFonts w:ascii="Times New Roman" w:hAnsi="Times New Roman"/>
          <w:sz w:val="20"/>
        </w:rPr>
        <w:t xml:space="preserve">” means any evidences of indebtedness, shares or other securities directly or indirectly convertible into or exchangeable for Common Stock, but excluding Options.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Option</w:t>
      </w:r>
      <w:r>
        <w:rPr>
          <w:rFonts w:ascii="Times New Roman" w:hAnsi="Times New Roman"/>
          <w:sz w:val="20"/>
        </w:rPr>
        <w:t xml:space="preserve">” means any rights, options or warrants to subscribe for, purchase or otherwise acquire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Original Issue Date</w:t>
      </w:r>
      <w:r>
        <w:rPr>
          <w:rFonts w:ascii="Times New Roman" w:hAnsi="Times New Roman"/>
          <w:sz w:val="20"/>
        </w:rPr>
        <w:t xml:space="preserve">” means the date on which the first share of Series A Preferred Stock is issued.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b/>
          <w:sz w:val="20"/>
        </w:rPr>
        <w:t>No Adjustment of Preferred Stock Conversion Price</w:t>
      </w:r>
      <w:r>
        <w:rPr>
          <w:rFonts w:ascii="Times New Roman" w:hAnsi="Times New Roman"/>
          <w:sz w:val="20"/>
        </w:rPr>
        <w:t xml:space="preserve">. No adjustment in the Conversion Price of any series of Preferred Stock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4.4.3 </w:t>
      </w:r>
      <w:r>
        <w:rPr>
          <w:rFonts w:ascii="Times New Roman" w:hAnsi="Times New Roman"/>
          <w:b/>
          <w:sz w:val="20"/>
        </w:rPr>
        <w:t>Deemed Issue of Additional 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any Option or Convertible Security, the issuance of which resulted in an adjustment to the Conversion Price of any series of Preferred Stock pursuant to the terms of </w:t>
      </w:r>
      <w:r>
        <w:rPr>
          <w:rFonts w:ascii="Times New Roman" w:hAnsi="Times New Roman"/>
          <w:sz w:val="20"/>
          <w:u w:val="single"/>
        </w:rPr>
        <w:t>Section 4.4.4</w:t>
      </w:r>
      <w:r>
        <w:rPr>
          <w:rFonts w:ascii="Times New Roman" w:hAnsi="Times New Roman"/>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for such series of Preferred Stock as would have obtained had such revised terms been in effect upon the original date of issuance of such Option or Convertible Security. Notwithstanding the foregoing, no readjustment pursuant to this </w:t>
      </w:r>
      <w:r>
        <w:rPr>
          <w:rFonts w:ascii="Times New Roman" w:hAnsi="Times New Roman"/>
          <w:sz w:val="20"/>
          <w:u w:val="single"/>
        </w:rPr>
        <w:t>Section B.4.4.3(b)</w:t>
      </w:r>
      <w:r>
        <w:rPr>
          <w:rFonts w:ascii="Times New Roman" w:hAnsi="Times New Roman"/>
          <w:sz w:val="20"/>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hAnsi="Times New Roman"/>
          <w:sz w:val="20"/>
          <w:u w:val="single"/>
        </w:rPr>
        <w:t>Section 4.4.4</w:t>
      </w:r>
      <w:r>
        <w:rPr>
          <w:rFonts w:ascii="Times New Roman" w:hAnsi="Times New Roman"/>
          <w:sz w:val="20"/>
        </w:rPr>
        <w:t xml:space="preserve"> (either because the consideration per share (determined pursuant to </w:t>
      </w:r>
      <w:r>
        <w:rPr>
          <w:rFonts w:ascii="Times New Roman" w:hAnsi="Times New Roman"/>
          <w:sz w:val="20"/>
          <w:u w:val="single"/>
        </w:rPr>
        <w:t>Section 4.4.5</w:t>
      </w:r>
      <w:r>
        <w:rPr>
          <w:rFonts w:ascii="Times New Roman" w:hAnsi="Times New Roman"/>
          <w:sz w:val="20"/>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sz w:val="20"/>
          <w:u w:val="single"/>
        </w:rPr>
        <w:t>Section 4.4.3(a)</w:t>
      </w:r>
      <w:r>
        <w:rPr>
          <w:rFonts w:ascii="Times New Roman" w:hAnsi="Times New Roman"/>
          <w:sz w:val="20"/>
        </w:rPr>
        <w:t xml:space="preserve"> shall be deemed to have been issued effective upon such increase or decrease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 w:hAnsi="Times New Roman"/>
          <w:sz w:val="20"/>
          <w:u w:val="single"/>
        </w:rPr>
        <w:t>Section 4.4.4</w:t>
      </w:r>
      <w:r>
        <w:rPr>
          <w:rFonts w:ascii="Times New Roman" w:hAnsi="Times New Roman"/>
          <w:sz w:val="20"/>
        </w:rPr>
        <w:t xml:space="preserve">, the Conversion Price of such series of Preferred Stock shall be readjusted to such Conversion Price for such series of Preferred Stock as would have obtained had such Option or Convertible Security (or portion thereof) never been issued. </w:t>
      </w:r>
    </w:p>
    <w:p>
      <w:pPr>
        <w:pStyle w:val="TextBody"/>
        <w:bidi w:val="0"/>
        <w:spacing w:before="240" w:after="0"/>
        <w:jc w:val="left"/>
        <w:rPr>
          <w:rFonts w:ascii="Times New Roman" w:hAnsi="Times New Roman"/>
          <w:sz w:val="20"/>
        </w:rPr>
      </w:pPr>
      <w:r>
        <w:rPr>
          <w:rFonts w:ascii="Times New Roman" w:hAnsi="Times New Roman"/>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w:t>
      </w:r>
      <w:r>
        <w:rPr>
          <w:rFonts w:ascii="Times New Roman" w:hAnsi="Times New Roman"/>
          <w:sz w:val="20"/>
          <w:u w:val="single"/>
        </w:rPr>
        <w:t>Section 4.4.3</w:t>
      </w:r>
      <w:r>
        <w:rPr>
          <w:rFonts w:ascii="Times New Roman" w:hAnsi="Times New Roman"/>
          <w:sz w:val="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hAnsi="Times New Roman"/>
          <w:sz w:val="20"/>
          <w:u w:val="single"/>
        </w:rPr>
        <w:t>Section 4.4.3</w:t>
      </w:r>
      <w:r>
        <w:rPr>
          <w:rFonts w:ascii="Times New Roman" w:hAnsi="Times New Roman"/>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hAnsi="Times New Roman"/>
          <w:sz w:val="20"/>
          <w:u w:val="single"/>
        </w:rPr>
        <w:t>Section 4.4.3</w:t>
      </w:r>
      <w:r>
        <w:rPr>
          <w:rFonts w:ascii="Times New Roman" w:hAnsi="Times New Roman"/>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4.4.4 </w:t>
      </w:r>
      <w:r>
        <w:rPr>
          <w:rFonts w:ascii="Times New Roman" w:hAnsi="Times New Roman"/>
          <w:b/>
          <w:sz w:val="20"/>
        </w:rPr>
        <w:t>Adjustment of Conversion Price Upon Issuance of Additional Shares of Common Stock</w:t>
      </w:r>
      <w:r>
        <w:rPr>
          <w:rFonts w:ascii="Times New Roman" w:hAnsi="Times New Roman"/>
          <w:sz w:val="20"/>
        </w:rPr>
        <w:t xml:space="preserve">. In the event the Corporation shall at any time after the Original Issue Date issue Additional Shares of Common Stock (including Additional Shares of Common Stock deemed to be issued pursuant to </w:t>
      </w:r>
      <w:r>
        <w:rPr>
          <w:rFonts w:ascii="Times New Roman" w:hAnsi="Times New Roman"/>
          <w:sz w:val="20"/>
          <w:u w:val="single"/>
        </w:rPr>
        <w:t>Section 4.4.3</w:t>
      </w:r>
      <w:r>
        <w:rPr>
          <w:rFonts w:ascii="Times New Roman" w:hAnsi="Times New Roman"/>
          <w:sz w:val="20"/>
        </w:rPr>
        <w:t xml:space="preserve">),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 </w:t>
      </w:r>
    </w:p>
    <w:p>
      <w:pPr>
        <w:pStyle w:val="TextBody"/>
        <w:bidi w:val="0"/>
        <w:spacing w:before="240" w:after="0"/>
        <w:jc w:val="center"/>
        <w:rPr>
          <w:rFonts w:ascii="Times New Roman" w:hAnsi="Times New Roman"/>
          <w:sz w:val="20"/>
        </w:rPr>
      </w:pPr>
      <w:r>
        <w:rPr>
          <w:rFonts w:ascii="Times New Roman" w:hAnsi="Times New Roman"/>
          <w:sz w:val="20"/>
        </w:rPr>
        <w:t xml:space="preserve">CP2 = CP1*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CP2</w:t>
      </w:r>
      <w:r>
        <w:rPr>
          <w:rFonts w:ascii="Times New Roman" w:hAnsi="Times New Roman"/>
          <w:sz w:val="20"/>
        </w:rPr>
        <w:t xml:space="preserve">” shall mean the Conversion Price of such series of Preferred Stock in effect immediately after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CP1</w:t>
      </w:r>
      <w:r>
        <w:rPr>
          <w:rFonts w:ascii="Times New Roman" w:hAnsi="Times New Roman"/>
          <w:sz w:val="20"/>
        </w:rPr>
        <w:t xml:space="preserve">” shall mean the Conversion Price of such series of Preferred Stock in effect immediately prior to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A</w:t>
      </w:r>
      <w:r>
        <w:rPr>
          <w:rFonts w:ascii="Times New Roman" w:hAnsi="Times New Roman"/>
          <w:sz w:val="20"/>
        </w:rPr>
        <w:t xml:space="preserve">”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B</w:t>
      </w:r>
      <w:r>
        <w:rPr>
          <w:rFonts w:ascii="Times New Roman" w:hAnsi="Times New Roman"/>
          <w:sz w:val="20"/>
        </w:rPr>
        <w:t xml:space="preserve">”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w:t>
      </w:r>
      <w:r>
        <w:rPr>
          <w:rFonts w:ascii="Times New Roman" w:hAnsi="Times New Roman"/>
          <w:sz w:val="20"/>
        </w:rPr>
        <w:t xml:space="preserve">” shall mean the number of such Additional Shares of Common Stock issued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4.4.5 </w:t>
      </w:r>
      <w:r>
        <w:rPr>
          <w:rFonts w:ascii="Times New Roman" w:hAnsi="Times New Roman"/>
          <w:b/>
          <w:sz w:val="20"/>
        </w:rPr>
        <w:t>Determination of Consideration</w:t>
      </w:r>
      <w:r>
        <w:rPr>
          <w:rFonts w:ascii="Times New Roman" w:hAnsi="Times New Roman"/>
          <w:sz w:val="20"/>
        </w:rPr>
        <w:t xml:space="preserve">. For purposes of this </w:t>
      </w:r>
      <w:r>
        <w:rPr>
          <w:rFonts w:ascii="Times New Roman" w:hAnsi="Times New Roman"/>
          <w:sz w:val="20"/>
          <w:u w:val="single"/>
        </w:rPr>
        <w:t>Section 4.4</w:t>
      </w:r>
      <w:r>
        <w:rPr>
          <w:rFonts w:ascii="Times New Roman" w:hAnsi="Times New Roman"/>
          <w:sz w:val="20"/>
        </w:rPr>
        <w:t xml:space="preserve">, the consideration received by the Corporation for the issuance or deemed issuance of any Additional Shares of Common Stock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Cash and Property</w:t>
      </w:r>
      <w:r>
        <w:rPr>
          <w:rFonts w:ascii="Times New Roman" w:hAnsi="Times New Roman"/>
          <w:sz w:val="20"/>
        </w:rPr>
        <w:t xml:space="preserve">. Such consideration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cash, be computed at the aggregate amount of cash received by the Corporation, excluding amounts paid or payable for accrued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10"/>
        <w:gridCol w:w="7043"/>
      </w:tblGrid>
      <w:tr>
        <w:trPr/>
        <w:tc>
          <w:tcPr>
            <w:tcW w:w="265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property other than cash, be computed at the fair market value thereof at the time of such issue, as determined in good faith by the Board of Directors;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Options and Convertible Securities</w:t>
      </w:r>
      <w:r>
        <w:rPr>
          <w:rFonts w:ascii="Times New Roman" w:hAnsi="Times New Roman"/>
          <w:sz w:val="20"/>
        </w:rPr>
        <w:t xml:space="preserve">. The consideration per share received by the Corporation for Additional Shares of Common Stock deemed to have been issued pursuant to </w:t>
      </w:r>
      <w:r>
        <w:rPr>
          <w:rFonts w:ascii="Times New Roman" w:hAnsi="Times New Roman"/>
          <w:sz w:val="20"/>
          <w:u w:val="single"/>
        </w:rPr>
        <w:t>Section 4.4.3</w:t>
      </w:r>
      <w:r>
        <w:rPr>
          <w:rFonts w:ascii="Times New Roman" w:hAnsi="Times New Roman"/>
          <w:sz w:val="20"/>
        </w:rPr>
        <w:t xml:space="preserve">, relating to Options and Convertible Securities, shall be determined by dividing: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1"/>
        <w:gridCol w:w="510"/>
        <w:gridCol w:w="7044"/>
      </w:tblGrid>
      <w:tr>
        <w:trPr/>
        <w:tc>
          <w:tcPr>
            <w:tcW w:w="265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4.4.6 </w:t>
      </w:r>
      <w:r>
        <w:rPr>
          <w:rFonts w:ascii="Times New Roman" w:hAnsi="Times New Roman"/>
          <w:b/>
          <w:sz w:val="20"/>
        </w:rPr>
        <w:t>Multiple Closing Dates</w:t>
      </w:r>
      <w:r>
        <w:rPr>
          <w:rFonts w:ascii="Times New Roman" w:hAnsi="Times New Roman"/>
          <w:sz w:val="20"/>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hAnsi="Times New Roman"/>
          <w:sz w:val="20"/>
          <w:u w:val="single"/>
        </w:rPr>
        <w:t>Section 4.4.4</w:t>
      </w:r>
      <w:r>
        <w:rPr>
          <w:rFonts w:ascii="Times New Roman" w:hAnsi="Times New Roman"/>
          <w:sz w:val="20"/>
        </w:rPr>
        <w:t xml:space="preserve">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Adjustment for Stock Splits and Combinations</w:t>
      </w:r>
      <w:r>
        <w:rPr>
          <w:rFonts w:ascii="Times New Roman" w:hAnsi="Times New Roman"/>
          <w:sz w:val="20"/>
        </w:rPr>
        <w:t xml:space="preserve">.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hAnsi="Times New Roman"/>
          <w:sz w:val="20"/>
          <w:u w:val="single"/>
        </w:rPr>
        <w:t>Section 4.5</w:t>
      </w:r>
      <w:r>
        <w:rPr>
          <w:rFonts w:ascii="Times New Roman" w:hAnsi="Times New Roman"/>
          <w:sz w:val="20"/>
        </w:rPr>
        <w:t xml:space="preserve">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rPr>
        <w:t>Adjustment for Certain Dividends and Distributions</w:t>
      </w:r>
      <w:r>
        <w:rPr>
          <w:rFonts w:ascii="Times New Roman" w:hAnsi="Times New Roman"/>
          <w:sz w:val="20"/>
        </w:rPr>
        <w:t xml:space="preserve">. If at any time or from time to time after the Original Issue Date the Corporation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if such a record date shall have been fixed, as of the close of business on such record date, by multiplying the Conversion Price of each such series of Preferred Stock then in effect by a fraction: </w:t>
      </w:r>
    </w:p>
    <w:p>
      <w:pPr>
        <w:pStyle w:val="TextBody"/>
        <w:bidi w:val="0"/>
        <w:spacing w:before="240" w:after="0"/>
        <w:jc w:val="left"/>
        <w:rPr>
          <w:rFonts w:ascii="Times New Roman" w:hAnsi="Times New Roman"/>
          <w:sz w:val="20"/>
        </w:rPr>
      </w:pPr>
      <w:r>
        <w:rPr>
          <w:rFonts w:ascii="Times New Roman" w:hAnsi="Times New Roman"/>
          <w:sz w:val="20"/>
        </w:rPr>
        <w:t xml:space="preserve">(1) the numerator of which shall be the total number of shares of Common Stock issued and outstanding immediately prior to the time of such issuance or the close of business on such record date,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w:t>
      </w:r>
      <w:r>
        <w:rPr>
          <w:rFonts w:ascii="Times New Roman" w:hAnsi="Times New Roman"/>
          <w:sz w:val="20"/>
          <w:u w:val="single"/>
        </w:rPr>
        <w:t>Section 4.6</w:t>
      </w:r>
      <w:r>
        <w:rPr>
          <w:rFonts w:ascii="Times New Roman" w:hAnsi="Times New Roman"/>
          <w:sz w:val="20"/>
        </w:rPr>
        <w:t xml:space="preserve"> as of the time of actual payment of such dividends or distributions; and (b)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rPr>
        <w:t>Adjustments for Other Dividends and Distributions</w:t>
      </w:r>
      <w:r>
        <w:rPr>
          <w:rFonts w:ascii="Times New Roman" w:hAnsi="Times New Roman"/>
          <w:sz w:val="20"/>
        </w:rPr>
        <w:t xml:space="preserve">. If at any time or from time to time after the Original Issue Date the Corporation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rPr>
        <w:t>Adjustment for Merger or Reorganization, etc</w:t>
      </w:r>
      <w:r>
        <w:rPr>
          <w:rFonts w:ascii="Times New Roman" w:hAnsi="Times New Roman"/>
          <w:sz w:val="20"/>
        </w:rPr>
        <w:t xml:space="preserve">. Subject to the provisions of </w:t>
      </w:r>
      <w:r>
        <w:rPr>
          <w:rFonts w:ascii="Times New Roman" w:hAnsi="Times New Roman"/>
          <w:sz w:val="20"/>
          <w:u w:val="single"/>
        </w:rPr>
        <w:t>Section 2.3</w:t>
      </w:r>
      <w:r>
        <w:rPr>
          <w:rFonts w:ascii="Times New Roman" w:hAnsi="Times New Roman"/>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hAnsi="Times New Roman"/>
          <w:sz w:val="20"/>
          <w:u w:val="single"/>
        </w:rPr>
        <w:t>Sections 4.4</w:t>
      </w:r>
      <w:r>
        <w:rPr>
          <w:rFonts w:ascii="Times New Roman" w:hAnsi="Times New Roman"/>
          <w:sz w:val="20"/>
        </w:rPr>
        <w:t xml:space="preserve">, 4.6 or </w:t>
      </w:r>
      <w:r>
        <w:rPr>
          <w:rFonts w:ascii="Times New Roman" w:hAnsi="Times New Roman"/>
          <w:sz w:val="20"/>
          <w:u w:val="single"/>
        </w:rPr>
        <w:t>4.7</w:t>
      </w:r>
      <w:r>
        <w:rPr>
          <w:rFonts w:ascii="Times New Roman" w:hAnsi="Times New Roman"/>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Preferred Stock,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rPr>
        <w:t>Certificate as to Adjustments</w:t>
      </w:r>
      <w:r>
        <w:rPr>
          <w:rFonts w:ascii="Times New Roman" w:hAnsi="Times New Roman"/>
          <w:sz w:val="20"/>
        </w:rPr>
        <w:t xml:space="preserve">. Upon the occurrence of each adjustment or readjustment of the Conversion Price of a series of Preferred Stock pursuant to this </w:t>
      </w:r>
      <w:r>
        <w:rPr>
          <w:rFonts w:ascii="Times New Roman" w:hAnsi="Times New Roman"/>
          <w:sz w:val="20"/>
          <w:u w:val="single"/>
        </w:rPr>
        <w:t>Section 4</w:t>
      </w:r>
      <w:r>
        <w:rPr>
          <w:rFonts w:ascii="Times New Roman" w:hAnsi="Times New Roman"/>
          <w:sz w:val="20"/>
        </w:rPr>
        <w:t xml:space="preserve">, the Corporation at its expense shall, as promptly as reasonably practicable but in any event not later than ten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(b) of any capital reorganization of the Corporation, any reclassification of the Common Stock of the Corporation, or any Deemed Liquidation Event; or </w:t>
      </w:r>
    </w:p>
    <w:p>
      <w:pPr>
        <w:pStyle w:val="TextBody"/>
        <w:bidi w:val="0"/>
        <w:spacing w:before="240" w:after="0"/>
        <w:jc w:val="left"/>
        <w:rPr>
          <w:rFonts w:ascii="Times New Roman" w:hAnsi="Times New Roman"/>
          <w:sz w:val="20"/>
        </w:rPr>
      </w:pPr>
      <w:r>
        <w:rPr>
          <w:rFonts w:ascii="Times New Roman" w:hAnsi="Times New Roman"/>
          <w:sz w:val="20"/>
        </w:rPr>
        <w:t xml:space="preserve">(c) of the voluntary or involuntary dissolution, liquidation or winding-up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General Mandatory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rPr>
        <w:t>Trigger Events</w:t>
      </w:r>
      <w:r>
        <w:rPr>
          <w:rFonts w:ascii="Times New Roman" w:hAnsi="Times New Roman"/>
          <w:sz w:val="20"/>
        </w:rPr>
        <w:t xml:space="preserve">. All outstanding shares of Preferred Stock shall automatically be converted into shares of Common Stock, at the then effective conversion rate as calculated pursuant to </w:t>
      </w:r>
      <w:r>
        <w:rPr>
          <w:rFonts w:ascii="Times New Roman" w:hAnsi="Times New Roman"/>
          <w:sz w:val="20"/>
          <w:u w:val="single"/>
        </w:rPr>
        <w:t>Sections 4.1.1</w:t>
      </w:r>
      <w:r>
        <w:rPr>
          <w:rFonts w:ascii="Times New Roman" w:hAnsi="Times New Roman"/>
          <w:sz w:val="20"/>
        </w:rPr>
        <w:t xml:space="preserve"> and </w:t>
      </w:r>
      <w:r>
        <w:rPr>
          <w:rFonts w:ascii="Times New Roman" w:hAnsi="Times New Roman"/>
          <w:sz w:val="20"/>
          <w:u w:val="single"/>
        </w:rPr>
        <w:t>4.2</w:t>
      </w:r>
      <w:r>
        <w:rPr>
          <w:rFonts w:ascii="Times New Roman" w:hAnsi="Times New Roman"/>
          <w:sz w:val="20"/>
        </w:rPr>
        <w:t>, upon the earliest to occur of (the time of such conversion is referred to herein as the “</w:t>
      </w:r>
      <w:r>
        <w:rPr>
          <w:rFonts w:ascii="Times New Roman" w:hAnsi="Times New Roman"/>
          <w:b/>
          <w:sz w:val="20"/>
        </w:rPr>
        <w:t>Mandatory Conversion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immediately prior to the closing of the sale of shares of Common Stock to the public, in a firm-commitment underwritten public offering pursuant to an effective registration statement under the Securities Act of 1933, as amended, resulting in (i) a pre-money valuation of the Corporation of at least $250,000,000 and (ii) at least $50,000,000 of gross proceeds to the Corporation and in connection with such offering the shares of Common Stock are listed for trading on the Nasdaq Stock Market, the New York Stock Exchange or another exchange or marketplace approved by the Requisite Directors (a “</w:t>
      </w:r>
      <w:r>
        <w:rPr>
          <w:rFonts w:ascii="Times New Roman" w:hAnsi="Times New Roman"/>
          <w:b/>
          <w:sz w:val="20"/>
        </w:rPr>
        <w:t>Qualified 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closing of a transaction or series of related transactions in which the Corporation combines with a publicly traded entity (the “</w:t>
      </w:r>
      <w:r>
        <w:rPr>
          <w:rFonts w:ascii="Times New Roman" w:hAnsi="Times New Roman"/>
          <w:b/>
          <w:sz w:val="20"/>
        </w:rPr>
        <w:t>Public Company</w:t>
      </w:r>
      <w:r>
        <w:rPr>
          <w:rFonts w:ascii="Times New Roman" w:hAnsi="Times New Roman"/>
          <w:sz w:val="20"/>
        </w:rPr>
        <w:t>”) by way of merger, consolidation, share exchange or similar transaction, such that immediately following such transaction the equityholders of the Corporation immediately prior to such transaction own, directly or indirectly, a majority of the voting power or economic interests of the Public Company (or its successor), and the Public Company (or its successor) is the surviving publicly traded entity (a “</w:t>
      </w:r>
      <w:r>
        <w:rPr>
          <w:rFonts w:ascii="Times New Roman" w:hAnsi="Times New Roman"/>
          <w:b/>
          <w:sz w:val="20"/>
        </w:rPr>
        <w:t>Reverse Merger Transaction</w:t>
      </w:r>
      <w:r>
        <w:rPr>
          <w:rFonts w:ascii="Times New Roman" w:hAnsi="Times New Roman"/>
          <w:sz w:val="20"/>
        </w:rPr>
        <w:t xml:space="preserve">”). For the avoidance of doubt, a Reverse Merger Transaction shall include any “sign-and-close” transaction or similar structure in which, at the initial closing, (i) the equityholders of the Corporation receive shares of common stock of the Public Company representing no more than 19.9% of the outstanding common stock (or voting power) of the Public Company immediately prior to such issuance, and (ii) the equityholders of the Corporation receive one or more classes or series of preferred stock (or other equity securities) of the Public Company that are convertible into or exercisable for additional shares of common stock, whether or not such conversion or exercise is subject to stockholder approval, exchange rules or other contingencies, where such preferred stock or other securities are intended to, or would upon conversion or exercise, result in the equityholders of the Corporation owning a majority of the voting power or economic interests of the Public Company (or its successor). A Reverse Merger Transaction shall be deemed to occur regardless of whether the transaction is effected in a single step or multiple steps, and regardless of whether stockholder approval, regulatory approval or other conditions to conversion or issuance are satisfied at or after the initial closing; and </w:t>
      </w:r>
    </w:p>
    <w:p>
      <w:pPr>
        <w:pStyle w:val="TextBody"/>
        <w:bidi w:val="0"/>
        <w:spacing w:before="240" w:after="0"/>
        <w:jc w:val="left"/>
        <w:rPr>
          <w:rFonts w:ascii="Times New Roman" w:hAnsi="Times New Roman"/>
          <w:sz w:val="20"/>
        </w:rPr>
      </w:pPr>
      <w:r>
        <w:rPr>
          <w:rFonts w:ascii="Times New Roman" w:hAnsi="Times New Roman"/>
          <w:sz w:val="20"/>
        </w:rPr>
        <w:t xml:space="preserve">(c) the date and time, or upon the occurrence of an event, specified by vote or written consent of the holders of a majority of the outstanding shares of Series A Preferred Stock, voting together as a single class on an as-converted to Common Stock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rPr>
        <w:t>Procedural Requirements</w:t>
      </w:r>
      <w:r>
        <w:rPr>
          <w:rFonts w:ascii="Times New Roman" w:hAnsi="Times New Roman"/>
          <w:sz w:val="20"/>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 w:hAnsi="Times New Roman"/>
          <w:sz w:val="20"/>
          <w:u w:val="single"/>
        </w:rPr>
        <w:t>Section 5</w:t>
      </w:r>
      <w:r>
        <w:rPr>
          <w:rFonts w:ascii="Times New Roman" w:hAnsi="Times New Roman"/>
          <w:sz w:val="20"/>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hAnsi="Times New Roman"/>
          <w:sz w:val="20"/>
          <w:u w:val="single"/>
        </w:rPr>
        <w:t>Section 5.1</w:t>
      </w:r>
      <w:r>
        <w:rPr>
          <w:rFonts w:ascii="Times New Roman" w:hAnsi="Times New Roman"/>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hAnsi="Times New Roman"/>
          <w:sz w:val="20"/>
          <w:u w:val="single"/>
        </w:rPr>
        <w:t>Section 5.2</w:t>
      </w:r>
      <w:r>
        <w:rPr>
          <w:rFonts w:ascii="Times New Roman" w:hAnsi="Times New Roman"/>
          <w:sz w:val="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or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and (b) pay any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b/>
          <w:sz w:val="20"/>
        </w:rPr>
        <w:t>Trigger Event</w:t>
      </w:r>
      <w:r>
        <w:rPr>
          <w:rFonts w:ascii="Times New Roman" w:hAnsi="Times New Roman"/>
          <w:sz w:val="20"/>
        </w:rPr>
        <w:t xml:space="preserve">. In the event that any holder of shares of Series A Preferred Stock does not participate in a Qualified Financing (as defined below) by purchasing in the aggregate, in such Qualified Financing and within the time period specified by the Corporation (provided that the Corporation has sent to each holder of Series A Preferred Stock at least 10 days’ written notice of, and the opportunity to purchase its Pro Rata Amount (as defined below) of, the Qualified Financing), such holder’s Pro Rata Amount, then each share of Series A Preferred Stock held by such holder shall automatically, and without any further action on the part of such holder, be converted into that number of shares of Common Stock equal to (i) the number of shares of Common Stock into which such share of Series A Preferred Stock would then be convertible pursuant to </w:t>
      </w:r>
      <w:r>
        <w:rPr>
          <w:rFonts w:ascii="Times New Roman" w:hAnsi="Times New Roman"/>
          <w:sz w:val="20"/>
          <w:u w:val="single"/>
        </w:rPr>
        <w:t>Section 4.1.1</w:t>
      </w:r>
      <w:r>
        <w:rPr>
          <w:rFonts w:ascii="Times New Roman" w:hAnsi="Times New Roman"/>
          <w:sz w:val="20"/>
        </w:rPr>
        <w:t xml:space="preserve"> in effect immediately prior to the consummation of such Qualified Financing, divided by (ii) ten (10), effective upon, subject to, and concurrently with, the consummation of the Qualified Financing. For the avoidance of doubt, (x) the foregoing conversion is intended to result in the conversion of each such share of Series A Preferred Stock into one-tenth (1/10th) of the number of shares of Common Stock into which such share would otherwise have converted on a one-to-one basis, and (y) this </w:t>
      </w:r>
      <w:r>
        <w:rPr>
          <w:rFonts w:ascii="Times New Roman" w:hAnsi="Times New Roman"/>
          <w:sz w:val="20"/>
          <w:u w:val="single"/>
        </w:rPr>
        <w:t>Section 5.2</w:t>
      </w:r>
      <w:r>
        <w:rPr>
          <w:rFonts w:ascii="Times New Roman" w:hAnsi="Times New Roman"/>
          <w:sz w:val="20"/>
        </w:rPr>
        <w:t xml:space="preserve"> shall not apply to the Series A-1 Preferred Stock, and no share of Series A-1 Preferred Stock shall be subject to a Special Mandatory Conversion or be converted, adjusted, or otherwise affected by reason of any holder’s participation or non-participation in a Qualified Financing. For purposes of determining the number of shares of Series A Preferred Stock owned by a holder, and for determining the number of Offered Securities (as defined below) a holder of Series A Preferred Stock has purchased in a Qualified Financing, all shares of Series A Preferred Stock held by, and all Offered Securities purchased by, Affiliates (as defined below) of such holder shall be aggregated with such holder’s shares and Offered Securities (provided that no shares or securities shall be attributed to more than one entity or person within any such group of affiliated entities or persons). Such conversion is referred to as a “</w:t>
      </w:r>
      <w:r>
        <w:rPr>
          <w:rFonts w:ascii="Times New Roman" w:hAnsi="Times New Roman"/>
          <w:b/>
          <w:sz w:val="20"/>
        </w:rPr>
        <w:t xml:space="preserve">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Mandatory Conversion</w:t>
      </w:r>
      <w:r>
        <w:rPr>
          <w:rFonts w:ascii="Times New Roman" w:hAnsi="Times New Roman"/>
          <w:sz w:val="20"/>
        </w:rPr>
        <w:t xml:space="preserve">.” For the avoidance of doubt, a holder of Series A Preferred Stock shall be deemed to have purchased its Pro Rata Amount to the extent its Pro Rata Amount is purchased, in whole or in part, by one or more of its Affiliates, and the Offered Securities so purchased by such Affiliates shall be aggregated with such holder’s purchases for purposes of determining whether such holder has purchased its Pro Rata Amount. Notwithstanding the foregoing, RA Capital Healthcare Fund, L.P. and RA Capital Nexus Fund IV, L.P. may elect, by written notice to the Corporation prior to the consummation of a Qualified Financing, to be treated either (i) as a single holder whose shares and Offered Securities are aggregated, or (ii) as separate holders each determined individually, for all purposes of this Section 5.2; and in the absence of such election they shall be treated as separate holders. </w:t>
      </w:r>
    </w:p>
    <w:p>
      <w:pPr>
        <w:pStyle w:val="TextBody"/>
        <w:bidi w:val="0"/>
        <w:spacing w:before="240" w:after="0"/>
        <w:jc w:val="left"/>
        <w:rPr>
          <w:rFonts w:ascii="Times New Roman" w:hAnsi="Times New Roman"/>
          <w:sz w:val="20"/>
        </w:rPr>
      </w:pPr>
      <w:r>
        <w:rPr>
          <w:rFonts w:ascii="Times New Roman" w:hAnsi="Times New Roman"/>
          <w:sz w:val="20"/>
        </w:rPr>
        <w:t xml:space="preserve">5.2.2 </w:t>
      </w:r>
      <w:r>
        <w:rPr>
          <w:rFonts w:ascii="Times New Roman" w:hAnsi="Times New Roman"/>
          <w:b/>
          <w:sz w:val="20"/>
        </w:rPr>
        <w:t>Procedural Requirements</w:t>
      </w:r>
      <w:r>
        <w:rPr>
          <w:rFonts w:ascii="Times New Roman" w:hAnsi="Times New Roman"/>
          <w:sz w:val="20"/>
        </w:rPr>
        <w:t xml:space="preserve">. Upon a Special Mandatory Conversion, each holder of shares of Series A Preferred Stock converted pursuant to </w:t>
      </w:r>
      <w:r>
        <w:rPr>
          <w:rFonts w:ascii="Times New Roman" w:hAnsi="Times New Roman"/>
          <w:sz w:val="20"/>
          <w:u w:val="single"/>
        </w:rPr>
        <w:t>Section 5.2.1</w:t>
      </w:r>
      <w:r>
        <w:rPr>
          <w:rFonts w:ascii="Times New Roman" w:hAnsi="Times New Roman"/>
          <w:sz w:val="20"/>
        </w:rPr>
        <w:t xml:space="preserve"> shall be sent written notice of such Special Mandatory Conversion and the place designated for mandatory conversion of all such shares of Series A Preferred Stock pursuant to this </w:t>
      </w:r>
      <w:r>
        <w:rPr>
          <w:rFonts w:ascii="Times New Roman" w:hAnsi="Times New Roman"/>
          <w:sz w:val="20"/>
          <w:u w:val="single"/>
        </w:rPr>
        <w:t>Section 5.2</w:t>
      </w:r>
      <w:r>
        <w:rPr>
          <w:rFonts w:ascii="Times New Roman" w:hAnsi="Times New Roman"/>
          <w:sz w:val="20"/>
        </w:rPr>
        <w:t xml:space="preserve">. Upon receipt of such notice, each holder of such shares of Series A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A Preferred Stock converted pursuant to </w:t>
      </w:r>
      <w:r>
        <w:rPr>
          <w:rFonts w:ascii="Times New Roman" w:hAnsi="Times New Roman"/>
          <w:sz w:val="20"/>
          <w:u w:val="single"/>
        </w:rPr>
        <w:t>Section 5.2.1</w:t>
      </w:r>
      <w:r>
        <w:rPr>
          <w:rFonts w:ascii="Times New Roman" w:hAnsi="Times New Roman"/>
          <w:sz w:val="20"/>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hAnsi="Times New Roman"/>
          <w:sz w:val="20"/>
          <w:u w:val="single"/>
        </w:rPr>
        <w:t>Section 5.2.2</w:t>
      </w:r>
      <w:r>
        <w:rPr>
          <w:rFonts w:ascii="Times New Roman" w:hAnsi="Times New Roman"/>
          <w:sz w:val="20"/>
        </w:rPr>
        <w:t xml:space="preserve">. As soon as practicable after the Special Mandatory Conversion and, if applicable, the surrender of any certificate or certificates (or lost certificate affidavit and agreement) for Series A Preferred Stock so converted, the Corporation shall (a) issue and deliver to such holder, or to his, her or its nominees, a notice of issuance of uncertificated shares (and, upon written request, a certificate) for the number of full shares of Common Stock issuable on such conversion in accordance with the provisions hereof, (b) pay any declared but unpaid dividends on the shares of Series A Preferred Stock converted, and (c) upon written request, issue and deliver a new certificate for the number of shares, if any, of Series A Preferred Stock represented by such surrendered certificate and not converted pursuant to </w:t>
      </w:r>
      <w:r>
        <w:rPr>
          <w:rFonts w:ascii="Times New Roman" w:hAnsi="Times New Roman"/>
          <w:sz w:val="20"/>
          <w:u w:val="single"/>
        </w:rPr>
        <w:t>Section 5.2.1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5.2.3 </w:t>
      </w:r>
      <w:r>
        <w:rPr>
          <w:rFonts w:ascii="Times New Roman" w:hAnsi="Times New Roman"/>
          <w:b/>
          <w:sz w:val="20"/>
        </w:rPr>
        <w:t>Definitions</w:t>
      </w:r>
      <w:r>
        <w:rPr>
          <w:rFonts w:ascii="Times New Roman" w:hAnsi="Times New Roman"/>
          <w:sz w:val="20"/>
        </w:rPr>
        <w:t xml:space="preserve">. For purposes of this </w:t>
      </w:r>
      <w:r>
        <w:rPr>
          <w:rFonts w:ascii="Times New Roman" w:hAnsi="Times New Roman"/>
          <w:sz w:val="20"/>
          <w:u w:val="single"/>
        </w:rPr>
        <w:t>Section 5.2</w:t>
      </w:r>
      <w:r>
        <w:rPr>
          <w:rFonts w:ascii="Times New Roman" w:hAnsi="Times New Roman"/>
          <w:sz w:val="20"/>
        </w:rPr>
        <w:t xml:space="preserve">, the following definitions shall apply: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shall mean, with respect to any holder of Preferred Stock, any other person or entity who, directly or indirectly, controls, is controlled by or is under common control with such holder, including, without limitation, any general partner, managing member, officer, director or trustee of such holder, or any venture capital or other investment fund now or hereafter existing that is controlled by one or more general partners or managing members of, or shares the same management company or investment adviser with,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Offered Securities</w:t>
      </w:r>
      <w:r>
        <w:rPr>
          <w:rFonts w:ascii="Times New Roman" w:hAnsi="Times New Roman"/>
          <w:sz w:val="20"/>
        </w:rPr>
        <w:t xml:space="preserve">” shall mean the equity securities of the Corporation or successor entity (as applicable) set aside by the Board of Directors for purchase by holders of outstanding shares of Series A Preferred Stock in connection with a Qualified Financing, and offered to such holders; </w:t>
      </w:r>
      <w:r>
        <w:rPr>
          <w:rFonts w:ascii="Times New Roman" w:hAnsi="Times New Roman"/>
          <w:sz w:val="20"/>
          <w:u w:val="single"/>
        </w:rPr>
        <w:t>provided</w:t>
      </w:r>
      <w:r>
        <w:rPr>
          <w:rFonts w:ascii="Times New Roman" w:hAnsi="Times New Roman"/>
          <w:sz w:val="20"/>
        </w:rPr>
        <w:t xml:space="preserve"> that the aggregate purchase price of the Offered Securities that any holder may be required to purchase to satisfy its Pro Rata Amount shall not exceed such holder’s pro rata share of $100,000,000 in gross proceeds of the Qualified Financing. For the avoidance of doubt, no holder shall be subject to a Special Mandatory Conversion so long as it purchases its Pro Rata Amount of the first $100,000,000 in gross proceeds raised in the Qualified Financing, regardless of the total size of the Qualified Financing. </w:t>
      </w:r>
    </w:p>
    <w:p>
      <w:pPr>
        <w:pStyle w:val="TextBody"/>
        <w:bidi w:val="0"/>
        <w:spacing w:before="240" w:after="0"/>
        <w:jc w:val="left"/>
        <w:rPr/>
      </w:pPr>
      <w:r>
        <w:rPr/>
        <w:t>“</w:t>
      </w:r>
      <w:r>
        <w:rPr>
          <w:rFonts w:ascii="Times New Roman" w:hAnsi="Times New Roman"/>
          <w:b/>
          <w:sz w:val="20"/>
        </w:rPr>
        <w:t>Pro Rata Amount</w:t>
      </w:r>
      <w:r>
        <w:rPr>
          <w:rFonts w:ascii="Times New Roman" w:hAnsi="Times New Roman"/>
          <w:sz w:val="20"/>
        </w:rPr>
        <w:t xml:space="preserve">” shall mean, with respect to any holder of Series A Preferred Stock, the lesser of (a) a number of Offered Securities calculated by multiplying the aggregate number of Offered Securities by a fraction, the numerator of which is equal to the number of shares of Series A Preferred Stock owned by such holder, and the denominator of which is equal to the aggregate number of outstanding shares of Series A Preferred Stock, or (b) the maximum number of Offered Securities that such holder is permitted by the Corporation to purchase in such Qualified Financing, after giving effect to any cutbacks or limitations established by the Board of Directors and applied on a pro rata basis to all holders of Series A Preferred Stock. </w:t>
      </w:r>
    </w:p>
    <w:p>
      <w:pPr>
        <w:pStyle w:val="TextBody"/>
        <w:bidi w:val="0"/>
        <w:spacing w:before="240" w:after="0"/>
        <w:jc w:val="left"/>
        <w:rPr/>
      </w:pPr>
      <w:r>
        <w:rPr/>
        <w:t>“</w:t>
      </w:r>
      <w:r>
        <w:rPr>
          <w:rFonts w:ascii="Times New Roman" w:hAnsi="Times New Roman"/>
          <w:b/>
          <w:sz w:val="20"/>
        </w:rPr>
        <w:t>Qualified Financing</w:t>
      </w:r>
      <w:r>
        <w:rPr>
          <w:rFonts w:ascii="Times New Roman" w:hAnsi="Times New Roman"/>
          <w:sz w:val="20"/>
        </w:rPr>
        <w:t xml:space="preserve">” shall mean the next </w:t>
      </w:r>
      <w:r>
        <w:rPr>
          <w:rFonts w:ascii="Times New Roman" w:hAnsi="Times New Roman"/>
          <w:i/>
          <w:sz w:val="20"/>
        </w:rPr>
        <w:t>bona fide</w:t>
      </w:r>
      <w:r>
        <w:rPr>
          <w:rFonts w:ascii="Times New Roman" w:hAnsi="Times New Roman"/>
          <w:sz w:val="20"/>
        </w:rPr>
        <w:t xml:space="preserve"> sale of the equity securities of either the Corporation or its successor entity in connection with a Reverse Merger Transaction which is consummated substantially concurrently with or following, and in connection with, the closing of a Reverse Merger Transaction, unless the Requisite Holders elect, by written notice sent to the Corporation at least 10 days prior to the consummation of such transaction, that such transaction not be treated as a Qualified Financing for purposes of this Section 5.2. For the avoidance of doubt, the issuance and sale of Series A Preferred Stock in the Series A Financing shall not constitute a Qualified Financing.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Redemption</w:t>
      </w:r>
      <w:r>
        <w:rPr>
          <w:rFonts w:ascii="Times New Roman" w:hAnsi="Times New Roman"/>
          <w:sz w:val="20"/>
        </w:rPr>
        <w:t xml:space="preserve">. Other than as set forth in </w:t>
      </w:r>
      <w:r>
        <w:rPr>
          <w:rFonts w:ascii="Times New Roman" w:hAnsi="Times New Roman"/>
          <w:sz w:val="20"/>
          <w:u w:val="single"/>
        </w:rPr>
        <w:t>Section 2.3.2(b)</w:t>
      </w:r>
      <w:r>
        <w:rPr>
          <w:rFonts w:ascii="Times New Roman" w:hAnsi="Times New Roman"/>
          <w:sz w:val="20"/>
        </w:rPr>
        <w:t xml:space="preserve">, the Preferred Stock is not redeemable at the option of the holder or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Redeemed or Otherwise Acquired Shares</w:t>
      </w:r>
      <w:r>
        <w:rPr>
          <w:rFonts w:ascii="Times New Roman" w:hAnsi="Times New Roman"/>
          <w:sz w:val="20"/>
        </w:rPr>
        <w:t xml:space="preserve">. Unless approved by the Board of Directors and the Requisite Holders,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Waiver</w:t>
      </w:r>
      <w:r>
        <w:rPr>
          <w:rFonts w:ascii="Times New Roman" w:hAnsi="Times New Roman"/>
          <w:sz w:val="20"/>
        </w:rPr>
        <w:t xml:space="preserve">.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Notices</w:t>
      </w:r>
      <w:r>
        <w:rPr>
          <w:rFonts w:ascii="Times New Roman" w:hAnsi="Times New Roman"/>
          <w:sz w:val="20"/>
        </w:rPr>
        <w:t xml:space="preserve">. Any notice required or permitted by the provisions of this Article Fourth to be given to a holder of shares of Preferred Stock shall be mailed, postage prepaid, to the post office address last shown on the records of the Corporation, or given by electronic transmission in compliance with the provisions of the General Corporation Law,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Subject to any additional vote required by this Certificate of Incorporation or the Bylaws of the Corporation, in furtherance and not in limitation of the powers conferred by statute, the Board of Directors is expressly authorized to make, repeal, alter, amend and rescind any or all of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Subject to any additional vote required by this Certificate of Incorporation, the number of directors of the Corporation shall be determined in the manner set forth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SEVENTH:</w:t>
      </w:r>
      <w:r>
        <w:rPr>
          <w:rFonts w:ascii="Times New Roman" w:hAnsi="Times New Roman"/>
          <w:sz w:val="20"/>
        </w:rPr>
        <w:t xml:space="preserve"> Elections of directors need not be by written ballot unless the Bylaws of the Corporation shall so provide. </w:t>
      </w:r>
    </w:p>
    <w:p>
      <w:pPr>
        <w:pStyle w:val="TextBody"/>
        <w:bidi w:val="0"/>
        <w:spacing w:before="240" w:after="0"/>
        <w:jc w:val="left"/>
        <w:rPr>
          <w:rFonts w:ascii="Times New Roman" w:hAnsi="Times New Roman"/>
          <w:sz w:val="20"/>
        </w:rPr>
      </w:pPr>
      <w:r>
        <w:rPr>
          <w:rFonts w:ascii="Times New Roman" w:hAnsi="Times New Roman"/>
          <w:b/>
          <w:sz w:val="20"/>
        </w:rPr>
        <w:t>EIGHTH:</w:t>
      </w:r>
      <w:r>
        <w:rPr>
          <w:rFonts w:ascii="Times New Roman" w:hAnsi="Times New Roman"/>
          <w:sz w:val="20"/>
        </w:rPr>
        <w:t xml:space="preserve"> Meetings of stockholders may be held within or outside of the State of Delaware, as the Bylaws of the Corporation may provide. The books of the Corporation may be kept (subject to any provision of applicable law) outside of the State of Delaware at such place or places or in such manner or manners as may be designated from time to time by the Board of Directors or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NINTH:</w:t>
      </w:r>
      <w:r>
        <w:rPr>
          <w:rFonts w:ascii="Times New Roman" w:hAnsi="Times New Roman"/>
          <w:sz w:val="20"/>
        </w:rPr>
        <w:t xml:space="preserve"> To the fullest extent permitted by law, a director or officer of the Corporation shall not be personally liable to the 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 </w:t>
      </w:r>
    </w:p>
    <w:p>
      <w:pPr>
        <w:pStyle w:val="TextBody"/>
        <w:bidi w:val="0"/>
        <w:spacing w:before="240" w:after="0"/>
        <w:jc w:val="left"/>
        <w:rPr>
          <w:rFonts w:ascii="Times New Roman" w:hAnsi="Times New Roman"/>
          <w:sz w:val="20"/>
        </w:rPr>
      </w:pPr>
      <w:r>
        <w:rPr>
          <w:rFonts w:ascii="Times New Roman" w:hAnsi="Times New Roman"/>
          <w:b/>
          <w:sz w:val="20"/>
        </w:rPr>
        <w:t>TENTH:</w:t>
      </w:r>
      <w:r>
        <w:rPr>
          <w:rFonts w:ascii="Times New Roman" w:hAnsi="Times New Roman"/>
          <w:sz w:val="20"/>
        </w:rPr>
        <w:t xml:space="preserve"> To the fullest extent permitted by applicable law, the Corporation is authorized to provide indemnification of (and advancement 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modification or elimination of the foregoing provisions of this Article Tenth shall not (a) adversely affect any right or protection of any director, officer or other agent of the Corporation existing at the time of such amendment, repeal, modification or elimination; or (b) increase the liability of any director, officer or agent of the Corporation with respect to any acts or omissions of such director, officer or agent occurring prior to such amendment, repeal, modification or elimination.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ELEVENTH:</w:t>
      </w:r>
      <w:r>
        <w:rPr>
          <w:rFonts w:ascii="Times New Roman" w:hAnsi="Times New Roman"/>
          <w:sz w:val="20"/>
        </w:rPr>
        <w:t xml:space="preserve"> The Corporation renounces, to the fullest extent permitted by law, any interest or expectancy of the Corporation in, or in being offered an opportunity to participate in, any Excluded Opportunity. An “</w:t>
      </w:r>
      <w:r>
        <w:rPr>
          <w:rFonts w:ascii="Times New Roman" w:hAnsi="Times New Roman"/>
          <w:b/>
          <w:sz w:val="20"/>
        </w:rPr>
        <w:t>Excluded Opportunity</w:t>
      </w:r>
      <w:r>
        <w:rPr>
          <w:rFonts w:ascii="Times New Roman" w:hAnsi="Times New Roman"/>
          <w:sz w:val="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officer or employee of the Corporation or any of its subsidiaries (collectively, the persons referred to in clauses (i) and (ii) are “</w:t>
      </w:r>
      <w:r>
        <w:rPr>
          <w:rFonts w:ascii="Times New Roman" w:hAnsi="Times New Roman"/>
          <w:b/>
          <w:sz w:val="20"/>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in addition to any other vote required by law or this Certificate of Incorporation, the affirmative vote of the Requisite Holders will be required to amend or repeal, or to adopt any provisions inconsistent with this Article Eleventh. </w:t>
      </w:r>
    </w:p>
    <w:p>
      <w:pPr>
        <w:pStyle w:val="TextBody"/>
        <w:bidi w:val="0"/>
        <w:spacing w:before="240" w:after="0"/>
        <w:jc w:val="left"/>
        <w:rPr>
          <w:rFonts w:ascii="Times New Roman" w:hAnsi="Times New Roman"/>
          <w:sz w:val="20"/>
        </w:rPr>
      </w:pPr>
      <w:r>
        <w:rPr>
          <w:rFonts w:ascii="Times New Roman" w:hAnsi="Times New Roman"/>
          <w:b/>
          <w:sz w:val="20"/>
        </w:rPr>
        <w:t>TWELFTH:</w:t>
      </w:r>
      <w:r>
        <w:rPr>
          <w:rFonts w:ascii="Times New Roman" w:hAnsi="Times New Roman"/>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 </w:t>
      </w:r>
    </w:p>
    <w:p>
      <w:pPr>
        <w:pStyle w:val="TextBody"/>
        <w:bidi w:val="0"/>
        <w:spacing w:before="240" w:after="0"/>
        <w:jc w:val="left"/>
        <w:rPr>
          <w:rFonts w:ascii="Times New Roman" w:hAnsi="Times New Roman"/>
          <w:sz w:val="20"/>
        </w:rPr>
      </w:pPr>
      <w:r>
        <w:rPr>
          <w:rFonts w:ascii="Times New Roman" w:hAnsi="Times New Roman"/>
          <w:b/>
          <w:sz w:val="20"/>
        </w:rPr>
        <w:t>THIRTEENTH:</w:t>
      </w:r>
      <w:r>
        <w:rPr>
          <w:rFonts w:ascii="Times New Roman" w:hAnsi="Times New Roman"/>
          <w:sz w:val="20"/>
        </w:rPr>
        <w:t xml:space="preserve"> If any provision or provisions of this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FOURTEENTH:</w:t>
      </w:r>
      <w:r>
        <w:rPr>
          <w:rFonts w:ascii="Times New Roman" w:hAnsi="Times New Roman"/>
          <w:sz w:val="20"/>
        </w:rPr>
        <w:t xml:space="preserve"> For purposes of Section 500 of the California Corporations Code (to the extent applicable), in connection with any repurchase of shares of Common Stock permitted under this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the foregoing amendment and restatement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this Certificate of Incorporation, which restates and integrates and further amends the provisions of the Corporation’s Certificate of Incorporation, has been duly adopted in accordance with Sections 242 and 245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Amended and Restated Certificate of Incorporation has been executed by a duly authorized officer of this corporation on June 22,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RTW NEWCO10,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Alice Lee</w:t>
            </w:r>
          </w:p>
        </w:tc>
      </w:tr>
      <w:tr>
        <w:trPr/>
        <w:tc>
          <w:tcPr>
            <w:tcW w:w="4082" w:type="dxa"/>
            <w:gridSpan w:val="3"/>
            <w:tcBorders/>
          </w:tcPr>
          <w:p>
            <w:pPr>
              <w:pStyle w:val="TableContents"/>
              <w:bidi w:val="0"/>
              <w:spacing w:before="0" w:after="283"/>
              <w:jc w:val="left"/>
              <w:rPr/>
            </w:pPr>
            <w:r>
              <w:rPr/>
              <w:t>Name: Alice Lee</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AMENDED AND RESTATED CERTIFICATE OF INCORPORATION </w:t>
      </w:r>
    </w:p>
    <w:p>
      <w:pPr>
        <w:pStyle w:val="TextBody"/>
        <w:bidi w:val="0"/>
        <w:spacing w:before="0" w:after="0"/>
        <w:jc w:val="right"/>
        <w:rPr>
          <w:rFonts w:ascii="Times New Roman" w:hAnsi="Times New Roman"/>
          <w:b/>
          <w:sz w:val="20"/>
        </w:rPr>
      </w:pPr>
      <w:bookmarkStart w:id="249" w:name="d108148dex34.htm"/>
      <w:bookmarkStart w:id="250" w:name="ksd108148dex34"/>
      <w:bookmarkEnd w:id="249"/>
      <w:bookmarkEnd w:id="250"/>
      <w:r>
        <w:rPr>
          <w:rFonts w:ascii="Times New Roman" w:hAnsi="Times New Roman"/>
          <w:b/>
          <w:sz w:val="20"/>
        </w:rPr>
        <w:t xml:space="preserve">Exhibit 3.4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120" w:after="0"/>
        <w:jc w:val="center"/>
        <w:rPr>
          <w:rFonts w:ascii="Times New Roman" w:hAnsi="Times New Roman"/>
          <w:sz w:val="20"/>
        </w:rPr>
      </w:pPr>
      <w:r>
        <w:rPr>
          <w:rFonts w:ascii="Times New Roman" w:hAnsi="Times New Roman"/>
          <w:sz w:val="20"/>
        </w:rPr>
        <w:t>(the “</w:t>
      </w:r>
      <w:r>
        <w:rPr>
          <w:rFonts w:ascii="Times New Roman" w:hAnsi="Times New Roman"/>
          <w:b/>
          <w:sz w:val="20"/>
        </w:rPr>
        <w:t>Corporation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Adopted on: </w:t>
      </w:r>
    </w:p>
    <w:p>
      <w:pPr>
        <w:pStyle w:val="TextBody"/>
        <w:bidi w:val="0"/>
        <w:spacing w:before="0" w:after="0"/>
        <w:jc w:val="center"/>
        <w:rPr>
          <w:rFonts w:ascii="Times New Roman" w:hAnsi="Times New Roman"/>
          <w:sz w:val="20"/>
        </w:rPr>
      </w:pPr>
      <w:r>
        <w:rPr>
          <w:rFonts w:ascii="Times New Roman" w:hAnsi="Times New Roman"/>
          <w:sz w:val="20"/>
        </w:rPr>
        <w:t xml:space="preserve">April 1,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OFFICES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Registered Office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Corporation Service Company, 251 Little Falls Drive, Wilmington, Delaware 19808. The name of its registered agent at such address is: Corporation Service Company.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Corporation (the “</w:t>
      </w:r>
      <w:r>
        <w:rPr>
          <w:rFonts w:ascii="Times New Roman" w:hAnsi="Times New Roman"/>
          <w:b/>
          <w:sz w:val="20"/>
        </w:rPr>
        <w:t>Board of Directors</w:t>
      </w:r>
      <w:r>
        <w:rPr>
          <w:rFonts w:ascii="Times New Roman" w:hAnsi="Times New Roman"/>
          <w:sz w:val="20"/>
        </w:rPr>
        <w:t xml:space="preserve">”) may at any time establish other offices at any place or places where the Corporation is qualified to do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Place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shall be held at any place, within or outside the State of Delaware, designated by the Board of Directors. In the absence of any such designation, stockholders’ meetings shall be held at the registered office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special meeting of the stockholders may be called at any time by the Board of Directors, the chair of the Board of Directors, the president or by one or more stockholders holding shares in the aggregate entitled to cast not less than ten percent (10%) of the votes at that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special meeting is called by any person or persons other than the Board of Directors, the president or the chair of the Board of Directors, the request shall be in writing, specifying the time of such meeting and the general nature of the business proposed to be transacted, and shall be delivered personally or sent by registered mail or by electronic or other facsimile transmission to the chair of the Board of Directors, the president, any vice president, or the secretary of the Corporation. No business may be transacted at such special meeting other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Notice of Stockholders’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Manner of Giving Notice; Affidavit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Written notice of any meeting of stockholders, if mailed, is given when deposited in the United States mail, postage prepaid, directed to the stockholder at his or her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General Corporation Law of the State of Delaware (as amended from time to time, the “</w:t>
      </w:r>
      <w:r>
        <w:rPr>
          <w:rFonts w:ascii="Times New Roman" w:hAnsi="Times New Roman"/>
          <w:b/>
          <w:sz w:val="20"/>
        </w:rPr>
        <w:t>General Corporation Law</w:t>
      </w:r>
      <w:r>
        <w:rPr>
          <w:rFonts w:ascii="Times New Roman" w:hAnsi="Times New Roman"/>
          <w:sz w:val="20"/>
        </w:rPr>
        <w:t xml:space="preserve">”). An affidavit of the secretary or an assistant secretary or of the transfer agent of the Corporation that the notice has been given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 of the meeting or (b) holders of a majority of the shares of stock entitled to vote who are present, in person or by proxy, shall have power to adjourn the meeting to another place (if any), date or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Adjourned Meeting;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Organization; 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The chair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entitled to vote at any meeting of stockholders shall be determined in accordance with the provisions of Section 2.12 of these Bylaws, subject to the provisions of Sections 217 and 218 of the General Corporation Law (relating to voting rights of fiduciaries, pledgors and joint owners of stock and to voting trusts and other voting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Stockholder Action by Written Consent Without a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shares entitled to vote thereon were present and voted, and (b) delivered to the Corporation in accordance with Section 228(a)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Every written consent shall bear the date of signature of each stockholder who signs the consent and no written consent shall be effective to take the corporate action referred to therein unless, within sixty (60) days of the date the earliest dated consent is delivered to the Corporation, a written consent or consents signed by a sufficient number of holders to take action are delivered to the Corporation in the manner prescribed in this Section.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 w:hAnsi="Times New Roman"/>
          <w:i/>
          <w:sz w:val="20"/>
        </w:rPr>
        <w:t>provided</w:t>
      </w:r>
      <w:r>
        <w:rPr>
          <w:rFonts w:ascii="Times New Roman" w:hAnsi="Times New Roman"/>
          <w:sz w:val="20"/>
        </w:rPr>
        <w:t xml:space="preserve"> that such copy, facsimile or other reproduction shall be a complete reproduction of the entire original writing. </w:t>
      </w:r>
    </w:p>
    <w:p>
      <w:pPr>
        <w:pStyle w:val="TextBody"/>
        <w:bidi w:val="0"/>
        <w:spacing w:before="240" w:after="0"/>
        <w:jc w:val="left"/>
        <w:rPr>
          <w:rFonts w:ascii="Times New Roman" w:hAnsi="Times New Roman"/>
          <w:sz w:val="20"/>
        </w:rPr>
      </w:pPr>
      <w:r>
        <w:rPr>
          <w:rFonts w:ascii="Times New Roman" w:hAnsi="Times New Roman"/>
          <w:sz w:val="20"/>
        </w:rPr>
        <w:t xml:space="preserve">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Record Date for Stockholder Notice; Voting; Giving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Board of Directors does not so fix a record date: </w:t>
      </w:r>
    </w:p>
    <w:p>
      <w:pPr>
        <w:pStyle w:val="TextBody"/>
        <w:bidi w:val="0"/>
        <w:spacing w:before="120" w:after="0"/>
        <w:jc w:val="left"/>
        <w:rPr>
          <w:rFonts w:ascii="Times New Roman" w:hAnsi="Times New Roman"/>
          <w:sz w:val="20"/>
        </w:rPr>
      </w:pPr>
      <w:r>
        <w:rPr>
          <w:rFonts w:ascii="Times New Roman" w:hAnsi="Times New Roman"/>
          <w:sz w:val="20"/>
        </w:rPr>
        <w:t xml:space="preserve">(a)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240" w:after="0"/>
        <w:jc w:val="left"/>
        <w:rPr>
          <w:rFonts w:ascii="Times New Roman" w:hAnsi="Times New Roman"/>
          <w:sz w:val="20"/>
        </w:rPr>
      </w:pPr>
      <w:r>
        <w:rPr>
          <w:rFonts w:ascii="Times New Roman" w:hAnsi="Times New Roman"/>
          <w:sz w:val="20"/>
        </w:rPr>
        <w:t xml:space="preserve">(b) 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shall apply to any adjournment of the meeting, if such adjournment is for thirty (30) days or less;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fix a new record date for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General Corporation Law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Number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adoption of these Bylaws, the number of directors constituting the entire Board of Directors shall be one or more directors.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Election, Qualification and Term of Office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certificate of incorporation, elections of directors need not be by written ballot.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Resignation and Vacancies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w:t>
      </w:r>
    </w:p>
    <w:p>
      <w:pPr>
        <w:pStyle w:val="TextBody"/>
        <w:bidi w:val="0"/>
        <w:spacing w:before="120" w:after="0"/>
        <w:jc w:val="left"/>
        <w:rPr>
          <w:rFonts w:ascii="Times New Roman" w:hAnsi="Times New Roman"/>
          <w:sz w:val="20"/>
        </w:rPr>
      </w:pPr>
      <w:r>
        <w:rPr>
          <w:rFonts w:ascii="Times New Roman" w:hAnsi="Times New Roman"/>
          <w:sz w:val="20"/>
        </w:rPr>
        <w:t xml:space="preserve">(a)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at the time of filling any vacancy or any newly created directorship, the directors then in office constitute less than a majority of the whole Board of Directors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as far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Place of Meetings; Meetings by Telephone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hold meetings, both regular and special,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Regular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Regular meetings of the Board of Directors may be held without notice at such time and at such place as shall from time to time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Special Meetings;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of Directors for any purpose or purposes may be called at any time by the chair of the Board of Directors, the president, any vice president, the secretary or any two directors.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of special meetings shall be delivered personally or by telephone to each director or sent by first-class mail, facsimile or electronic transmission,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or telephone, it shall be delivered at least 48 hours before the time of the holding of the meeting.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incorporation requires a greater number, a quorum of the Board of Directors will consist of a majority of the total number of directors then serving; provided, however,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including with respect to establishing a quorum for meetings of the Board of Directors or a committee thereof or the requisite vote for approval by directors or the Board of Directors or a committee thereof, will refer to a majority or other proportion of the votes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At each meeting of the Board of Directors at which a quorum is present, all questions and business will be determined by the affirmative vote of a majority of the directors present, unless a different vote be required by law,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Board Action by Written Consent Without a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 w:hAnsi="Times New Roman"/>
          <w:i/>
          <w:sz w:val="20"/>
        </w:rPr>
        <w:t>provided</w:t>
      </w:r>
      <w:r>
        <w:rPr>
          <w:rFonts w:ascii="Times New Roman" w:hAnsi="Times New Roman"/>
          <w:sz w:val="20"/>
        </w:rPr>
        <w:t xml:space="preserve"> that such copy, facsimile or other reproduction shall be a complete reproduction of the entire original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Fees and Compensation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Approval of Loans to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Removal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statute, by the certificate of incorporation or by these Bylaws, any director or the entire Board of Directors may be removed, with or without cause, by the holders of a majority of the shares then entitled to vote at an election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stockholders of the Corporation are entitled to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reduction of the authorized number of directors shall have the effect of removing any director prior to the expiration of such director’s term of office.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Chair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have, at the discretion of the Board of Directors, a chair of the Board of Directors who shall not be considered an officer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Committees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the General Corporate Law of Delaware to be submitted to stockholders for approval or (b)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Committee Minutes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of Directors when required.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Meetings and Action of 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shall be a President, a Secretary, and a Treasurer. The Corporation may also have, at the discretion of the Board of Directors, one or more vice presidents, one or more assistant secretaries, one or more assistant treasurers, and any such other officers as may be appointed in accordance with the provisions of Section 5.3 of these Bylaws.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Appointment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except such officers as may be appointed in accordance with the provisions of Sections 5.3 or 5.5 of these Bylaws, shall be appointed by the Board of Directors, subject to the rights, if any, of an officer under any contract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Subordinate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appoint, or empower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Removal and Resignation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the power of removal is conferred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Vacancies in 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President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such supervisory powers, if any, as may be given by the Board of Directors to the chair of the Board of Directors (if any),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Vice Presidents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(if applicable), and the number and date of cancellation of every certificate surrendered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Treasurer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or the directors, upon request, an account of all his or her transactions as Treasurer and of the financial condition of the Corporation, and shall have other powers and perform such other duties as may be prescribed by the Board of Directors or the Bylaws.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Representation of Shares of Other Corporations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chair of the Board of Directors, the President, any vice president, the Treasurer, the Secretary or any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Authority and Duties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DIRECTORS, OFFICERS, EMPLOYEES, AND OTHER AGENTS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to the maximum extent and in the manner permitted by the General Corporation Law,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Indemnification of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the power, to the maximum extent and in the manner permitted by the General Corporation Law,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Payment of Expenses in Advance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Indemnity Not Exclusive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Conflicts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indemnification or advance shall be made under this Article VI, except where such indemnification or advance is mandated by law or the order, judgment or decree of any court of competent jurisdiction, in any circumstance where it appears: </w:t>
      </w:r>
    </w:p>
    <w:p>
      <w:pPr>
        <w:pStyle w:val="TextBody"/>
        <w:bidi w:val="0"/>
        <w:spacing w:before="120" w:after="0"/>
        <w:jc w:val="left"/>
        <w:rPr>
          <w:rFonts w:ascii="Times New Roman" w:hAnsi="Times New Roman"/>
          <w:sz w:val="20"/>
        </w:rPr>
      </w:pPr>
      <w:r>
        <w:rPr>
          <w:rFonts w:ascii="Times New Roman" w:hAnsi="Times New Roman"/>
          <w:sz w:val="20"/>
        </w:rPr>
        <w:t xml:space="preserve">(a) 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 </w:t>
      </w:r>
    </w:p>
    <w:p>
      <w:pPr>
        <w:pStyle w:val="TextBody"/>
        <w:bidi w:val="0"/>
        <w:spacing w:before="240" w:after="0"/>
        <w:jc w:val="left"/>
        <w:rPr>
          <w:rFonts w:ascii="Times New Roman" w:hAnsi="Times New Roman"/>
          <w:sz w:val="20"/>
        </w:rPr>
      </w:pPr>
      <w:r>
        <w:rPr>
          <w:rFonts w:ascii="Times New Roman" w:hAnsi="Times New Roman"/>
          <w:sz w:val="20"/>
        </w:rPr>
        <w:t xml:space="preserve">(b) That it would be inconsistent with any condition expressly imposed by a court in approving a settlement.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RECORDS AND REPORTS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Maintenance and Inspection of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Inspection by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Stock Certificates; Partly Paid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Corporation shall be represented by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and, upon request, every holder of uncertificated shares, shall be entitled to have a certificate signed by, or in the name of the Corporation by the chair or vice-chair of the Board of Directors or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Special Designation On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otherwise provided in Section 202 of the General Corporation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Lost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8.3,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Registered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 the books of the Corporation only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holder of any of the shares of stock of the Corporation may sell, transfer, assign, pledge, or otherwise dispose of or encumber any of the shares of stock of the Corporation or any right or interest therein, whether voluntarily or by operation of law, or by gift or otherwise (each, a “</w:t>
      </w:r>
      <w:r>
        <w:rPr>
          <w:rFonts w:ascii="Times New Roman" w:hAnsi="Times New Roman"/>
          <w:b/>
          <w:sz w:val="20"/>
        </w:rPr>
        <w:t>Transfer</w:t>
      </w:r>
      <w:r>
        <w:rPr>
          <w:rFonts w:ascii="Times New Roman" w:hAnsi="Times New Roman"/>
          <w:sz w:val="20"/>
        </w:rPr>
        <w:t xml:space="preserve">”) without the prior written consent of the Corporation, upon duly authorized action of its Board of Directors. The Corporation may withhold consent for any legitimate corporate purpose, as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If a stockholder desires to Transfer any shares, then the stockholder will first give written notice to the Corporation. The notice must name the proposed transferee and state the number of shares to be transferred, the proposed consideration, and all other terms and conditions of the proposed transfer. </w:t>
      </w:r>
    </w:p>
    <w:p>
      <w:pPr>
        <w:pStyle w:val="TextBody"/>
        <w:bidi w:val="0"/>
        <w:spacing w:before="240" w:after="0"/>
        <w:jc w:val="left"/>
        <w:rPr>
          <w:rFonts w:ascii="Times New Roman" w:hAnsi="Times New Roman"/>
          <w:sz w:val="20"/>
        </w:rPr>
      </w:pPr>
      <w:r>
        <w:rPr>
          <w:rFonts w:ascii="Times New Roman" w:hAnsi="Times New Roman"/>
          <w:sz w:val="20"/>
        </w:rPr>
        <w:t xml:space="preserve">(c) At the option of the Corporation, the stockholder will be obligated to pay to the Corporation a reasonable transfer fee related to the costs and time of the Corporation and its legal and other advisors related to any proposed Transfer. </w:t>
      </w:r>
    </w:p>
    <w:p>
      <w:pPr>
        <w:pStyle w:val="TextBody"/>
        <w:bidi w:val="0"/>
        <w:spacing w:before="240" w:after="0"/>
        <w:jc w:val="left"/>
        <w:rPr>
          <w:rFonts w:ascii="Times New Roman" w:hAnsi="Times New Roman"/>
          <w:sz w:val="20"/>
        </w:rPr>
      </w:pPr>
      <w:r>
        <w:rPr>
          <w:rFonts w:ascii="Times New Roman" w:hAnsi="Times New Roman"/>
          <w:sz w:val="20"/>
        </w:rPr>
        <w:t xml:space="preserve">(d) Any Transfer, or purported Transfer, of shares not made in strict compliance with this Section 8.6 will be null and void, will not be recorded on the books of the Corporation and will not be recognized by the Corporation. Transfers of record of shares of stock of the Corporation will be made only upon its books by the holders thereof, in person or by attorney duly authorized, and, in the case of stock represented by certificate, upon the surrender of a properly endorsed certificate or certificates for a like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(e) Any transferee, assignee, or other recipient of shares of stock of the Corporation will receive and hold such stock subject to the provisions of this Section 8.6 and any other restrictions set forth in these Bylaws, and there will be no further Transfer of such stock except in accord with this Section 8.6 and the other provisions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(f) The certificates representing shares of common stock of the Corporation will bear on their face a legend in substantially the following form so long as the foregoing Transfer restrictions are in effect: </w:t>
      </w:r>
    </w:p>
    <w:p>
      <w:pPr>
        <w:pStyle w:val="TextBody"/>
        <w:bidi w:val="0"/>
        <w:spacing w:before="120" w:after="0"/>
        <w:jc w:val="left"/>
        <w:rPr/>
      </w:pPr>
      <w:r>
        <w:rPr/>
        <w:t>“</w:t>
      </w:r>
      <w:r>
        <w:rPr>
          <w:rFonts w:ascii="Times New Roman" w:hAnsi="Times New Roman"/>
          <w:sz w:val="20"/>
        </w:rPr>
        <w:t xml:space="preserve">THE SHARES REPRESENTED BY THIS CERTIFICATE ARE SUBJECT TO A TRANSFER RESTRICTION AS PROVIDED IN THE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(g) The restriction on Transfer set forth in Section 8.6(a) will terminate upon the date securities of the Corporation are first offered to the public pursuant to a registration statement filed with, and declared effective by, the SEC under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Exempt Transfers</w:t>
      </w:r>
      <w:r>
        <w:rPr>
          <w:rFonts w:ascii="Times New Roman" w:hAnsi="Times New Roman"/>
          <w:sz w:val="20"/>
        </w:rPr>
        <w:t xml:space="preserve">. The restriction on Transfer set forth in Section 8.6(a) will not apply (but, for clarity, the other provisions of Section 8.6 will apply)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stockholder’s Transfer of shares of preferred stock of the Corporation (or any shares of common stock issued upon conversion thereof); </w:t>
      </w:r>
    </w:p>
    <w:p>
      <w:pPr>
        <w:pStyle w:val="TextBody"/>
        <w:bidi w:val="0"/>
        <w:spacing w:before="240" w:after="0"/>
        <w:jc w:val="left"/>
        <w:rPr>
          <w:rFonts w:ascii="Times New Roman" w:hAnsi="Times New Roman"/>
          <w:sz w:val="20"/>
        </w:rPr>
      </w:pPr>
      <w:r>
        <w:rPr>
          <w:rFonts w:ascii="Times New Roman" w:hAnsi="Times New Roman"/>
          <w:sz w:val="20"/>
        </w:rPr>
        <w:t>(ii) 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 members of such stockholder’s immediate family or any trust for the account of such stockholder or such stockholder’s immediate family will be the general or limited partner(s) of such partnership or the controlling member(s) of such limited liability company (“</w:t>
      </w:r>
      <w:r>
        <w:rPr>
          <w:rFonts w:ascii="Times New Roman" w:hAnsi="Times New Roman"/>
          <w:b/>
          <w:sz w:val="20"/>
        </w:rPr>
        <w:t>immediate family</w:t>
      </w:r>
      <w:r>
        <w:rPr>
          <w:rFonts w:ascii="Times New Roman" w:hAnsi="Times New Roman"/>
          <w:sz w:val="20"/>
        </w:rPr>
        <w:t xml:space="preserve">” as used herein means spouse, life partner or similar statutorily-recognized domestic partner, lineal descendant, father, mother, brother, or sister of the stockholder making such Transfer); </w:t>
      </w:r>
    </w:p>
    <w:p>
      <w:pPr>
        <w:pStyle w:val="TextBody"/>
        <w:bidi w:val="0"/>
        <w:spacing w:before="240" w:after="0"/>
        <w:jc w:val="left"/>
        <w:rPr>
          <w:rFonts w:ascii="Times New Roman" w:hAnsi="Times New Roman"/>
          <w:sz w:val="20"/>
        </w:rPr>
      </w:pPr>
      <w:r>
        <w:rPr>
          <w:rFonts w:ascii="Times New Roman" w:hAnsi="Times New Roman"/>
          <w:sz w:val="20"/>
        </w:rPr>
        <w:t xml:space="preserve">(iii) a stockholder’s Transfer of any or all of such stockholder’s shares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(iv) 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 </w:t>
      </w:r>
    </w:p>
    <w:p>
      <w:pPr>
        <w:pStyle w:val="TextBody"/>
        <w:bidi w:val="0"/>
        <w:spacing w:before="240" w:after="0"/>
        <w:jc w:val="left"/>
        <w:rPr>
          <w:rFonts w:ascii="Times New Roman" w:hAnsi="Times New Roman"/>
          <w:sz w:val="20"/>
        </w:rPr>
      </w:pPr>
      <w:r>
        <w:rPr>
          <w:rFonts w:ascii="Times New Roman" w:hAnsi="Times New Roman"/>
          <w:sz w:val="20"/>
        </w:rPr>
        <w:t xml:space="preserve">(v) a corporate stockholder’s Transfer of any or all of its shares to any or all of its stockholders; or </w:t>
      </w:r>
    </w:p>
    <w:p>
      <w:pPr>
        <w:pStyle w:val="TextBody"/>
        <w:bidi w:val="0"/>
        <w:spacing w:before="240" w:after="0"/>
        <w:jc w:val="left"/>
        <w:rPr>
          <w:rFonts w:ascii="Times New Roman" w:hAnsi="Times New Roman"/>
          <w:sz w:val="20"/>
        </w:rPr>
      </w:pPr>
      <w:r>
        <w:rPr>
          <w:rFonts w:ascii="Times New Roman" w:hAnsi="Times New Roman"/>
          <w:sz w:val="20"/>
        </w:rPr>
        <w:t xml:space="preserve">(vi) a Transfer by a stockholder that is a limited or general partnership to any or all of its partners or former partners in accordance with partnership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Regulations; Stock Transfer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 transfer, conversion and registration of shares of stock of the Corporation shall be governed by such other regulations as the Board of Directors may establish.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Checks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Execution of Corporate Contracts and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Construction;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General Corporation Law shall govern the construction of these Bylaws. Without limiting the generality of this provision, the singular number includes the plural, the plural number includes the singular, and the term “person” includes both a corporation and a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the Corporation, subject to any restrictions contained in (a) the General Corporation Law or (b) the certificate of incorporation, may declare and pay dividends upon the shares of its capital stock. Dividends may be paid in cash, in property, or in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Fiscal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be fixed by resolution of the Board of Directors and may be changed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Seal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adopt a corporate seal, which may be altered at pleasure, and may use the same by causing it or a facsimile thereof, to be impressed or affixed or in any other manner reproduced.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Facsimile and Electronic 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provisions for use of facsimile and electronic signatures elsewhere specifically authorized in these Bylaws, facsimile and electronic signatures of any officer or officers of the Corporation may be used whenever and as authorized by the Board of Directors or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By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in whole or in part, or new bylaws may be adopted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By the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w:t>
      </w:r>
      <w:r>
        <w:rPr>
          <w:rFonts w:ascii="Times New Roman" w:hAnsi="Times New Roman"/>
          <w:i/>
          <w:sz w:val="20"/>
        </w:rPr>
        <w:t>provided</w:t>
      </w:r>
      <w:r>
        <w:rPr>
          <w:rFonts w:ascii="Times New Roman" w:hAnsi="Times New Roman"/>
          <w:sz w:val="20"/>
        </w:rPr>
        <w:t xml:space="preserve"> that notice of such alteration, amendment, repeal or adoption of new bylaws shall have been stated in the notice of such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251" w:name="d108148dex43.htm"/>
      <w:bookmarkStart w:id="252" w:name="ksd108148dex43"/>
      <w:bookmarkEnd w:id="251"/>
      <w:bookmarkEnd w:id="252"/>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THIS WARRANT AND THE SECURITIES ISSUABLE UPON EXERCISE OF THIS WARRANT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OR UNDER THE SECURITIES LAWS OF CERTAIN STATES. THESE SECURITIES MAY NOT BE OFFERED, SOLD OR OTHERWISE TRANSFERRED, PLEDGED, OR HYPOTHECATED EXCEPT AS PERMITTED UNDER THE SECURITIES ACT AND APPLICABLE STATE SECURITIES LAWS PURSUANT TO AN EFFECTIVE REGISTRATION STATEMENT OR AN EXEMPTION FROM REGISTRATION. THE ISSUER OF THESE SECURITIES MAY REQUIRE AN OPINION OF COUNSEL REASONABLY SATISFACTORY TO THE ISSUER THAT SUCH OFFER, SALE OR TRANSFER, PLEDGE, OR HYPOTHECATION OTHERWISE COMPLIES WITH THE SECURITIES ACT AND ANY APPLICABLE STATE SECURITIES LAWS. </w:t>
      </w:r>
    </w:p>
    <w:p>
      <w:pPr>
        <w:pStyle w:val="TextBody"/>
        <w:bidi w:val="0"/>
        <w:spacing w:before="48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Warrant No.: A1-1 </w:t>
      </w:r>
    </w:p>
    <w:p>
      <w:pPr>
        <w:pStyle w:val="TextBody"/>
        <w:bidi w:val="0"/>
        <w:spacing w:before="0" w:after="0"/>
        <w:jc w:val="left"/>
        <w:rPr>
          <w:rFonts w:ascii="Times New Roman" w:hAnsi="Times New Roman"/>
          <w:sz w:val="20"/>
        </w:rPr>
      </w:pPr>
      <w:r>
        <w:rPr>
          <w:rFonts w:ascii="Times New Roman" w:hAnsi="Times New Roman"/>
          <w:sz w:val="20"/>
        </w:rPr>
        <w:t xml:space="preserve">Issue Date: June 12,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RTW Newco10, Inc., a Delaware corporation (the “</w:t>
      </w:r>
      <w:r>
        <w:rPr>
          <w:rFonts w:ascii="Times New Roman" w:hAnsi="Times New Roman"/>
          <w:b/>
          <w:i/>
          <w:sz w:val="20"/>
        </w:rPr>
        <w:t>Company</w:t>
      </w:r>
      <w:r>
        <w:rPr>
          <w:rFonts w:ascii="Times New Roman" w:hAnsi="Times New Roman"/>
          <w:sz w:val="20"/>
        </w:rPr>
        <w:t>”), and YolTech Therapeutics Co., Ltd, a company organized under the laws of the People’s Republic of China (“</w:t>
      </w:r>
      <w:r>
        <w:rPr>
          <w:rFonts w:ascii="Times New Roman" w:hAnsi="Times New Roman"/>
          <w:b/>
          <w:i/>
          <w:sz w:val="20"/>
        </w:rPr>
        <w:t>Licensor</w:t>
      </w:r>
      <w:r>
        <w:rPr>
          <w:rFonts w:ascii="Times New Roman" w:hAnsi="Times New Roman"/>
          <w:sz w:val="20"/>
        </w:rPr>
        <w:t>”), have entered into that certain Exclusive License Agreement, dated as of June 12, 2026 (as amended and/or restated from time to time, the “</w:t>
      </w:r>
      <w:r>
        <w:rPr>
          <w:rFonts w:ascii="Times New Roman" w:hAnsi="Times New Roman"/>
          <w:b/>
          <w:i/>
          <w:sz w:val="20"/>
        </w:rPr>
        <w:t>License Agreement</w:t>
      </w:r>
      <w:r>
        <w:rPr>
          <w:rFonts w:ascii="Times New Roman" w:hAnsi="Times New Roman"/>
          <w:sz w:val="20"/>
        </w:rPr>
        <w:t>”) and that certain Warrant Subscription Agreement, dated as of June 12, 2026 (as amended and/or restated from time to time, the “</w:t>
      </w:r>
      <w:r>
        <w:rPr>
          <w:rFonts w:ascii="Times New Roman" w:hAnsi="Times New Roman"/>
          <w:b/>
          <w:i/>
          <w:sz w:val="20"/>
        </w:rPr>
        <w:t>Subscription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License Agreement and the Subscription Agreement, the Company is obligated to issue to Licensor a warrant to acquire shares of either, as applicable, the Company’s (i) Series A-1 Preferred Stock, $0.00001 par value per share (“</w:t>
      </w:r>
      <w:r>
        <w:rPr>
          <w:rFonts w:ascii="Times New Roman" w:hAnsi="Times New Roman"/>
          <w:b/>
          <w:i/>
          <w:sz w:val="20"/>
        </w:rPr>
        <w:t>Series A-1 Preferred Stock</w:t>
      </w:r>
      <w:r>
        <w:rPr>
          <w:rFonts w:ascii="Times New Roman" w:hAnsi="Times New Roman"/>
          <w:sz w:val="20"/>
        </w:rPr>
        <w:t>”) or (ii) Common Stock (as applicable, “</w:t>
      </w:r>
      <w:r>
        <w:rPr>
          <w:rFonts w:ascii="Times New Roman" w:hAnsi="Times New Roman"/>
          <w:b/>
          <w:i/>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Shares are being issued as part of the consideration under the License Agreement and the Company’s Board of Directors has determined that the rights granted to the Company under the License Agreement have a value at least equal to the aggregate Exercise Price (as defined below) for all Shares issuable hereunder, such that the Holder is not obligated to pay any additional consideration to exercise this Warrant; and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for the mutual promises and covenants set forth in this Warrant and for other good and valuable consideration, the receipt and sufficiency of which is acknowledged, the parties agree as follows: </w:t>
      </w:r>
    </w:p>
    <w:p>
      <w:pPr>
        <w:pStyle w:val="TextBody"/>
        <w:bidi w:val="0"/>
        <w:spacing w:before="12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YolTech Therapeutics Co., Ltd, a company organized under the laws of the People’s Republic of China, or its registered assigns (the “</w:t>
      </w:r>
      <w:r>
        <w:rPr>
          <w:rFonts w:ascii="Times New Roman" w:hAnsi="Times New Roman"/>
          <w:b/>
          <w:i/>
          <w:sz w:val="20"/>
        </w:rPr>
        <w:t>Holder</w:t>
      </w:r>
      <w:r>
        <w:rPr>
          <w:rFonts w:ascii="Times New Roman" w:hAnsi="Times New Roman"/>
          <w:sz w:val="20"/>
        </w:rPr>
        <w:t>”), is entitled, subject to the provisions and upon the terms and conditions set forth in this Warrant to Purchase Shares (this “</w:t>
      </w:r>
      <w:r>
        <w:rPr>
          <w:rFonts w:ascii="Times New Roman" w:hAnsi="Times New Roman"/>
          <w:b/>
          <w:i/>
          <w:sz w:val="20"/>
        </w:rPr>
        <w:t>Warrant</w:t>
      </w:r>
      <w:r>
        <w:rPr>
          <w:rFonts w:ascii="Times New Roman" w:hAnsi="Times New Roman"/>
          <w:sz w:val="20"/>
        </w:rPr>
        <w:t xml:space="preserve">”), to purchase from the Company, Shares, in the amounts, at such times and at the price per share set forth in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Number and Type of Shares; Exercise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and Type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of the Issue Date, the Holder shall initially have the right to acquire up to that number of shares of Series A-1 Preferred Stock equal to 19.9% of the Fully-Diluted Capitalization of the Company as of immediately after the initial closing of the Series A Financing (the “</w:t>
      </w:r>
      <w:r>
        <w:rPr>
          <w:rFonts w:ascii="Times New Roman" w:hAnsi="Times New Roman"/>
          <w:b/>
          <w:i/>
          <w:sz w:val="20"/>
        </w:rPr>
        <w:t>Share Number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Prior to the consummation of a Going Public Event, this Warrant shall be exercisable for shares of Series A-1 Preferred Stock. From and after the consummation of a Going Public Event, this Warrant shall be exercisable for shares of Common Stock as set forth in </w:t>
      </w:r>
      <w:r>
        <w:rPr>
          <w:rFonts w:ascii="Times New Roman" w:hAnsi="Times New Roman"/>
          <w:sz w:val="20"/>
          <w:u w:val="single"/>
        </w:rPr>
        <w:t>Section 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Adjustments to Share Number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From immediately following the initial closing of the Series A Financing until the termination of this </w:t>
      </w:r>
      <w:r>
        <w:rPr>
          <w:rFonts w:ascii="Times New Roman" w:hAnsi="Times New Roman"/>
          <w:sz w:val="20"/>
          <w:u w:val="single"/>
        </w:rPr>
        <w:t>Section 1(b)(i)</w:t>
      </w:r>
      <w:r>
        <w:rPr>
          <w:rFonts w:ascii="Times New Roman" w:hAnsi="Times New Roman"/>
          <w:sz w:val="20"/>
        </w:rPr>
        <w:t xml:space="preserve"> pursuant to </w:t>
      </w:r>
      <w:r>
        <w:rPr>
          <w:rFonts w:ascii="Times New Roman" w:hAnsi="Times New Roman"/>
          <w:sz w:val="20"/>
          <w:u w:val="single"/>
        </w:rPr>
        <w:t>Section 1(b)(ii)</w:t>
      </w:r>
      <w:r>
        <w:rPr>
          <w:rFonts w:ascii="Times New Roman" w:hAnsi="Times New Roman"/>
          <w:sz w:val="20"/>
        </w:rPr>
        <w:t xml:space="preserve"> below, the Share Number shall automatically be adjusted as is necessary so that, immediately following each change in the Fully-Diluted Capitalization (a “</w:t>
      </w:r>
      <w:r>
        <w:rPr>
          <w:rFonts w:ascii="Times New Roman" w:hAnsi="Times New Roman"/>
          <w:b/>
          <w:i/>
          <w:sz w:val="20"/>
        </w:rPr>
        <w:t>Remeasurement Event</w:t>
      </w:r>
      <w:r>
        <w:rPr>
          <w:rFonts w:ascii="Times New Roman" w:hAnsi="Times New Roman"/>
          <w:sz w:val="20"/>
        </w:rPr>
        <w:t xml:space="preserve">”), the aggregate number of Warrant Shares underlying the Warrant (including Warrant Shares which have already been issued pursuant to the Warrant upon partial exercise) represents 19.9% of the Fully-Diluted Capitalization immediately after such Remeasurement Event, calculated after giving effect to each such adjustment. Such adjustment to the Share Number shall arise immediately following each issuance of New Securities that occurs after the initial closing of the Series A Financing during the Anti-Dilution Period. For purposes of determining the adjusted Share Number in connection with each subsequent issuance of New Securities, the Common Stock Outstanding shall be calculated as of immediately after the issuance of such New Securities. Notwithstanding the foregoing, with respect to any New Securities that are Convertible Securities, the adjustment of the Share Number in respect of such New Securities shall occur, and the determination of the number of additional Shares added to the Share Number, shall be made, in each case, immediately following the conversion of such Convertible Securities into shares of Capital Stock. The Company shall not, directly or indirectly, take any action, or enter into any transaction or arrangement, the primary purpose of which is to circumvent the Company’s obligations under this </w:t>
      </w:r>
      <w:r>
        <w:rPr>
          <w:rFonts w:ascii="Times New Roman" w:hAnsi="Times New Roman"/>
          <w:sz w:val="20"/>
          <w:u w:val="single"/>
        </w:rPr>
        <w:t>Section 1(b)(i)</w:t>
      </w:r>
      <w:r>
        <w:rPr>
          <w:rFonts w:ascii="Times New Roman" w:hAnsi="Times New Roman"/>
          <w:sz w:val="20"/>
        </w:rPr>
        <w:t xml:space="preserve">. Within 2 business days following each adjustment of the Share Number pursuant to this </w:t>
      </w:r>
      <w:r>
        <w:rPr>
          <w:rFonts w:ascii="Times New Roman" w:hAnsi="Times New Roman"/>
          <w:sz w:val="20"/>
          <w:u w:val="single"/>
        </w:rPr>
        <w:t>Section 1(b)(i)</w:t>
      </w:r>
      <w:r>
        <w:rPr>
          <w:rFonts w:ascii="Times New Roman" w:hAnsi="Times New Roman"/>
          <w:sz w:val="20"/>
        </w:rPr>
        <w:t xml:space="preserve">, the Company shall notify the Holder in writing of (i) the number of Shares added to the Share Number as a result of such adjustment, (ii) the resulting adjusted Share Number, and (iii) a reasonably detailed explanation of the calculation of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 The provisions of </w:t>
      </w:r>
      <w:r>
        <w:rPr>
          <w:rFonts w:ascii="Times New Roman" w:hAnsi="Times New Roman"/>
          <w:sz w:val="20"/>
          <w:u w:val="single"/>
        </w:rPr>
        <w:t>Section 1(b)(i)</w:t>
      </w:r>
      <w:r>
        <w:rPr>
          <w:rFonts w:ascii="Times New Roman" w:hAnsi="Times New Roman"/>
          <w:sz w:val="20"/>
        </w:rPr>
        <w:t xml:space="preserve"> shall terminate and be of no further force or effect upon the earliest to occur of: (A) expiration of the Anti-Dilution Period and completion of all corresponding adjustments arising pursuant to </w:t>
      </w:r>
      <w:r>
        <w:rPr>
          <w:rFonts w:ascii="Times New Roman" w:hAnsi="Times New Roman"/>
          <w:sz w:val="20"/>
          <w:u w:val="single"/>
        </w:rPr>
        <w:t>Section 1(b)(i)</w:t>
      </w:r>
      <w:r>
        <w:rPr>
          <w:rFonts w:ascii="Times New Roman" w:hAnsi="Times New Roman"/>
          <w:sz w:val="20"/>
        </w:rPr>
        <w:t xml:space="preserve"> prior to expiration (including, for the avoidance of doubt, any adjustments pursuant to </w:t>
      </w:r>
      <w:r>
        <w:rPr>
          <w:rFonts w:ascii="Times New Roman" w:hAnsi="Times New Roman"/>
          <w:sz w:val="20"/>
          <w:u w:val="single"/>
        </w:rPr>
        <w:t>Section 1(b)(i)</w:t>
      </w:r>
      <w:r>
        <w:rPr>
          <w:rFonts w:ascii="Times New Roman" w:hAnsi="Times New Roman"/>
          <w:sz w:val="20"/>
        </w:rPr>
        <w:t xml:space="preserve"> in respect of any New Securities that are Convertible Securities outstanding prior to expiration); (B) upon the consummation of a Change of Control of the Company; and (C) termination of the License Agreement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Period</w:t>
      </w:r>
      <w:r>
        <w:rPr>
          <w:rFonts w:ascii="Times New Roman" w:hAnsi="Times New Roman"/>
          <w:sz w:val="20"/>
        </w:rPr>
        <w:t xml:space="preserve">. This Warrant shall be exercisable at any time commencing on and following the initial closing of the Series A Financing, in whole or in part, and prior to (or in connection with) the expiration of this Warrant pursuant to </w:t>
      </w:r>
      <w:r>
        <w:rPr>
          <w:rFonts w:ascii="Times New Roman" w:hAnsi="Times New Roman"/>
          <w:sz w:val="20"/>
          <w:u w:val="single"/>
        </w:rPr>
        <w:t>Section 7</w:t>
      </w:r>
      <w:r>
        <w:rPr>
          <w:rFonts w:ascii="Times New Roman" w:hAnsi="Times New Roman"/>
          <w:sz w:val="20"/>
        </w:rPr>
        <w:t xml:space="preserve"> (the “</w:t>
      </w:r>
      <w:r>
        <w:rPr>
          <w:rFonts w:ascii="Times New Roman" w:hAnsi="Times New Roman"/>
          <w:b/>
          <w:i/>
          <w:sz w:val="20"/>
        </w:rPr>
        <w:t>Exercise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Price</w:t>
      </w:r>
      <w:r>
        <w:rPr>
          <w:rFonts w:ascii="Times New Roman" w:hAnsi="Times New Roman"/>
          <w:sz w:val="20"/>
        </w:rPr>
        <w:t>. The exercise price per Share shall be $0.00001, an amount equal to the par value of a share of Series A-1 Preferred Stock (the “</w:t>
      </w:r>
      <w:r>
        <w:rPr>
          <w:rFonts w:ascii="Times New Roman" w:hAnsi="Times New Roman"/>
          <w:b/>
          <w:i/>
          <w:sz w:val="20"/>
        </w:rPr>
        <w:t>Exercise Price</w:t>
      </w:r>
      <w:r>
        <w:rPr>
          <w:rFonts w:ascii="Times New Roman" w:hAnsi="Times New Roman"/>
          <w:sz w:val="20"/>
        </w:rPr>
        <w:t xml:space="preserve">”). As recited above, the Company’s board of directors has determined that the rights granted to the Company under the License Agreement have a value, allocable to the Shares issuable upon exercise of this Warrant, not less than the aggregate Exercise Price for all such Shares, and that such value has been received by the Company as of the Issue Date. Accordingly, the aggregate Exercise Price for all Shares issuable upon exercise of this Warrant shall be deemed prepaid and satisfied in full by the consideration received by the Company under the License Agreement, and no additional cash or other consideration shall be payable by the Holder upon any exercise of this Warrant. Upon issuance against such deemed-paid Exercise Price, the Shares shall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Notice</w:t>
      </w:r>
      <w:r>
        <w:rPr>
          <w:rFonts w:ascii="Times New Roman" w:hAnsi="Times New Roman"/>
          <w:sz w:val="20"/>
        </w:rPr>
        <w:t xml:space="preserve">. Subject to the terms of this Warrant, the Holder may exercise this Warrant, in whole or in part, at any time during the Exercise Period by delivering to the Company via electronic mail a duly completed and executed Exercise Notice, in the form attached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Exercise Notice</w:t>
      </w:r>
      <w:r>
        <w:rPr>
          <w:rFonts w:ascii="Times New Roman" w:hAnsi="Times New Roman"/>
          <w:sz w:val="20"/>
        </w:rPr>
        <w:t>”, the date of delivery of such Exercise Notice, the “</w:t>
      </w:r>
      <w:r>
        <w:rPr>
          <w:rFonts w:ascii="Times New Roman" w:hAnsi="Times New Roman"/>
          <w:b/>
          <w:i/>
          <w:sz w:val="20"/>
        </w:rPr>
        <w:t>Exercise Date</w:t>
      </w:r>
      <w:r>
        <w:rPr>
          <w:rFonts w:ascii="Times New Roman" w:hAnsi="Times New Roman"/>
          <w:sz w:val="20"/>
        </w:rPr>
        <w:t xml:space="preserve">”). For the avoidance of doubt, the Company acknowledges and agrees that, the Shares are being issued as part of the consideration under the License Agreement, the aggregate Exercise Price having been deemed prepaid and satisfied in full as set forth in Section 1, and the Holder is not obligated to pay any additional consideration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Timing; Certificates; New Warrant</w:t>
      </w:r>
      <w:r>
        <w:rPr>
          <w:rFonts w:ascii="Times New Roman" w:hAnsi="Times New Roman"/>
          <w:sz w:val="20"/>
        </w:rPr>
        <w:t xml:space="preserve">. Subject to the terms of this Warrant, the rights under this Warrant shall be deemed to have been exercised and the Shares issuable upon such exercise shall be deemed to have been issued immediately prior to the close of business on the Exercise Date, the Holder is entitled to receive the Shares issuable upon such exercise and shall be treated for all purposes as the holder of record of such Shares as of the close of business on the Exercise Date. As promptly as reasonably practicable on or after the Exercise Date, the Company shall issue and deliver to the Holder a certificate or certificates (or a notice of issuance of uncertificated shares or other evidence of ownership, if applicable) for that number of shares issuable upon such exercise. In the event that the rights under this Warrant are exercised in part and have not expired, the Company shall execute and deliver a new Warrant reflecting the number of Shares that remain subject to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Fractional Shares</w:t>
      </w:r>
      <w:r>
        <w:rPr>
          <w:rFonts w:ascii="Times New Roman" w:hAnsi="Times New Roman"/>
          <w:sz w:val="20"/>
        </w:rPr>
        <w:t xml:space="preserve">. No fractional Shares shall be issued upon exercise of this Warrant. In lieu of such fractional Share to which the Holder would otherwise be entitled, the Company shall make a cash payment equal to the amount calculated by multiplying such fraction by the fair market value of a full Share (as determined by the Company’s board of directors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Reservation of Shares</w:t>
      </w:r>
      <w:r>
        <w:rPr>
          <w:rFonts w:ascii="Times New Roman" w:hAnsi="Times New Roman"/>
          <w:sz w:val="20"/>
        </w:rPr>
        <w:t xml:space="preserve">. During the Exercise Period, the Company agrees to take all reasonable action(s) (including solicitation of any required board or stockholder resolutions) to reserve and keep available from its authorized and unissued shares of Series A-1 Preferred Stock or Common Stock (as applicable) for the purpose of effecting the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Issued Shares</w:t>
      </w:r>
      <w:r>
        <w:rPr>
          <w:rFonts w:ascii="Times New Roman" w:hAnsi="Times New Roman"/>
          <w:sz w:val="20"/>
        </w:rPr>
        <w:t xml:space="preserve">. The Company represents and warrants that all Shares that may be issued upon the exercise of this Warrant will, when issued in accordance with the terms of this Warrant,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Conditional Exercise</w:t>
      </w:r>
      <w:r>
        <w:rPr>
          <w:rFonts w:ascii="Times New Roman" w:hAnsi="Times New Roman"/>
          <w:sz w:val="20"/>
        </w:rPr>
        <w:t xml:space="preserve">. The Holder may exercise this Warrant, subject to the terms of the Warrant, conditioned upon (and effective immediately prior to) consummation of any transaction or other event by indicating the election of such conditional exercise on the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Automatic Exercise</w:t>
      </w:r>
      <w:r>
        <w:rPr>
          <w:rFonts w:ascii="Times New Roman" w:hAnsi="Times New Roman"/>
          <w:sz w:val="20"/>
        </w:rPr>
        <w:t xml:space="preserve">. If the Holder has not elected to exercise this Warrant prior to the expiration of this Warrant pursuant to </w:t>
      </w:r>
      <w:r>
        <w:rPr>
          <w:rFonts w:ascii="Times New Roman" w:hAnsi="Times New Roman"/>
          <w:sz w:val="20"/>
          <w:u w:val="single"/>
        </w:rPr>
        <w:t>Section 7</w:t>
      </w:r>
      <w:r>
        <w:rPr>
          <w:rFonts w:ascii="Times New Roman" w:hAnsi="Times New Roman"/>
          <w:sz w:val="20"/>
        </w:rPr>
        <w:t xml:space="preserve">, then this Warrant shall automatically (without any act on the part of the Holder) be exercised pursuant to </w:t>
      </w:r>
      <w:r>
        <w:rPr>
          <w:rFonts w:ascii="Times New Roman" w:hAnsi="Times New Roman"/>
          <w:sz w:val="20"/>
          <w:u w:val="single"/>
        </w:rPr>
        <w:t>Section 2(a)</w:t>
      </w:r>
      <w:r>
        <w:rPr>
          <w:rFonts w:ascii="Times New Roman" w:hAnsi="Times New Roman"/>
          <w:sz w:val="20"/>
        </w:rPr>
        <w:t xml:space="preserve"> effective immediately prior to the expiration of this Warrant pursuant to </w:t>
      </w:r>
      <w:r>
        <w:rPr>
          <w:rFonts w:ascii="Times New Roman" w:hAnsi="Times New Roman"/>
          <w:sz w:val="20"/>
          <w:u w:val="single"/>
        </w:rPr>
        <w:t>Section 7</w:t>
      </w:r>
      <w:r>
        <w:rPr>
          <w:rFonts w:ascii="Times New Roman" w:hAnsi="Times New Roman"/>
          <w:sz w:val="20"/>
        </w:rPr>
        <w:t xml:space="preserve">, unless the Holder provides prior written notice to the Company that the Holder desires that this Warrant to expire unexercised. If this Warrant is automatically exercised, the Company shall notify the Holder of the automatic exercise as soon as reasonably practicable, and the Holder shall surrender the Warrant to the Company in accordance with the terms hereof and shall be or become a party to the Stockholder Agreements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w:t>
      </w:r>
      <w:r>
        <w:rPr>
          <w:rFonts w:ascii="Times New Roman" w:hAnsi="Times New Roman"/>
          <w:sz w:val="20"/>
        </w:rPr>
        <w:t xml:space="preserve">. Where any payment or issuance due to be made to the Licensor or the Holder hereunder is subject to any withholding or similar tax, the Company shall have the right to deduct and withhold any such withholding or similar tax from any payment due to the Licensor or the Holder hereunder and will pay such withholding or similar tax to the appropriate governmental authority. To the extent that amounts are so withheld, such withheld amounts shall be treated for all purposes of this Warrant as having been delivered and paid or issued to the Licensor or the Holder or any other recipient of payment or issuance in respect of which such deduction and withholding was made. The Company will in a timely manner transmit to the Licensor or the Holder an official tax certificate or other evidence of such withholding sufficient to enable the Licensor or the Holder to claim such payment of taxes. The Licensor or the Holder will provide the Company any tax forms that may be reasonably necessary in order for the Company not to withhold tax or to withhold tax at a reduced rate under an applicable bilateral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Beneficial Ownership Limitation</w:t>
      </w:r>
      <w:r>
        <w:rPr>
          <w:rFonts w:ascii="Times New Roman" w:hAnsi="Times New Roman"/>
          <w:sz w:val="20"/>
        </w:rPr>
        <w:t xml:space="preserve">. Notwithstanding any other provision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not issue, and the Holder shall not have the right to acquire upon exercise of this Warrant (whether upon full or partial exercise, including any automatic exercise pursuant to </w:t>
      </w:r>
      <w:r>
        <w:rPr>
          <w:rFonts w:ascii="Times New Roman" w:hAnsi="Times New Roman"/>
          <w:sz w:val="20"/>
          <w:u w:val="single"/>
        </w:rPr>
        <w:t>Section 2(g)</w:t>
      </w:r>
      <w:r>
        <w:rPr>
          <w:rFonts w:ascii="Times New Roman" w:hAnsi="Times New Roman"/>
          <w:sz w:val="20"/>
        </w:rPr>
        <w:t>), any Shares to the extent that, after giving effect to such issuance, the Holder (together with any person whose beneficial ownership would be aggregated with the Holder’s for purposes of Section 13(d) of the Securities Exchange Act of 1934, as amended (the “</w:t>
      </w:r>
      <w:r>
        <w:rPr>
          <w:rFonts w:ascii="Times New Roman" w:hAnsi="Times New Roman"/>
          <w:b/>
          <w:i/>
          <w:sz w:val="20"/>
        </w:rPr>
        <w:t>Exchange Act</w:t>
      </w:r>
      <w:r>
        <w:rPr>
          <w:rFonts w:ascii="Times New Roman" w:hAnsi="Times New Roman"/>
          <w:sz w:val="20"/>
        </w:rPr>
        <w:t>”), and the rules promulgated thereunder, including any “group” (within the meaning of Section 13(d)) of which the Holder is a member) would beneficially own in excess of 9.9% of the total number of shares of Common Stock Outstanding immediately after giving effect to such issuance (the “</w:t>
      </w:r>
      <w:r>
        <w:rPr>
          <w:rFonts w:ascii="Times New Roman" w:hAnsi="Times New Roman"/>
          <w:b/>
          <w:i/>
          <w:sz w:val="20"/>
        </w:rPr>
        <w:t>Beneficial Ownership Cap</w:t>
      </w:r>
      <w:r>
        <w:rPr>
          <w:rFonts w:ascii="Times New Roman" w:hAnsi="Times New Roman"/>
          <w:sz w:val="20"/>
        </w:rPr>
        <w:t xml:space="preserve">”). For purposes of this </w:t>
      </w:r>
      <w:r>
        <w:rPr>
          <w:rFonts w:ascii="Times New Roman" w:hAnsi="Times New Roman"/>
          <w:sz w:val="20"/>
          <w:u w:val="single"/>
        </w:rPr>
        <w:t>Section 2(i)</w:t>
      </w:r>
      <w:r>
        <w:rPr>
          <w:rFonts w:ascii="Times New Roman" w:hAnsi="Times New Roman"/>
          <w:sz w:val="20"/>
        </w:rPr>
        <w:t xml:space="preserve">, the number of shares beneficially owned by the Holder shall include the Shares issuable upon the exercise with respect to which the determination is being made, but shall exclude Shares issuable upon exercise of any portion of this Warrant that has not then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(ii) Any purported exercise of this Warrant to the extent it would result in the Holder’s beneficial ownership exceeding the Beneficial Ownership Cap shall be null and void as to such excess. If an Exercise Notice would result in the Holder’s beneficial ownership exceeding the Beneficial Ownership Cap, such Exercise Notice shall be deemed automatically modified to reduce the number of Shares to be issued to the maximum number that would not cause the Holder’s beneficial ownership to exceed the Beneficial Ownership Cap, and the Holder shall remain entitled to submit further Exercise Notices from time to time for any Shares that could not be issued as a result of this </w:t>
      </w:r>
      <w:r>
        <w:rPr>
          <w:rFonts w:ascii="Times New Roman" w:hAnsi="Times New Roman"/>
          <w:sz w:val="20"/>
          <w:u w:val="single"/>
        </w:rPr>
        <w:t>Section 2(i)</w:t>
      </w:r>
      <w:r>
        <w:rPr>
          <w:rFonts w:ascii="Times New Roman" w:hAnsi="Times New Roman"/>
          <w:sz w:val="20"/>
        </w:rPr>
        <w:t xml:space="preserve">, subject at all times to the Beneficial Ownership Cap. </w:t>
      </w:r>
    </w:p>
    <w:p>
      <w:pPr>
        <w:pStyle w:val="TextBody"/>
        <w:bidi w:val="0"/>
        <w:spacing w:before="240" w:after="0"/>
        <w:jc w:val="left"/>
        <w:rPr>
          <w:rFonts w:ascii="Times New Roman" w:hAnsi="Times New Roman"/>
          <w:sz w:val="20"/>
        </w:rPr>
      </w:pPr>
      <w:r>
        <w:rPr>
          <w:rFonts w:ascii="Times New Roman" w:hAnsi="Times New Roman"/>
          <w:sz w:val="20"/>
        </w:rPr>
        <w:t xml:space="preserve">(iii) At the Company’s reasonable written request (made no more than once per calendar quarter), the Holder shall certify in writing the number of shares beneficially owned by the Holder and its affiliates for purposes of determining compliance with the Beneficial Ownership Cap. The Beneficial Ownership Cap may not be waived or increased by either party without the prior written consent of both parties. The parties acknowledge that the Beneficial Ownership Cap is intended, in part, to support the Holder’s status as a passive investor and to facilitate compliance with applicable U.S. data security and foreign investment review regulations applicable to the Company and the Holder, and shall be construed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Transfer of this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Restrictions</w:t>
      </w:r>
      <w:r>
        <w:rPr>
          <w:rFonts w:ascii="Times New Roman" w:hAnsi="Times New Roman"/>
          <w:sz w:val="20"/>
        </w:rPr>
        <w:t xml:space="preserve">. This Warrant shall not be directly or indirectly transferred or assigned by the Holder without the prior written consent of the Company; </w:t>
      </w:r>
      <w:r>
        <w:rPr>
          <w:rFonts w:ascii="Times New Roman" w:hAnsi="Times New Roman"/>
          <w:sz w:val="20"/>
          <w:u w:val="single"/>
        </w:rPr>
        <w:t>provided</w:t>
      </w:r>
      <w:r>
        <w:rPr>
          <w:rFonts w:ascii="Times New Roman" w:hAnsi="Times New Roman"/>
          <w:sz w:val="20"/>
        </w:rPr>
        <w:t xml:space="preserve"> that, the Holder may transfer any portion of this Warrant without such consent (i) to any Subscriber Affiliate at any time, provided that such Subscriber Affiliate remains subject to the transfer restrictions set forth herein, or (ii) to any Person after the consummation of a Going Public Event, subject to any lockup period no more stringent than what the holders of Series A Preferred Stock would be subject to and in any event not to exceed 180 days. The Shares issued upon exercise of this Warrant shall be subject to the transfer restrictions applicable to shares of Series A-1 Preferred Stock or Common Stock (as applicable) as set forth in the Bylaws and the Stockholder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 Agreement</w:t>
      </w:r>
      <w:r>
        <w:rPr>
          <w:rFonts w:ascii="Times New Roman" w:hAnsi="Times New Roman"/>
          <w:sz w:val="20"/>
        </w:rPr>
        <w:t xml:space="preserve">. Subject to compliance with the terms of this Warrant and all applicable laws, including the Securities Act, this Warrant may be transferred and assigned by delivering to the Company via electronic mail a duly completed and executed Assignment Agreement, in the form attached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i/>
          <w:sz w:val="20"/>
        </w:rPr>
        <w:t>Assignment Agreement</w:t>
      </w:r>
      <w:r>
        <w:rPr>
          <w:rFonts w:ascii="Times New Roman" w:hAnsi="Times New Roman"/>
          <w:sz w:val="20"/>
        </w:rPr>
        <w:t xml:space="preserve">”). This Warrant must be surrendered to the Company or its designated agent, as applicable, as a condition precedent to any transfer or assignment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Taxes</w:t>
      </w:r>
      <w:r>
        <w:rPr>
          <w:rFonts w:ascii="Times New Roman" w:hAnsi="Times New Roman"/>
          <w:sz w:val="20"/>
        </w:rPr>
        <w:t xml:space="preserve">. In no event shall the Company be required to pay any tax which may be payable in respect of any transfer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Legends</w:t>
      </w:r>
      <w:r>
        <w:rPr>
          <w:rFonts w:ascii="Times New Roman" w:hAnsi="Times New Roman"/>
          <w:sz w:val="20"/>
        </w:rPr>
        <w:t xml:space="preserve">. Each certificate, instrument, or book entry representing the Securities (as defined below) shall be notated with any applicable legend(s) as required by applicable laws, the Stockholder Agreements, the Bylaws, or as otherwise reasonably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Adjustments</w:t>
      </w:r>
      <w:r>
        <w:rPr>
          <w:rFonts w:ascii="Times New Roman" w:hAnsi="Times New Roman"/>
          <w:sz w:val="20"/>
        </w:rPr>
        <w:t xml:space="preserve">. Subject to the terms of this Warrant, the number and kind of Shares are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Reorganization</w:t>
      </w:r>
      <w:r>
        <w:rPr>
          <w:rFonts w:ascii="Times New Roman" w:hAnsi="Times New Roman"/>
          <w:sz w:val="20"/>
        </w:rPr>
        <w:t xml:space="preserve">. Subject to </w:t>
      </w:r>
      <w:r>
        <w:rPr>
          <w:rFonts w:ascii="Times New Roman" w:hAnsi="Times New Roman"/>
          <w:sz w:val="20"/>
          <w:u w:val="single"/>
        </w:rPr>
        <w:t>Section 1(b)</w:t>
      </w:r>
      <w:r>
        <w:rPr>
          <w:rFonts w:ascii="Times New Roman" w:hAnsi="Times New Roman"/>
          <w:sz w:val="20"/>
        </w:rPr>
        <w:t xml:space="preserve"> above, in the event of any reorganization, recapitalization, merger, consolidation, or similar transaction involving the Company or the Public Company (as applicable) other than a Reclassification (as defined below) or a Going Public Event, in which shares of the Company or the Public Company (as applicable) are converted into or exchanged for securities, cash, or other property, then the Holder shall be entitled to receive upon exercise of this Warrant the kind and amount of securities, cash, or other property of the successor entity resulting from such Reorganization, equivalent in value to that which a holder of the Shares (assuming exercise of this Warrant immediately prior to such Reorganization) would have been entitled in connection with such Reorganization. In any such case, appropriate adjustment (as mutually determined in good faith by the successor entity and the Holder) shall be made in the application of the provisions of this Warrant with respect to the rights and interests of the Holder after such Reorganization. The provisions of this Section shall similarly apply to successive reorganization, recapitalization, merger, consolidation, or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Reclassification of Shares</w:t>
      </w:r>
      <w:r>
        <w:rPr>
          <w:rFonts w:ascii="Times New Roman" w:hAnsi="Times New Roman"/>
          <w:sz w:val="20"/>
        </w:rPr>
        <w:t>. If the Shares issuable upon exercise of this Warrant are changed into the same or a different number of securities of any other class or classes by reclassification, capital reorganization, or otherwise, excluding a Reorganization and a Going Public Event (each, a “</w:t>
      </w:r>
      <w:r>
        <w:rPr>
          <w:rFonts w:ascii="Times New Roman" w:hAnsi="Times New Roman"/>
          <w:b/>
          <w:i/>
          <w:sz w:val="20"/>
        </w:rPr>
        <w:t>Reclassification</w:t>
      </w:r>
      <w:r>
        <w:rPr>
          <w:rFonts w:ascii="Times New Roman" w:hAnsi="Times New Roman"/>
          <w:sz w:val="20"/>
        </w:rPr>
        <w:t xml:space="preserve">”), then, subject to </w:t>
      </w:r>
      <w:r>
        <w:rPr>
          <w:rFonts w:ascii="Times New Roman" w:hAnsi="Times New Roman"/>
          <w:sz w:val="20"/>
          <w:u w:val="single"/>
        </w:rPr>
        <w:t>Section 1(b)</w:t>
      </w:r>
      <w:r>
        <w:rPr>
          <w:rFonts w:ascii="Times New Roman" w:hAnsi="Times New Roman"/>
          <w:sz w:val="20"/>
        </w:rPr>
        <w:t xml:space="preserve"> above, the Holder shall be entitled to receive upon exercise of this Warrant the number and kind of securities that the Holder would have received if this Warrant had been exercised immediately before such Reclassification. The provisions of this Section shall similarly apply to successive Reclassifications.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Subdivisions, Dividends, Distributions and Combinations</w:t>
      </w:r>
      <w:r>
        <w:rPr>
          <w:rFonts w:ascii="Times New Roman" w:hAnsi="Times New Roman"/>
          <w:sz w:val="20"/>
        </w:rPr>
        <w:t xml:space="preserve">. In the event that the then outstanding shares of Series A-1 Preferred Stock or Common Stock (as applicable) are subdivided (by stock split or otherwise) into a greater number of shares, or the Company or the Public Company (as applicable) pays a dividend or makes any other distribution to the Series A-1 Preferred Stock or Common Stock (as applicable) that is payable in Series A-1 Preferred Stock or Common Stock, respectively, then, subject to </w:t>
      </w:r>
      <w:r>
        <w:rPr>
          <w:rFonts w:ascii="Times New Roman" w:hAnsi="Times New Roman"/>
          <w:sz w:val="20"/>
          <w:u w:val="single"/>
        </w:rPr>
        <w:t>Section 1(b)</w:t>
      </w:r>
      <w:r>
        <w:rPr>
          <w:rFonts w:ascii="Times New Roman" w:hAnsi="Times New Roman"/>
          <w:sz w:val="20"/>
        </w:rPr>
        <w:t xml:space="preserve"> above, the number of Shares issuable upon exercise of this Warrant immediately prior to such subdivision, dividend or distribution shall be proportionately increased, concurrently with the effectiveness of such subdivision, dividend or distribution. In the event that the outstanding shares of Series A-1 Preferred Stock or Common Stock (as applicable) are combined (by reverse stock split or otherwise) into a lesser number of shares of such securities, then, subject to </w:t>
      </w:r>
      <w:r>
        <w:rPr>
          <w:rFonts w:ascii="Times New Roman" w:hAnsi="Times New Roman"/>
          <w:sz w:val="20"/>
          <w:u w:val="single"/>
        </w:rPr>
        <w:t>Section 1(b)</w:t>
      </w:r>
      <w:r>
        <w:rPr>
          <w:rFonts w:ascii="Times New Roman" w:hAnsi="Times New Roman"/>
          <w:sz w:val="20"/>
        </w:rPr>
        <w:t xml:space="preserve"> above, the number of Shares issuable upon exercise of this Warrant immediately prior to such combination shall be proportionately decreased, concurrently with the effectiveness of such combination.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of Adjustments</w:t>
      </w:r>
      <w:r>
        <w:rPr>
          <w:rFonts w:ascii="Times New Roman" w:hAnsi="Times New Roman"/>
          <w:sz w:val="20"/>
        </w:rPr>
        <w:t xml:space="preserve">. Upon any adjustment in accordance with this </w:t>
      </w:r>
      <w:r>
        <w:rPr>
          <w:rFonts w:ascii="Times New Roman" w:hAnsi="Times New Roman"/>
          <w:sz w:val="20"/>
          <w:u w:val="single"/>
        </w:rPr>
        <w:t>Section 4</w:t>
      </w:r>
      <w:r>
        <w:rPr>
          <w:rFonts w:ascii="Times New Roman" w:hAnsi="Times New Roman"/>
          <w:sz w:val="20"/>
        </w:rPr>
        <w:t xml:space="preserve">, the Company shall give prompt notice to the Holder, which notice shall state the event giving rise to the adjustment, the number of securities or other property purchasable upon the exercise of the rights under this Warrant, setting forth in reasonable detail the method of calculation of each. The Company shall, upon the written request of the Holder, furnish or cause to be furnished to the Holder a certificate setting forth (i) such adjustments, and (ii) the number of securities and the amount, if any, of other property that at the time would be received upon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Going Public Event</w:t>
      </w:r>
      <w:r>
        <w:rPr>
          <w:rFonts w:ascii="Times New Roman" w:hAnsi="Times New Roman"/>
          <w:sz w:val="20"/>
        </w:rPr>
        <w:t xml:space="preserve">. Effective upon the consummation of a Going Public Event, this Warrant shall automatically, and without any further action by the Company or the Holder,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Going Public Event other than a Reverse Merger, this Warrant shall become a warrant to purchase the number of shares of Common Stock into which the shares of Series A-1 Preferred Stock then underlying this Warrant (after giving effect to all adjustments under this Warrant through such consummation) would be convertible under the Certificate of Incorporation in effect immediately prior to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(ii) In the case of a Reverse Merger, this Warrant shall become a warrant to purchase the number of shares of Public Company Common Stock that a holder of a number of shares of Series A Preferred Stock equal to the number of shares of Series A-1 Preferred Stock then underlying this Warrant (after giving effect to all adjustments under this Warrant through such consummation) would have been entitled to receive in respect of such Series A Preferred Stock pursuant to the Reverse Merger. By way of example, in the case of a Reverse Merger in which each share of Series A Preferred Stock is exchanged for 10 shares of Public Company Common Stock, if this Warrant then represents the right to purchase 100,000 shares of Series A-1 Preferred Stock, this Warrant shall thereafter represent the right to purchase 1,000,000 shares of Public Company Common Stock. For the avoidance of doubt, the number of shares of Series A-1 Preferred Stock then underlying this Warrant shall first, immediately prior to the consummation of such Reverse Merger, be adjusted pursuant to Section 2.2(a) of the Subscription Agreement to give effect to any Equity Financing consummated substantially concurrently with or immediately following such Reverse Merger.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issued upon any exercise of this Warrant following an adjustment under this Section 4(e); the number of shares issuable upon exercise shall be rounded down to the nearest whole share. Except as adjusted under this Section 4(e), this Warrant shall remain in full force and effect on its existing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Notification of Certain Events</w:t>
      </w:r>
      <w:r>
        <w:rPr>
          <w:rFonts w:ascii="Times New Roman" w:hAnsi="Times New Roman"/>
          <w:sz w:val="20"/>
        </w:rPr>
        <w:t xml:space="preserve">. Prior to the expiration of this Warrant pursuant to </w:t>
      </w:r>
      <w:r>
        <w:rPr>
          <w:rFonts w:ascii="Times New Roman" w:hAnsi="Times New Roman"/>
          <w:sz w:val="20"/>
          <w:u w:val="single"/>
        </w:rPr>
        <w:t>Section 7</w:t>
      </w:r>
      <w:r>
        <w:rPr>
          <w:rFonts w:ascii="Times New Roman" w:hAnsi="Times New Roman"/>
          <w:sz w:val="20"/>
        </w:rPr>
        <w:t xml:space="preserve">, if the Company or the Public Company (as applicable) shall authorize: (a) the voluntary liquidation, dissolution, or winding up of the Company or the Public Company (as applicable), (b) a Change of Control, or (c) a Going Public Event, then the Company shall send to the Holder at least twenty (20) days prior written notice of the anticipated effective date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Representations and Warranties</w:t>
      </w:r>
      <w:r>
        <w:rPr>
          <w:rFonts w:ascii="Times New Roman" w:hAnsi="Times New Roman"/>
          <w:sz w:val="20"/>
        </w:rPr>
        <w:t xml:space="preserve">. The Company represents and warrants to the Holder as of the date of this Warrant that: (i) the Company has full power and authority to enter into and deliver this Warrant, and when executed and delivered by the Company, will constitute, valid and legally binding obligations of the Company, enforceable in accordance with the terms hereof; (ii) the execution and delivery of this Warrant have been duly and properly authorized by all requisite corporate action of the Company and the Company’s board of directors, and no consent of any other person is required as a prerequisite to the validity and enforceability of this Warrant that has not been obtained; (iii) the Company is not a party to or otherwise subject to any contract or agreement that restricts or otherwise affects its right to execute and deliver this Warrant or to perform its obligations hereunder (including the issuance of Shares), except where all necessary consents or waivers have been obtained. Neither the execution, delivery nor performance of this Warrant (including the issuance of Shares) will conflict with, result in a breach of the terms, conditions or provisions of, constitute a default under, result in any violation of, result in the creation of any lien upon any properties of the Company under, require any consent, approval or other action by or notice to or filing with any court or governmental body pursuant to, the Company’s Certificate of Incorporation or Bylaws, any award of any arbitrator or any agreement, instrument or law to which the Company is subject or by which it is bound; (iv) the issuance of this Warrant is, and assuming the continuing accuracy of the Holder’s representations and warranties herein and no change in applicable law, the issuance of the Shares upon exercise of this Warrant in accordance with the terms hereof will be, exempt from registration and qualification under applicable federal and state securities laws; and (v) the Shares, when issued and delivered in accordance with the terms and for the consideration set forth in this Warrant, will be validly issued, fully paid and nonassessable and free of restrictions on transfer other than restrictions on transfer under the Bylaws, Stockholder Agreements, applicable state and federal securities laws and liens or encumbrances created by or imposed by the Holder, and (vi) the Shares will be duly reserved for issuance following the filing of the Restated Certificate at or prior to the initial closing of the Series A Financing and following each adjustment in the Share Number.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Holder Representations and Warranties</w:t>
      </w:r>
      <w:r>
        <w:rPr>
          <w:rFonts w:ascii="Times New Roman" w:hAnsi="Times New Roman"/>
          <w:sz w:val="20"/>
        </w:rPr>
        <w:t xml:space="preserve">. The Holder represents and warrants to the Company that: (i) the Holder has full power and authority to enter into and deliver this Warrant, and when executed and delivered by the Holder, will constitute, valid and legally binding obligations of the Holder, enforceable in accordance with the terms hereof; (ii) the Securities are being acquired for investment by the Holder for its own account, not as an unlawful nominee or agent, and not with a view to, or for resale in connection with, the distribution thereof, and that the Holder has no present intention of selling, granting any participation in, or otherwise distributing the Securities, nor does it have any contract, undertaking, agreement or arrangement for such action(s); (iii) the Holder is either (a) an “accredited investor” (as defined in Regulation D under the Securities Act), is financially sophisticated, and is able to bear the full loss of its investment related to the Securities, or (b) not a “U.S. person” as defined in Rule 902(k) of Regulation S promulgated under the Securities Act; and (iv) the Holder understands that no public market now exists for the Securities, and that the Company has made no assurances that a public market will ever exist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Expiration of the Warrant</w:t>
      </w:r>
      <w:r>
        <w:rPr>
          <w:rFonts w:ascii="Times New Roman" w:hAnsi="Times New Roman"/>
          <w:sz w:val="20"/>
        </w:rPr>
        <w:t xml:space="preserve">. This Warrant shall expire and shall no longer be exercisable as of the date of the 10th anniversary of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Certain Definitions</w:t>
      </w:r>
      <w:r>
        <w:rPr>
          <w:rFonts w:ascii="Times New Roman" w:hAnsi="Times New Roman"/>
          <w:sz w:val="20"/>
        </w:rPr>
        <w:t xml:space="preserve">. Capitalized terms used and not otherwise defined herein have the meanings ascribed thereto in the Subscription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Bylaws</w:t>
      </w:r>
      <w:r>
        <w:rPr>
          <w:rFonts w:ascii="Times New Roman" w:hAnsi="Times New Roman"/>
          <w:sz w:val="20"/>
        </w:rPr>
        <w:t xml:space="preserve">” means the Company’s Bylaws,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Certificate of Incorporation</w:t>
      </w:r>
      <w:r>
        <w:rPr>
          <w:rFonts w:ascii="Times New Roman" w:hAnsi="Times New Roman"/>
          <w:sz w:val="20"/>
        </w:rPr>
        <w:t xml:space="preserve">” means the Company’s Certificate of Incorporation as in effect from time to time, including, from and after its filing, the Restated Certificate (as defined in the Subscription Agreement).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Person</w:t>
      </w:r>
      <w:r>
        <w:rPr>
          <w:rFonts w:ascii="Times New Roman" w:hAnsi="Times New Roman"/>
          <w:sz w:val="20"/>
        </w:rPr>
        <w:t xml:space="preserve">” means an individual, a partnership, a corporation (including a business trust), a joint stock company, a limited liability company, an unincorporated association, a joint venture or other entity or a governmental authority.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Securities</w:t>
      </w:r>
      <w:r>
        <w:rPr>
          <w:rFonts w:ascii="Times New Roman" w:hAnsi="Times New Roman"/>
          <w:sz w:val="20"/>
        </w:rPr>
        <w:t xml:space="preserve">” means, collectively, this Warrant and the Shares issuable upon exercise of this Warrant.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Subject to the restrictions on transfer set forth in </w:t>
      </w:r>
      <w:r>
        <w:rPr>
          <w:rFonts w:ascii="Times New Roman" w:hAnsi="Times New Roman"/>
          <w:sz w:val="20"/>
          <w:u w:val="single"/>
        </w:rPr>
        <w:t>Section 3</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xml:space="preserve">. This Warrant and all actions arising out of or in connection with this Warrant shall be governed by and construed in accordance with the laws of the State of Delaware, without regard to the conflicts of law provisions of the State of Delaware, or of any other state.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 and Waiver</w:t>
      </w:r>
      <w:r>
        <w:rPr>
          <w:rFonts w:ascii="Times New Roman" w:hAnsi="Times New Roman"/>
          <w:sz w:val="20"/>
        </w:rPr>
        <w:t xml:space="preserve">. Except as expressly set forth in this Warrant, any provision of this Warrant may be amended, waived, modified, or terminated upon the written consent of (i) the Company, and (ii) the Holder.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notices and other communications under this Warrant shall be in writing and shall be deemed given upon delivery by hand, upon delivery by nationally recognized overnight courier (with written confirmation of receipt), upon transmission by email unless the sending party receives an automated non-delivery notification, in which case notice shall be deemed given only upon actual receipt, or upon the earlier of actual receipt or five days after being sent by registered or certified mail (return receipt requested) to the parties, in each case, at the addresses set forth on the signature pages hereto (or at such other addresses as may be specified by notice given in accordance with this </w:t>
      </w:r>
      <w:r>
        <w:rPr>
          <w:rFonts w:ascii="Times New Roman" w:hAnsi="Times New Roman"/>
          <w:sz w:val="20"/>
          <w:u w:val="single"/>
        </w:rPr>
        <w:t>Section 9(d)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Survival</w:t>
      </w:r>
      <w:r>
        <w:rPr>
          <w:rFonts w:ascii="Times New Roman" w:hAnsi="Times New Roman"/>
          <w:sz w:val="20"/>
        </w:rPr>
        <w:t xml:space="preserve">. Except as expressly set forth in this Warrant, the rights and obligations of the Company and the Holder under this Warrant shall survive any exercise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If any provision of this Warrant becomes or is declared by a court of competent jurisdiction to be illegal, unenforceable, or void, portions of such provision, or such provision in its entirety, to the extent necessary, shall be severed from this Warrant, and such illegal, unenforceable, or void provision shall be replaced with a valid and enforceable provision that will achieve, to the extent possible, the same economic, business and other purposes of the illegal, unenforceable, or void provision. The remaining provisions of this Warrant shall be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Warrant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Entire Agreement; Full Satisfaction</w:t>
      </w:r>
      <w:r>
        <w:rPr>
          <w:rFonts w:ascii="Times New Roman" w:hAnsi="Times New Roman"/>
          <w:sz w:val="20"/>
        </w:rPr>
        <w:t xml:space="preserve">. This Warrant, the License Agreement, the Subscription Agreement and the Stockholder Agreements constitute the full and entire understanding and agreement between the parties with respect to the applicable subject matter of this Warrant, the License Agreement, the Subscription Agreement, and the Stockholder Agreements, and any other written or oral agreement relating to such subject matter existing between the parties are expressly cancelled.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Further Assurances</w:t>
      </w:r>
      <w:r>
        <w:rPr>
          <w:rFonts w:ascii="Times New Roman" w:hAnsi="Times New Roman"/>
          <w:sz w:val="20"/>
        </w:rPr>
        <w:t xml:space="preserve">. Each party agrees to execute and deliver, by the proper exercise of its corporate, limited liability company, partnership, or other powers, all such other and additional instruments and documents and do all such other acts and things as may be necessary to fully effectuate the terms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Holder’s Economic Rights</w:t>
      </w:r>
      <w:r>
        <w:rPr>
          <w:rFonts w:ascii="Times New Roman" w:hAnsi="Times New Roman"/>
          <w:sz w:val="20"/>
        </w:rPr>
        <w:t xml:space="preserve">. If the Company makes any dividend or any other distribution of cash, securities of the Company (except as contemplated by </w:t>
      </w:r>
      <w:r>
        <w:rPr>
          <w:rFonts w:ascii="Times New Roman" w:hAnsi="Times New Roman"/>
          <w:sz w:val="20"/>
          <w:u w:val="single"/>
        </w:rPr>
        <w:t>Section 4(c)</w:t>
      </w:r>
      <w:r>
        <w:rPr>
          <w:rFonts w:ascii="Times New Roman" w:hAnsi="Times New Roman"/>
          <w:sz w:val="20"/>
        </w:rPr>
        <w:t xml:space="preserve"> herein or in connection with any transaction or event in which the then-outstanding Warrant is fully exercised for Shares no later than immediately prior to such transaction or event or other assets (including any right to purchase securities of the Company or other assets) to holders of Series A-1 Preferred Stock, then the Company shall, simultaneously with such dividend or distribution, set aside an amount of cash, or the applicable securities or other assets, equal to the amount of cash, or the applicable securities or other assets, as the Holder would have received if the then-outstanding Warrant had been fully exercised for Shares immediately prior to such dividend or other distribution (or the record date thereof), a portion of which shall be paid or distributed to the Holder upon exercise of this Warrant </w:t>
      </w:r>
      <w:r>
        <w:rPr>
          <w:rFonts w:ascii="Times New Roman" w:hAnsi="Times New Roman"/>
          <w:i/>
          <w:sz w:val="20"/>
        </w:rPr>
        <w:t>pro rata</w:t>
      </w:r>
      <w:r>
        <w:rPr>
          <w:rFonts w:ascii="Times New Roman" w:hAnsi="Times New Roman"/>
          <w:sz w:val="20"/>
        </w:rPr>
        <w:t xml:space="preserve"> based on the portion of this Warrant exercised at such time.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Replacement of this Warrant</w:t>
      </w:r>
      <w:r>
        <w:rPr>
          <w:rFonts w:ascii="Times New Roman" w:hAnsi="Times New Roman"/>
          <w:sz w:val="20"/>
        </w:rPr>
        <w:t xml:space="preserve">. Subject to the receipt of evidence reasonably satisfactory to the Company of the loss, theft, destruction, or mutilation of this Warrant and, if requested by the Company, an indemnity agreement in form and substance acceptable to the Company, the Company shall execute and deliver, in lieu of this Warrant, a new Warrant of the same amount, at the expense of the Holder. The term “Warrant” shall include this Warrant and any warrants delivered in substitution, exchange, or replacement, all of which shall be deemed to be issued pursuant to the Subscription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Holder have made this Warrant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NEWCO10, INC.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Alice Lee</w:t>
            </w:r>
          </w:p>
        </w:tc>
      </w:tr>
      <w:tr>
        <w:trPr/>
        <w:tc>
          <w:tcPr>
            <w:tcW w:w="70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Address: c/o RTW Investments, LP</w:t>
              <w:br/>
              <w:t>40 10th Avenue, Floor 7</w:t>
            </w:r>
          </w:p>
        </w:tc>
      </w:tr>
      <w:tr>
        <w:trPr/>
        <w:tc>
          <w:tcPr>
            <w:tcW w:w="4082" w:type="dxa"/>
            <w:gridSpan w:val="3"/>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Holder have made this Warrant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3"/>
        <w:gridCol w:w="60"/>
        <w:gridCol w:w="3109"/>
      </w:tblGrid>
      <w:tr>
        <w:trPr/>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YOLTECH THERAPEUTICS CO., LTD</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09" w:type="dxa"/>
            <w:tcBorders>
              <w:bottom w:val="single" w:sz="2" w:space="0" w:color="000000"/>
            </w:tcBorders>
            <w:tcMar>
              <w:bottom w:w="28" w:type="dxa"/>
            </w:tcMar>
          </w:tcPr>
          <w:p>
            <w:pPr>
              <w:pStyle w:val="TableContents"/>
              <w:bidi w:val="0"/>
              <w:spacing w:before="0" w:after="283"/>
              <w:jc w:val="left"/>
              <w:rPr/>
            </w:pPr>
            <w:r>
              <w:rPr/>
              <w:t>/s/ Yuxuan Wu</w:t>
            </w:r>
          </w:p>
        </w:tc>
      </w:tr>
      <w:tr>
        <w:trPr/>
        <w:tc>
          <w:tcPr>
            <w:tcW w:w="91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pPr>
            <w:r>
              <w:rPr/>
              <w:t>Yuxuan Wu</w:t>
            </w:r>
          </w:p>
        </w:tc>
      </w:tr>
      <w:tr>
        <w:trPr/>
        <w:tc>
          <w:tcPr>
            <w:tcW w:w="91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pPr>
            <w:r>
              <w:rPr/>
              <w:t>Legal Representative</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09" w:type="dxa"/>
            <w:tcBorders/>
            <w:vAlign w:val="bottom"/>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YolTech Therapeutics Co., Ltd.</w:t>
              <w:br/>
              <w:t>12F, Building A, 58 Tanzhu Rd.,</w:t>
            </w:r>
          </w:p>
        </w:tc>
      </w:tr>
      <w:tr>
        <w:trPr/>
        <w:tc>
          <w:tcPr>
            <w:tcW w:w="4082" w:type="dxa"/>
            <w:gridSpan w:val="3"/>
            <w:tcBorders/>
            <w:vAlign w:val="bottom"/>
          </w:tcPr>
          <w:p>
            <w:pPr>
              <w:pStyle w:val="TableContents"/>
              <w:bidi w:val="0"/>
              <w:spacing w:before="0" w:after="283"/>
              <w:jc w:val="left"/>
              <w:rPr/>
            </w:pPr>
            <w:r>
              <w:rPr/>
              <w:t>Minhang District, Shanghai</w:t>
            </w:r>
          </w:p>
        </w:tc>
      </w:tr>
      <w:tr>
        <w:trPr/>
        <w:tc>
          <w:tcPr>
            <w:tcW w:w="4082" w:type="dxa"/>
            <w:gridSpan w:val="3"/>
            <w:tcBorders/>
            <w:vAlign w:val="bottom"/>
          </w:tcPr>
          <w:p>
            <w:pPr>
              <w:pStyle w:val="TableContents"/>
              <w:bidi w:val="0"/>
              <w:spacing w:before="0" w:after="283"/>
              <w:jc w:val="left"/>
              <w:rPr/>
            </w:pPr>
            <w:r>
              <w:rPr/>
              <w:t>People’s Republic of China</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Effective Date: ________ __, 20__ </w:t>
      </w:r>
    </w:p>
    <w:p>
      <w:pPr>
        <w:pStyle w:val="TextBody"/>
        <w:bidi w:val="0"/>
        <w:spacing w:before="240" w:after="0"/>
        <w:jc w:val="left"/>
        <w:rPr>
          <w:rFonts w:ascii="Times New Roman" w:hAnsi="Times New Roman"/>
          <w:sz w:val="20"/>
        </w:rPr>
      </w:pPr>
      <w:r>
        <w:rPr>
          <w:rFonts w:ascii="Times New Roman" w:hAnsi="Times New Roman"/>
          <w:sz w:val="20"/>
        </w:rPr>
        <w:t>Reference is made to the Warrant to Purchase Shares, dated June 12, 2026, by and between RTW Newco10, Inc. (the “</w:t>
      </w:r>
      <w:r>
        <w:rPr>
          <w:rFonts w:ascii="Times New Roman" w:hAnsi="Times New Roman"/>
          <w:b/>
          <w:i/>
          <w:sz w:val="20"/>
        </w:rPr>
        <w:t>Company</w:t>
      </w:r>
      <w:r>
        <w:rPr>
          <w:rFonts w:ascii="Times New Roman" w:hAnsi="Times New Roman"/>
          <w:sz w:val="20"/>
        </w:rPr>
        <w:t>”) and the Holder, as amended and/or restated from time to time (the “</w:t>
      </w:r>
      <w:r>
        <w:rPr>
          <w:rFonts w:ascii="Times New Roman" w:hAnsi="Times New Roman"/>
          <w:b/>
          <w:i/>
          <w:sz w:val="20"/>
        </w:rPr>
        <w:t>Warrant</w:t>
      </w:r>
      <w:r>
        <w:rPr>
          <w:rFonts w:ascii="Times New Roman" w:hAnsi="Times New Roman"/>
          <w:sz w:val="20"/>
        </w:rPr>
        <w:t xml:space="preserve">”). Capitalized terms used, but not expressly defined in this Exercise Notice shall have the assigned meanings set forth in the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w:t>
            </w:r>
            <w:r>
              <w:rPr>
                <w:rFonts w:ascii="Times New Roman" w:hAnsi="Times New Roman"/>
                <w:sz w:val="20"/>
              </w:rPr>
              <w:t xml:space="preserve">. In accordance with the terms of the Warrant, the Holder elects to purchase: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Number of Shares: 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Class/Series:  Series A-1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Conditional Exercise</w:t>
            </w:r>
            <w:r>
              <w:rPr>
                <w:rFonts w:ascii="Times New Roman" w:hAnsi="Times New Roman"/>
                <w:sz w:val="20"/>
              </w:rPr>
              <w:t xml:space="preserve">. Is this a conditional exercise pursuant to </w:t>
            </w:r>
            <w:r>
              <w:rPr>
                <w:rFonts w:ascii="Times New Roman" w:hAnsi="Times New Roman"/>
                <w:sz w:val="20"/>
                <w:u w:val="single"/>
              </w:rPr>
              <w:t>Section 2(f)</w:t>
            </w:r>
            <w:r>
              <w:rPr>
                <w:rFonts w:ascii="Times New Roman" w:hAnsi="Times New Roman"/>
                <w:sz w:val="20"/>
              </w:rPr>
              <w:t xml:space="preserve"> of the Warrant: </w:t>
            </w:r>
          </w:p>
        </w:tc>
      </w:tr>
    </w:tbl>
    <w:p>
      <w:pPr>
        <w:pStyle w:val="TextBody"/>
        <w:bidi w:val="0"/>
        <w:spacing w:before="120" w:after="0"/>
        <w:jc w:val="left"/>
        <w:rPr/>
      </w:pPr>
      <w:r>
        <w:rPr/>
        <w:t>☐  </w:t>
      </w:r>
      <w:r>
        <w:rPr>
          <w:rFonts w:ascii="Times New Roman" w:hAnsi="Times New Roman"/>
          <w:sz w:val="20"/>
        </w:rPr>
        <w:t xml:space="preserve">Yes     ☐  No </w:t>
      </w:r>
    </w:p>
    <w:p>
      <w:pPr>
        <w:pStyle w:val="TextBody"/>
        <w:bidi w:val="0"/>
        <w:spacing w:before="120" w:after="0"/>
        <w:jc w:val="left"/>
        <w:rPr>
          <w:rFonts w:ascii="Times New Roman" w:hAnsi="Times New Roman"/>
          <w:sz w:val="20"/>
        </w:rPr>
      </w:pPr>
      <w:r>
        <w:rPr>
          <w:rFonts w:ascii="Times New Roman" w:hAnsi="Times New Roman"/>
          <w:sz w:val="20"/>
        </w:rPr>
        <w:t xml:space="preserve">If “Yes,” indicate the applicable condition: </w:t>
      </w:r>
    </w:p>
    <w:p>
      <w:pPr>
        <w:pStyle w:val="TextBody"/>
        <w:bidi w:val="0"/>
        <w:spacing w:before="0" w:after="0"/>
        <w:jc w:val="left"/>
        <w:rPr>
          <w:u w:val="single"/>
        </w:rPr>
      </w:pPr>
      <w:r>
        <w:rPr>
          <w:u w:val="single"/>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All representations and warranties of the Holder set forth in </w:t>
            </w:r>
            <w:r>
              <w:rPr>
                <w:rFonts w:ascii="Times New Roman" w:hAnsi="Times New Roman"/>
                <w:sz w:val="20"/>
                <w:u w:val="single"/>
              </w:rPr>
              <w:t>Section 6(b)</w:t>
            </w:r>
            <w:r>
              <w:rPr>
                <w:rFonts w:ascii="Times New Roman" w:hAnsi="Times New Roman"/>
                <w:sz w:val="20"/>
              </w:rPr>
              <w:t xml:space="preserve"> of the Warrant, with respect to the Shares, are true and correct, in all respects, as of the effective date of this Exercise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Holder has made this Exercise Notice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7"/>
        <w:gridCol w:w="126"/>
        <w:gridCol w:w="2159"/>
      </w:tblGrid>
      <w:tr>
        <w:trPr/>
        <w:tc>
          <w:tcPr>
            <w:tcW w:w="179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YOLTECH THERAPEUTICS CO., LTD</w:t>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2159" w:type="dxa"/>
            <w:tcBorders>
              <w:bottom w:val="single" w:sz="2" w:space="0" w:color="000000"/>
            </w:tcBorders>
            <w:tcMar>
              <w:bottom w:w="28" w:type="dxa"/>
            </w:tcMar>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Title:</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Address:</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797"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21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Notice of Exercise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ASSIGNOR: </w:t>
      </w:r>
      <w:r>
        <w:rPr>
          <w:rFonts w:ascii="Times New Roman" w:hAnsi="Times New Roman"/>
          <w:sz w:val="20"/>
          <w:u w:val="single"/>
        </w:rPr>
        <w:t>              (</w:t>
      </w:r>
      <w:r>
        <w:rPr>
          <w:rFonts w:ascii="Times New Roman" w:hAnsi="Times New Roman"/>
          <w:sz w:val="20"/>
        </w:rPr>
        <w:t>“</w:t>
      </w:r>
      <w:r>
        <w:rPr>
          <w:rFonts w:ascii="Times New Roman" w:hAnsi="Times New Roman"/>
          <w:b/>
          <w:i/>
          <w:sz w:val="20"/>
        </w:rPr>
        <w:t>Assignor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ASSIGNEE: </w:t>
      </w:r>
      <w:r>
        <w:rPr>
          <w:rFonts w:ascii="Times New Roman" w:hAnsi="Times New Roman"/>
          <w:sz w:val="20"/>
          <w:u w:val="single"/>
        </w:rPr>
        <w:t>               </w:t>
      </w:r>
      <w:r>
        <w:rPr>
          <w:rFonts w:ascii="Times New Roman" w:hAnsi="Times New Roman"/>
          <w:sz w:val="20"/>
        </w:rPr>
        <w:t>(“</w:t>
      </w:r>
      <w:r>
        <w:rPr>
          <w:rFonts w:ascii="Times New Roman" w:hAnsi="Times New Roman"/>
          <w:b/>
          <w:i/>
          <w:sz w:val="20"/>
        </w:rPr>
        <w:t>Assignee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SHARES: _________ shares of Series A-1 Preferred Stock (the “</w:t>
      </w:r>
      <w:r>
        <w:rPr>
          <w:rFonts w:ascii="Times New Roman" w:hAnsi="Times New Roman"/>
          <w:b/>
          <w:i/>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EFFECTIVE DATE: ________ __, 20__ </w:t>
      </w:r>
    </w:p>
    <w:p>
      <w:pPr>
        <w:pStyle w:val="TextBody"/>
        <w:bidi w:val="0"/>
        <w:spacing w:before="240" w:after="0"/>
        <w:jc w:val="left"/>
        <w:rPr>
          <w:rFonts w:ascii="Times New Roman" w:hAnsi="Times New Roman"/>
          <w:sz w:val="20"/>
        </w:rPr>
      </w:pPr>
      <w:r>
        <w:rPr>
          <w:rFonts w:ascii="Times New Roman" w:hAnsi="Times New Roman"/>
          <w:sz w:val="20"/>
        </w:rPr>
        <w:t>Reference is made to the Warrant to Purchase Shares, dated June 12, 2026, by and between RTW Newco10, Inc. (the “</w:t>
      </w:r>
      <w:r>
        <w:rPr>
          <w:rFonts w:ascii="Times New Roman" w:hAnsi="Times New Roman"/>
          <w:b/>
          <w:i/>
          <w:sz w:val="20"/>
        </w:rPr>
        <w:t>Company</w:t>
      </w:r>
      <w:r>
        <w:rPr>
          <w:rFonts w:ascii="Times New Roman" w:hAnsi="Times New Roman"/>
          <w:sz w:val="20"/>
        </w:rPr>
        <w:t>”) and the Holder, as amended and/or restated from time to time (the “</w:t>
      </w:r>
      <w:r>
        <w:rPr>
          <w:rFonts w:ascii="Times New Roman" w:hAnsi="Times New Roman"/>
          <w:b/>
          <w:i/>
          <w:sz w:val="20"/>
        </w:rPr>
        <w:t>Warrant</w:t>
      </w:r>
      <w:r>
        <w:rPr>
          <w:rFonts w:ascii="Times New Roman" w:hAnsi="Times New Roman"/>
          <w:sz w:val="20"/>
        </w:rPr>
        <w:t xml:space="preserve">”). Capitalized terms used, but not expressly defined in this Assignment Agreement shall have the assigned meanings set forth in the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Registered Holder</w:t>
            </w:r>
            <w:r>
              <w:rPr>
                <w:rFonts w:ascii="Times New Roman" w:hAnsi="Times New Roman"/>
                <w:sz w:val="20"/>
              </w:rPr>
              <w:t xml:space="preserve">. The Assignor represents and warrants that it is the registered holder of the Warrant as of immediately prior to the effective date of this Assignment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The Assignor assigns and transfers to the Assignee all of the rights of Assignor under the Warrant, with respect to the number of Shares set forth above and does irrevocably constitute and appoint the Company’s Secretary as attorney to make such transfer on the Company’s books and records, maintained for the purpose, with full power of substitution in the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Obligations of Assignee</w:t>
            </w:r>
            <w:r>
              <w:rPr>
                <w:rFonts w:ascii="Times New Roman" w:hAnsi="Times New Roman"/>
                <w:sz w:val="20"/>
              </w:rPr>
              <w:t xml:space="preserve">. Assignee agrees to take and hold the Securities subject to, and to be bound by, the terms and conditions set forth in the Warrant to the same extent as if Assignee were the original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Assignee represents and warrants to the Company that all representations and warranties set forth in </w:t>
            </w:r>
            <w:r>
              <w:rPr>
                <w:rFonts w:ascii="Times New Roman" w:hAnsi="Times New Roman"/>
                <w:sz w:val="20"/>
                <w:u w:val="single"/>
              </w:rPr>
              <w:t>Section 6(b)</w:t>
            </w:r>
            <w:r>
              <w:rPr>
                <w:rFonts w:ascii="Times New Roman" w:hAnsi="Times New Roman"/>
                <w:sz w:val="20"/>
              </w:rPr>
              <w:t xml:space="preserve"> of the Warrant, substituting Assignee for each instance of “Holder” therein, are true and correct, in all respects, as of the effective date of this Assignment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Compliance</w:t>
            </w:r>
            <w:r>
              <w:rPr>
                <w:rFonts w:ascii="Times New Roman" w:hAnsi="Times New Roman"/>
                <w:sz w:val="20"/>
              </w:rPr>
              <w:t xml:space="preserve">. Assignor and Assignee each represent and warrant to the Company that the transfer and assignment to Assignee is in compliance with all applicable laws.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Assignor and Assignee have made this Assignment Agreement effective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55"/>
        <w:gridCol w:w="84"/>
        <w:gridCol w:w="2743"/>
      </w:tblGrid>
      <w:tr>
        <w:trPr/>
        <w:tc>
          <w:tcPr>
            <w:tcW w:w="12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ASSIGNOR: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[NAME]</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Email:</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ASSIGNEE: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[NAME]</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Email:</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i/>
              </w:rPr>
            </w:pPr>
            <w:r>
              <w:rPr>
                <w:b/>
                <w:i/>
              </w:rPr>
              <w:t>Agreed and Accepted on the date set forth below:</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NEWCO10, INC.</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43"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Date:</w:t>
            </w:r>
          </w:p>
        </w:tc>
        <w:tc>
          <w:tcPr>
            <w:tcW w:w="84"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Assignment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p>
    <w:p>
      <w:pPr>
        <w:pStyle w:val="TextBody"/>
        <w:bidi w:val="0"/>
        <w:spacing w:before="0" w:after="0"/>
        <w:jc w:val="right"/>
        <w:rPr>
          <w:rFonts w:ascii="Times New Roman" w:hAnsi="Times New Roman"/>
          <w:b/>
          <w:sz w:val="20"/>
        </w:rPr>
      </w:pPr>
      <w:bookmarkStart w:id="253" w:name="d108148dex44.htm"/>
      <w:bookmarkStart w:id="254" w:name="ksd108148dex44"/>
      <w:bookmarkEnd w:id="253"/>
      <w:bookmarkEnd w:id="254"/>
      <w:r>
        <w:rPr>
          <w:rFonts w:ascii="Times New Roman" w:hAnsi="Times New Roman"/>
          <w:b/>
          <w:sz w:val="20"/>
        </w:rPr>
        <w:t xml:space="preserve">Exhibit 4.4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3"/>
        <w:gridCol w:w="120"/>
        <w:gridCol w:w="5012"/>
      </w:tblGrid>
      <w:tr>
        <w:trPr/>
        <w:tc>
          <w:tcPr>
            <w:tcW w:w="50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Number of Shares: [●]</w:t>
            </w:r>
          </w:p>
          <w:p>
            <w:pPr>
              <w:pStyle w:val="TableContents"/>
              <w:bidi w:val="0"/>
              <w:spacing w:before="0" w:after="20"/>
              <w:jc w:val="right"/>
              <w:rPr>
                <w:rFonts w:ascii="Times New Roman" w:hAnsi="Times New Roman"/>
                <w:sz w:val="20"/>
              </w:rPr>
            </w:pPr>
            <w:r>
              <w:rPr>
                <w:rFonts w:ascii="Times New Roman" w:hAnsi="Times New Roman"/>
                <w:sz w:val="20"/>
              </w:rPr>
              <w:t>(subject to adjustment)</w:t>
            </w:r>
          </w:p>
        </w:tc>
      </w:tr>
      <w:tr>
        <w:trPr>
          <w:trHeight w:val="240" w:hRule="atLeast"/>
        </w:trPr>
        <w:tc>
          <w:tcPr>
            <w:tcW w:w="5073" w:type="dxa"/>
            <w:tcBorders/>
            <w:vAlign w:val="center"/>
          </w:tcPr>
          <w:p>
            <w:pPr>
              <w:pStyle w:val="TableContents"/>
              <w:bidi w:val="0"/>
              <w:spacing w:before="0" w:after="283"/>
              <w:jc w:val="left"/>
              <w:rPr>
                <w:sz w:val="4"/>
                <w:szCs w:val="4"/>
              </w:rPr>
            </w:pPr>
            <w:r>
              <w:rPr>
                <w:sz w:val="4"/>
                <w:szCs w:val="4"/>
              </w:rPr>
            </w:r>
          </w:p>
        </w:tc>
        <w:tc>
          <w:tcPr>
            <w:tcW w:w="5132" w:type="dxa"/>
            <w:gridSpan w:val="2"/>
            <w:tcBorders/>
            <w:vAlign w:val="center"/>
          </w:tcPr>
          <w:p>
            <w:pPr>
              <w:pStyle w:val="TableContents"/>
              <w:bidi w:val="0"/>
              <w:spacing w:before="0" w:after="283"/>
              <w:jc w:val="left"/>
              <w:rPr>
                <w:sz w:val="4"/>
                <w:szCs w:val="4"/>
              </w:rPr>
            </w:pPr>
            <w:r>
              <w:rPr>
                <w:sz w:val="4"/>
                <w:szCs w:val="4"/>
              </w:rPr>
            </w:r>
          </w:p>
        </w:tc>
      </w:tr>
      <w:tr>
        <w:trPr/>
        <w:tc>
          <w:tcPr>
            <w:tcW w:w="5073" w:type="dxa"/>
            <w:tcBorders/>
            <w:vAlign w:val="bottom"/>
          </w:tcPr>
          <w:p>
            <w:pPr>
              <w:pStyle w:val="TableContents"/>
              <w:bidi w:val="0"/>
              <w:spacing w:before="0" w:after="283"/>
              <w:jc w:val="left"/>
              <w:rPr/>
            </w:pPr>
            <w:r>
              <w:rPr/>
              <w:t>Warrant No. [●]</w:t>
            </w:r>
          </w:p>
        </w:tc>
        <w:tc>
          <w:tcPr>
            <w:tcW w:w="120"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283"/>
              <w:jc w:val="right"/>
              <w:rPr/>
            </w:pPr>
            <w:r>
              <w:rPr/>
              <w:t>Original Issue Date: [●], 20[]</w:t>
            </w:r>
          </w:p>
        </w:tc>
      </w:tr>
    </w:tbl>
    <w:p>
      <w:pPr>
        <w:pStyle w:val="TextBody"/>
        <w:bidi w:val="0"/>
        <w:spacing w:before="240" w:after="0"/>
        <w:jc w:val="left"/>
        <w:rPr>
          <w:rFonts w:ascii="Times New Roman" w:hAnsi="Times New Roman"/>
          <w:sz w:val="20"/>
        </w:rPr>
      </w:pPr>
      <w:r>
        <w:rPr>
          <w:rFonts w:ascii="Times New Roman" w:hAnsi="Times New Roman"/>
          <w:sz w:val="20"/>
        </w:rPr>
        <w:t>Serapha Bio,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shares of common stock, $0.00001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xml:space="preserve">”), as adjusted from time to time as provided in </w:t>
      </w:r>
      <w:r>
        <w:rPr>
          <w:rFonts w:ascii="Times New Roman" w:hAnsi="Times New Roman"/>
          <w:sz w:val="20"/>
          <w:u w:val="single"/>
        </w:rPr>
        <w:t>Section 9</w:t>
      </w:r>
      <w:r>
        <w:rPr>
          <w:rFonts w:ascii="Times New Roman" w:hAnsi="Times New Roman"/>
          <w:sz w:val="20"/>
        </w:rPr>
        <w:t>, at an exercise price per share equal to $0.00001 (the “</w:t>
      </w:r>
      <w:r>
        <w:rPr>
          <w:rFonts w:ascii="Times New Roman" w:hAnsi="Times New Roman"/>
          <w:b/>
          <w:sz w:val="20"/>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This Warrant is one of a series of similar warrants issued pursuant to that certain Securities Purchase Agreement, dated [], 2026, by and among the Company and the Investors identified therein (the “</w:t>
      </w:r>
      <w:r>
        <w:rPr>
          <w:rFonts w:ascii="Times New Roman" w:hAnsi="Times New Roman"/>
          <w:b/>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(as defined below).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pPr>
      <w:r>
        <w:rPr/>
        <w:t>“</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Stock Market.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(as defined below), which as of the Original Issue Date was “T+1.”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weekday on which the Principal Trading Market is normally open for trading.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Issuance of Securities; 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Registration of Transfers</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of the Exercise Notice and the applicable Exercise Price as provided above shall constitute the Holder’s certification to the Company that its representations contained in Sections 4.1 and 4.3 through 4.14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sz w:val="20"/>
        </w:rPr>
        <w:t>Exercise Shares</w:t>
      </w:r>
      <w:r>
        <w:rPr>
          <w:rFonts w:ascii="Times New Roman" w:hAnsi="Times New Roman"/>
          <w:sz w:val="20"/>
        </w:rPr>
        <w:t>”) to (i) the Holder’s or its designee’s balance account with The Depository Trust Company (“</w:t>
      </w:r>
      <w:r>
        <w:rPr>
          <w:rFonts w:ascii="Times New Roman" w:hAnsi="Times New Roman"/>
          <w:b/>
          <w:sz w:val="20"/>
        </w:rPr>
        <w:t>DTC</w:t>
      </w:r>
      <w:r>
        <w:rPr>
          <w:rFonts w:ascii="Times New Roman" w:hAnsi="Times New Roman"/>
          <w:sz w:val="20"/>
        </w:rPr>
        <w:t xml:space="preserve">”) through its Deposit Withdrawal At Custodian system or (ii) in book-entry form via a direct registration system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sz w:val="20"/>
          <w:u w:val="single"/>
        </w:rPr>
        <w:t>Section 5(a)</w:t>
      </w:r>
      <w:r>
        <w:rPr>
          <w:rFonts w:ascii="Times New Roman" w:hAnsi="Times New Roman"/>
          <w:sz w:val="20"/>
        </w:rPr>
        <w:t xml:space="preserve"> and pay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Charges, Taxes and Expenses</w:t>
      </w:r>
      <w:r>
        <w:rPr>
          <w:rFonts w:ascii="Times New Roman" w:hAnsi="Times New Roman"/>
          <w:sz w:val="20"/>
          <w:u w:val="single"/>
        </w:rPr>
        <w:t>.</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is subject to adjustment from time to time as set forth in this </w:t>
      </w:r>
      <w:r>
        <w:rPr>
          <w:rFonts w:ascii="Times New Roman" w:hAnsi="Times New Roman"/>
          <w:sz w:val="20"/>
          <w:u w:val="single"/>
        </w:rPr>
        <w:t>Section 9</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to the nearest share.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 equals the Closing Sale Price of the shares of Common Stock (as reported by Bloomberg Financial Market)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xml:space="preserve">,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sz w:val="20"/>
        </w:rPr>
        <w:t>Reported Outstanding Share Number</w:t>
      </w:r>
      <w:r>
        <w:rPr>
          <w:rFonts w:ascii="Times New Roman" w:hAnsi="Times New Roman"/>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Warrant Agent</w:t>
      </w:r>
      <w:r>
        <w:rPr>
          <w:rFonts w:ascii="Times New Roman" w:hAnsi="Times New Roman"/>
          <w:sz w:val="20"/>
        </w:rPr>
        <w:t xml:space="preserve">.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4"/>
        <w:gridCol w:w="168"/>
        <w:gridCol w:w="3000"/>
      </w:tblGrid>
      <w:tr>
        <w:trPr/>
        <w:tc>
          <w:tcPr>
            <w:tcW w:w="91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SERAPHA BIO, INC</w:t>
            </w:r>
            <w:r>
              <w:rPr/>
              <w:t>.</w:t>
            </w:r>
          </w:p>
        </w:tc>
      </w:tr>
      <w:tr>
        <w:trPr>
          <w:trHeight w:val="240" w:hRule="atLeast"/>
        </w:trPr>
        <w:tc>
          <w:tcPr>
            <w:tcW w:w="914" w:type="dxa"/>
            <w:tcBorders/>
            <w:vAlign w:val="center"/>
          </w:tcPr>
          <w:p>
            <w:pPr>
              <w:pStyle w:val="TableContents"/>
              <w:bidi w:val="0"/>
              <w:spacing w:before="0" w:after="283"/>
              <w:jc w:val="left"/>
              <w:rPr>
                <w:sz w:val="4"/>
                <w:szCs w:val="4"/>
              </w:rPr>
            </w:pPr>
            <w:r>
              <w:rPr>
                <w:sz w:val="4"/>
                <w:szCs w:val="4"/>
              </w:rPr>
            </w:r>
          </w:p>
        </w:tc>
        <w:tc>
          <w:tcPr>
            <w:tcW w:w="3168" w:type="dxa"/>
            <w:gridSpan w:val="2"/>
            <w:tcBorders/>
            <w:vAlign w:val="center"/>
          </w:tcPr>
          <w:p>
            <w:pPr>
              <w:pStyle w:val="TableContents"/>
              <w:bidi w:val="0"/>
              <w:spacing w:before="0" w:after="283"/>
              <w:jc w:val="left"/>
              <w:rPr>
                <w:sz w:val="4"/>
                <w:szCs w:val="4"/>
              </w:rPr>
            </w:pPr>
            <w:r>
              <w:rPr>
                <w:sz w:val="4"/>
                <w:szCs w:val="4"/>
              </w:rPr>
            </w:r>
          </w:p>
        </w:tc>
      </w:tr>
      <w:tr>
        <w:trPr/>
        <w:tc>
          <w:tcPr>
            <w:tcW w:w="914" w:type="dxa"/>
            <w:tcBorders/>
          </w:tcPr>
          <w:p>
            <w:pPr>
              <w:pStyle w:val="TableContents"/>
              <w:bidi w:val="0"/>
              <w:spacing w:before="0" w:after="283"/>
              <w:jc w:val="left"/>
              <w:rPr/>
            </w:pPr>
            <w:r>
              <w:rPr/>
              <w:t>By:</w:t>
            </w:r>
          </w:p>
        </w:tc>
        <w:tc>
          <w:tcPr>
            <w:tcW w:w="168" w:type="dxa"/>
            <w:tcBorders/>
            <w:vAlign w:val="bottom"/>
          </w:tcPr>
          <w:p>
            <w:pPr>
              <w:pStyle w:val="TableContents"/>
              <w:bidi w:val="0"/>
              <w:spacing w:before="0" w:after="283"/>
              <w:jc w:val="left"/>
              <w:rPr/>
            </w:pPr>
            <w:r>
              <w:rPr/>
              <w:t> </w:t>
            </w:r>
          </w:p>
        </w:tc>
        <w:tc>
          <w:tcPr>
            <w:tcW w:w="300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 (the “Warrant”) issued by Serapha Bio,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
        <w:gridCol w:w="128"/>
        <w:gridCol w:w="9626"/>
      </w:tblGrid>
      <w:tr>
        <w:trPr/>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26" w:type="dxa"/>
            <w:tcBorders/>
            <w:vAlign w:val="center"/>
          </w:tcPr>
          <w:p>
            <w:pPr>
              <w:pStyle w:val="TableContents"/>
              <w:bidi w:val="0"/>
              <w:spacing w:before="0" w:after="283"/>
              <w:jc w:val="left"/>
              <w:rPr>
                <w:sz w:val="4"/>
                <w:szCs w:val="4"/>
              </w:rPr>
            </w:pPr>
            <w:r>
              <w:rPr>
                <w:sz w:val="4"/>
                <w:szCs w:val="4"/>
              </w:rPr>
            </w:r>
          </w:p>
        </w:tc>
      </w:tr>
      <w:tr>
        <w:trPr/>
        <w:tc>
          <w:tcPr>
            <w:tcW w:w="451"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9626" w:type="dxa"/>
            <w:tcBorders/>
            <w:vAlign w:val="bottom"/>
          </w:tcPr>
          <w:p>
            <w:pPr>
              <w:pStyle w:val="TableContents"/>
              <w:bidi w:val="0"/>
              <w:spacing w:before="0" w:after="283"/>
              <w:jc w:val="left"/>
              <w:rPr/>
            </w:pPr>
            <w:r>
              <w:rPr/>
              <w:t>Cash Exercise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
        <w:gridCol w:w="123"/>
        <w:gridCol w:w="9639"/>
      </w:tblGrid>
      <w:tr>
        <w:trPr/>
        <w:tc>
          <w:tcPr>
            <w:tcW w:w="4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sz w:val="4"/>
                <w:szCs w:val="4"/>
              </w:rPr>
            </w:pPr>
            <w:r>
              <w:rPr>
                <w:sz w:val="4"/>
                <w:szCs w:val="4"/>
              </w:rPr>
            </w:r>
          </w:p>
        </w:tc>
      </w:tr>
      <w:tr>
        <w:trPr/>
        <w:tc>
          <w:tcPr>
            <w:tcW w:w="443" w:type="dxa"/>
            <w:tcBorders/>
            <w:vAlign w:val="bottom"/>
          </w:tcPr>
          <w:p>
            <w:pPr>
              <w:pStyle w:val="TableContents"/>
              <w:bidi w:val="0"/>
              <w:spacing w:before="0" w:after="0"/>
              <w:jc w:val="right"/>
              <w:rPr/>
            </w:pPr>
            <w:r>
              <w:rPr/>
              <w:t>☐</w:t>
            </w:r>
          </w:p>
        </w:tc>
        <w:tc>
          <w:tcPr>
            <w:tcW w:w="123" w:type="dxa"/>
            <w:tcBorders/>
            <w:vAlign w:val="bottom"/>
          </w:tcPr>
          <w:p>
            <w:pPr>
              <w:pStyle w:val="TableContents"/>
              <w:bidi w:val="0"/>
              <w:spacing w:before="0" w:after="283"/>
              <w:jc w:val="left"/>
              <w:rPr/>
            </w:pPr>
            <w:r>
              <w:rPr/>
              <w:t>  </w:t>
            </w:r>
          </w:p>
        </w:tc>
        <w:tc>
          <w:tcPr>
            <w:tcW w:w="9639" w:type="dxa"/>
            <w:tcBorders/>
            <w:vAlign w:val="bottom"/>
          </w:tcPr>
          <w:p>
            <w:pPr>
              <w:pStyle w:val="TableContents"/>
              <w:bidi w:val="0"/>
              <w:spacing w:before="0" w:after="283"/>
              <w:jc w:val="left"/>
              <w:rPr/>
            </w:pPr>
            <w:r>
              <w:rPr/>
              <w:t>“</w:t>
            </w:r>
            <w:r>
              <w:rPr/>
              <w:t xml:space="preserve">Cashless Exercise” under </w:t>
            </w:r>
            <w:r>
              <w:rPr>
                <w:u w:val="single"/>
              </w:rPr>
              <w:t>Section 10</w:t>
            </w:r>
            <w:r>
              <w:rPr/>
              <w:t xml:space="preserve"> of the Warrant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to the following DWAC Account Number: ________________________</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in book-entry form via a direct registration system</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 xml:space="preserve">by physical delivery of a certificate to: </w:t>
            </w:r>
            <w:r>
              <w:rPr>
                <w:u w:val="single"/>
              </w:rPr>
              <w:t xml:space="preserve">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right"/>
              <w:rPr>
                <w:u w:val="single"/>
              </w:rPr>
            </w:pPr>
            <w:r>
              <w:rPr>
                <w:u w:val="single"/>
              </w:rPr>
              <w:t xml:space="preserve">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in restricted book-entry form in the Company’s share register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8778"/>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778"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8879"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8778" w:type="dxa"/>
            <w:tcBorders/>
          </w:tcPr>
          <w:p>
            <w:pPr>
              <w:pStyle w:val="TableContents"/>
              <w:bidi w:val="0"/>
              <w:spacing w:before="0" w:after="0"/>
              <w:jc w:val="left"/>
              <w:rPr>
                <w:u w:val="single"/>
              </w:rPr>
            </w:pPr>
            <w:r>
              <w:rPr>
                <w:u w:val="single"/>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255" w:name="d108148dex46.htm"/>
      <w:bookmarkStart w:id="256" w:name="ksd108148dex46"/>
      <w:bookmarkEnd w:id="255"/>
      <w:bookmarkEnd w:id="256"/>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SERAPHA BIO, INC. </w:t>
      </w:r>
    </w:p>
    <w:p>
      <w:pPr>
        <w:pStyle w:val="TextBody"/>
        <w:bidi w:val="0"/>
        <w:spacing w:before="12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240" w:after="0"/>
        <w:jc w:val="left"/>
        <w:rPr>
          <w:rFonts w:ascii="Times New Roman" w:hAnsi="Times New Roman"/>
          <w:sz w:val="20"/>
        </w:rPr>
      </w:pPr>
      <w:r>
        <w:rPr>
          <w:rFonts w:ascii="Times New Roman" w:hAnsi="Times New Roman"/>
          <w:sz w:val="20"/>
        </w:rPr>
        <w:t>THIS INVESTORS’ RIGHTS AGREEMENT (this “</w:t>
      </w:r>
      <w:r>
        <w:rPr>
          <w:rFonts w:ascii="Times New Roman" w:hAnsi="Times New Roman"/>
          <w:b/>
          <w:sz w:val="20"/>
        </w:rPr>
        <w:t>Agreement</w:t>
      </w:r>
      <w:r>
        <w:rPr>
          <w:rFonts w:ascii="Times New Roman" w:hAnsi="Times New Roman"/>
          <w:sz w:val="20"/>
        </w:rPr>
        <w:t>”), is made as of June 22, 2026, by and among Serapha Bio, Inc., a Delaware corporation (the “</w:t>
      </w:r>
      <w:r>
        <w:rPr>
          <w:rFonts w:ascii="Times New Roman" w:hAnsi="Times New Roman"/>
          <w:b/>
          <w:sz w:val="20"/>
        </w:rPr>
        <w:t>Company</w:t>
      </w:r>
      <w:r>
        <w:rPr>
          <w:rFonts w:ascii="Times New Roman" w:hAnsi="Times New Roman"/>
          <w:sz w:val="20"/>
        </w:rPr>
        <w:t xml:space="preserve">”), the Investors (as defined below) and the Key Holders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parties to either that certain (i) Series A Preferred Stock Purchase Agreement, dated as of June 22, 2026 (the “</w:t>
      </w:r>
      <w:r>
        <w:rPr>
          <w:rFonts w:ascii="Times New Roman" w:hAnsi="Times New Roman"/>
          <w:b/>
          <w:sz w:val="20"/>
        </w:rPr>
        <w:t>Series A Purchase Agreement</w:t>
      </w:r>
      <w:r>
        <w:rPr>
          <w:rFonts w:ascii="Times New Roman" w:hAnsi="Times New Roman"/>
          <w:sz w:val="20"/>
        </w:rPr>
        <w:t>”), or (ii) Warrant Subscription Agreement, dated as of June 12, 2026 (the “</w:t>
      </w:r>
      <w:r>
        <w:rPr>
          <w:rFonts w:ascii="Times New Roman" w:hAnsi="Times New Roman"/>
          <w:b/>
          <w:sz w:val="20"/>
        </w:rPr>
        <w:t>Warrant Subscription Agreement</w:t>
      </w:r>
      <w:r>
        <w:rPr>
          <w:rFonts w:ascii="Times New Roman" w:hAnsi="Times New Roman"/>
          <w:sz w:val="20"/>
        </w:rPr>
        <w:t>” and together with the Series A Purchase Agreement, the “</w:t>
      </w:r>
      <w:r>
        <w:rPr>
          <w:rFonts w:ascii="Times New Roman" w:hAnsi="Times New Roman"/>
          <w:b/>
          <w:sz w:val="20"/>
        </w:rPr>
        <w:t>Purchase Agreements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induce the Company and the Investors to enter into the Purchase Agreement and to induce the Investors to invest funds in the Company pursuant to the Purchase Agreements,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Affiliate</w:t>
      </w:r>
      <w:r>
        <w:rPr>
          <w:rFonts w:ascii="Times New Roman" w:hAnsi="Times New Roman"/>
          <w:sz w:val="20"/>
        </w:rPr>
        <w:t xml:space="preserve">” means, with respect to any specified Person, any other Person who, directly or indirectly, controls, is controlled by, or is under common control with such Person, including, without limitation, any general partner, limited partner, managing member, manager, member, employee, officer, director or trustee of such Person, or any trust for the benefit of any of the foregoing or any Affiliate of the foregoing, or any venture capital fund or other investment fund now or hereafter existing that is controlled by one or more general partners, managing members or investment advisers of, or shares the same management company or investment adviser with, such Person.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Certificate of Incorporation</w:t>
      </w:r>
      <w:r>
        <w:rPr>
          <w:rFonts w:ascii="Times New Roman" w:hAnsi="Times New Roman"/>
          <w:sz w:val="20"/>
        </w:rPr>
        <w:t xml:space="preserve">” means the Company’s Amended and Restated Certificate of Incorporation,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rPr>
        <w:t>Common Stock</w:t>
      </w:r>
      <w:r>
        <w:rPr>
          <w:rFonts w:ascii="Times New Roman" w:hAnsi="Times New Roman"/>
          <w:sz w:val="20"/>
        </w:rPr>
        <w:t xml:space="preserve">” means the Company’s shares of Common Stock, par value $0.00001 per share.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rPr>
        <w:t>Competitor</w:t>
      </w:r>
      <w:r>
        <w:rPr>
          <w:rFonts w:ascii="Times New Roman" w:hAnsi="Times New Roman"/>
          <w:sz w:val="20"/>
        </w:rPr>
        <w:t xml:space="preserve">” means a Person engaged, directly or indirectly (including through any partnership, limited liability company, corporation, joint venture or similar arrangement (whether now existing or formed hereafter)), in the business of researching, developing, or commercializing any gene therapy that directly modifies, replaces, or restores expression or function for the SERPINA1 gene in patients, but shall not include any financial investment firm or collective investment vehicle that, together with its Affiliates, holds less than 20% of the outstanding equity of any Competitor and does not, nor do any of its Affiliates, have a right to designate any members of the board of directors of any Competitor. Additionally, in no event shall RTW, RA Capital, Vivo, YolTech, Decheng, Qiming or any of their respective Affiliates be a Competitor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1.6 “</w:t>
      </w:r>
      <w:r>
        <w:rPr>
          <w:rFonts w:ascii="Times New Roman" w:hAnsi="Times New Roman"/>
          <w:b/>
          <w:sz w:val="20"/>
        </w:rPr>
        <w:t>Damages</w:t>
      </w:r>
      <w:r>
        <w:rPr>
          <w:rFonts w:ascii="Times New Roman" w:hAnsi="Times New Roman"/>
          <w:sz w:val="20"/>
        </w:rPr>
        <w:t xml:space="preserve">”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b/>
          <w:sz w:val="20"/>
        </w:rPr>
        <w:t>Deemed Liquidation Event</w:t>
      </w:r>
      <w:r>
        <w:rPr>
          <w:rFonts w:ascii="Times New Roman" w:hAnsi="Times New Roman"/>
          <w:sz w:val="20"/>
        </w:rPr>
        <w:t xml:space="preserve">” shall have the meaning ascribed to it in the Company’s Amended and Restated Certificate of Incorporation, as in effect on the date of this Agreement and regardless of the date on which such event occurs.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rPr>
        <w:t>Derivative Securities</w:t>
      </w:r>
      <w:r>
        <w:rPr>
          <w:rFonts w:ascii="Times New Roman" w:hAnsi="Times New Roman"/>
          <w:sz w:val="20"/>
        </w:rPr>
        <w:t xml:space="preserve">” means any securities or rights convertible into, or exercisable or exchangeable for (in each case, directly or indirectly), Common Stock, including options and warrants.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b/>
          <w:sz w:val="20"/>
        </w:rPr>
        <w:t>Direct Listing</w:t>
      </w:r>
      <w:r>
        <w:rPr>
          <w:rFonts w:ascii="Times New Roman" w:hAnsi="Times New Roman"/>
          <w:sz w:val="20"/>
        </w:rPr>
        <w:t xml:space="preserve">” means the initial listing of the Common Stock (or other equity securities of the Company) on the Nasdaq Stock Market, the New York Stock Exchange or another exchange or marketplace approved by the Board of Directors by means of an effective registration statement filed by the Company with the SEC, without a related underwritten offering of such Common Stock (or other equity securities).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sz w:val="20"/>
        </w:rPr>
        <w:t>Excluded Registration</w:t>
      </w:r>
      <w:r>
        <w:rPr>
          <w:rFonts w:ascii="Times New Roman" w:hAnsi="Times New Roman"/>
          <w:sz w:val="20"/>
        </w:rPr>
        <w:t xml:space="preserve">”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sz w:val="20"/>
        </w:rPr>
        <w:t>FOIA Party</w:t>
      </w:r>
      <w:r>
        <w:rPr>
          <w:rFonts w:ascii="Times New Roman" w:hAnsi="Times New Roman"/>
          <w:sz w:val="20"/>
        </w:rPr>
        <w:t>” means a Person that, in the determination of the Board of Directors, may be subject to, and thereby required to disclose non-public information furnished by or relating to the Company under, the Freedom of Information Act, 5 U.S.C. 552 (“</w:t>
      </w:r>
      <w:r>
        <w:rPr>
          <w:rFonts w:ascii="Times New Roman" w:hAnsi="Times New Roman"/>
          <w:b/>
          <w:sz w:val="20"/>
        </w:rPr>
        <w:t>FOIA</w:t>
      </w:r>
      <w:r>
        <w:rPr>
          <w:rFonts w:ascii="Times New Roman" w:hAnsi="Times New Roman"/>
          <w:sz w:val="20"/>
        </w:rPr>
        <w:t xml:space="preserve">”), any state public records access law, any state or other jurisdiction’s laws similar in intent or effect to FOIA, or any other similar statutory or regulatory requirement.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b/>
          <w:sz w:val="20"/>
        </w:rPr>
        <w:t>Form</w:t>
      </w:r>
      <w:r>
        <w:rPr>
          <w:rFonts w:ascii="Times New Roman" w:hAnsi="Times New Roman"/>
          <w:sz w:val="20"/>
        </w:rPr>
        <w:t> </w:t>
      </w:r>
      <w:r>
        <w:rPr>
          <w:rFonts w:ascii="Times New Roman" w:hAnsi="Times New Roman"/>
          <w:b/>
          <w:sz w:val="20"/>
        </w:rPr>
        <w:t>S-1</w:t>
      </w:r>
      <w:r>
        <w:rPr>
          <w:rFonts w:ascii="Times New Roman" w:hAnsi="Times New Roman"/>
          <w:sz w:val="20"/>
        </w:rPr>
        <w:t xml:space="preserve">” means such form under the Securities Act as in effect on the date hereof or any successor registration form under the Securities Act subsequently adopted by the SEC.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sz w:val="20"/>
        </w:rPr>
        <w:t>Form</w:t>
      </w:r>
      <w:r>
        <w:rPr>
          <w:rFonts w:ascii="Times New Roman" w:hAnsi="Times New Roman"/>
          <w:sz w:val="20"/>
        </w:rPr>
        <w:t> </w:t>
      </w:r>
      <w:r>
        <w:rPr>
          <w:rFonts w:ascii="Times New Roman" w:hAnsi="Times New Roman"/>
          <w:b/>
          <w:sz w:val="20"/>
        </w:rPr>
        <w:t>S-3</w:t>
      </w:r>
      <w:r>
        <w:rPr>
          <w:rFonts w:ascii="Times New Roman" w:hAnsi="Times New Roman"/>
          <w:sz w:val="20"/>
        </w:rPr>
        <w:t xml:space="preserve">”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1.15 “</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sz w:val="20"/>
        </w:rPr>
        <w:t>Going Public Transaction</w:t>
      </w:r>
      <w:r>
        <w:rPr>
          <w:rFonts w:ascii="Times New Roman" w:hAnsi="Times New Roman"/>
          <w:sz w:val="20"/>
        </w:rPr>
        <w:t xml:space="preserve">” means an IPO, Direct Listing or Reverse Merger Transaction.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b/>
          <w:sz w:val="20"/>
        </w:rPr>
        <w:t>Holder</w:t>
      </w:r>
      <w:r>
        <w:rPr>
          <w:rFonts w:ascii="Times New Roman" w:hAnsi="Times New Roman"/>
          <w:sz w:val="20"/>
        </w:rPr>
        <w:t xml:space="preserve">” means any holder of Registrable Securities who is a party to this Agreement.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sz w:val="20"/>
        </w:rPr>
        <w:t>Immediate Family Member</w:t>
      </w:r>
      <w:r>
        <w:rPr>
          <w:rFonts w:ascii="Times New Roman" w:hAnsi="Times New Roman"/>
          <w:sz w:val="20"/>
        </w:rPr>
        <w:t xml:space="preserve">”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sz w:val="20"/>
        </w:rPr>
        <w:t>Initiating Holders</w:t>
      </w:r>
      <w:r>
        <w:rPr>
          <w:rFonts w:ascii="Times New Roman" w:hAnsi="Times New Roman"/>
          <w:sz w:val="20"/>
        </w:rPr>
        <w:t xml:space="preserve">” means, collectively, Holders who properly initiate a registration request under this Agreement.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b/>
          <w:sz w:val="20"/>
        </w:rPr>
        <w:t>Investors</w:t>
      </w:r>
      <w:r>
        <w:rPr>
          <w:rFonts w:ascii="Times New Roman" w:hAnsi="Times New Roman"/>
          <w:sz w:val="20"/>
        </w:rPr>
        <w:t xml:space="preserve">” means the persons named on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each person to whom the rights of an Investor are assigned pursuant to Section 6.1, and each person who hereafter becomes a party to this Agreement pursuant to Section 6.9.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b/>
          <w:sz w:val="20"/>
        </w:rPr>
        <w:t>IPO</w:t>
      </w:r>
      <w:r>
        <w:rPr>
          <w:rFonts w:ascii="Times New Roman" w:hAnsi="Times New Roman"/>
          <w:sz w:val="20"/>
        </w:rPr>
        <w:t xml:space="preserve">” means the Company’s first underwritten public offering of its Common Stock under the Securities Act.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b/>
          <w:sz w:val="20"/>
        </w:rPr>
        <w:t>Key Holders</w:t>
      </w:r>
      <w:r>
        <w:rPr>
          <w:rFonts w:ascii="Times New Roman" w:hAnsi="Times New Roman"/>
          <w:sz w:val="20"/>
        </w:rPr>
        <w:t xml:space="preserve">” means the persons named on Schedule B hereto and each person to whom the rights of a Key Holder are assigned pursuant to Section 6.1.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b/>
          <w:sz w:val="20"/>
        </w:rPr>
        <w:t>Key Holder Registrable Securities</w:t>
      </w:r>
      <w:r>
        <w:rPr>
          <w:rFonts w:ascii="Times New Roman" w:hAnsi="Times New Roman"/>
          <w:sz w:val="20"/>
        </w:rPr>
        <w:t xml:space="preserve">” means (i) the shares of Common Stock held by the Key Holders as of the date of this Agreement, and (ii) any Common Stock issued as (or issuable upon the conversion or exercise of any warrant, right, or other security that is issued as) a dividend or other distribution with respect to, or in exchange for or in replacement of such shares.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b/>
          <w:sz w:val="20"/>
        </w:rPr>
        <w:t>Major Investor</w:t>
      </w:r>
      <w:r>
        <w:rPr>
          <w:rFonts w:ascii="Times New Roman" w:hAnsi="Times New Roman"/>
          <w:sz w:val="20"/>
        </w:rPr>
        <w:t xml:space="preserve">” means any Investor that, individually or together with such Investor’s Affiliates, holds at least 3,000,000 shares of Registrable Securities (as adjusted for any stock split, stock dividend, combination, or other recapitalization or reclassification effected after the date hereof).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b/>
          <w:sz w:val="20"/>
        </w:rPr>
        <w:t>New Securities</w:t>
      </w:r>
      <w:r>
        <w:rPr>
          <w:rFonts w:ascii="Times New Roman" w:hAnsi="Times New Roman"/>
          <w:sz w:val="20"/>
        </w:rPr>
        <w:t xml:space="preserve">”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b/>
          <w:sz w:val="20"/>
        </w:rPr>
        <w:t>Person</w:t>
      </w:r>
      <w:r>
        <w:rPr>
          <w:rFonts w:ascii="Times New Roman" w:hAnsi="Times New Roman"/>
          <w:sz w:val="20"/>
        </w:rPr>
        <w:t xml:space="preserve">” means any individual, corporation, partnership, trust, limited liability company, association, or other entity. </w:t>
      </w:r>
    </w:p>
    <w:p>
      <w:pPr>
        <w:pStyle w:val="TextBody"/>
        <w:bidi w:val="0"/>
        <w:spacing w:before="240" w:after="0"/>
        <w:jc w:val="left"/>
        <w:rPr>
          <w:rFonts w:ascii="Times New Roman" w:hAnsi="Times New Roman"/>
          <w:sz w:val="20"/>
        </w:rPr>
      </w:pPr>
      <w:r>
        <w:rPr>
          <w:rFonts w:ascii="Times New Roman" w:hAnsi="Times New Roman"/>
          <w:sz w:val="20"/>
        </w:rPr>
        <w:t>1.27 “</w:t>
      </w:r>
      <w:r>
        <w:rPr>
          <w:rFonts w:ascii="Times New Roman" w:hAnsi="Times New Roman"/>
          <w:b/>
          <w:sz w:val="20"/>
        </w:rPr>
        <w:t>Preferred Stock</w:t>
      </w:r>
      <w:r>
        <w:rPr>
          <w:rFonts w:ascii="Times New Roman" w:hAnsi="Times New Roman"/>
          <w:sz w:val="20"/>
        </w:rPr>
        <w:t xml:space="preserve">” means collectively, the shares of the Company’s Series A Preferred Stock and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1.28 “</w:t>
      </w:r>
      <w:r>
        <w:rPr>
          <w:rFonts w:ascii="Times New Roman" w:hAnsi="Times New Roman"/>
          <w:b/>
          <w:sz w:val="20"/>
        </w:rPr>
        <w:t>RA Capital</w:t>
      </w:r>
      <w:r>
        <w:rPr>
          <w:rFonts w:ascii="Times New Roman" w:hAnsi="Times New Roman"/>
          <w:sz w:val="20"/>
        </w:rPr>
        <w:t xml:space="preserve">” means collectively, RA Capital Healthcare Fund, L.P., and RA Capital Nexus Fund IV, L.P.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b/>
          <w:sz w:val="20"/>
        </w:rPr>
        <w:t>Registrable Securities</w:t>
      </w:r>
      <w:r>
        <w:rPr>
          <w:rFonts w:ascii="Times New Roman" w:hAnsi="Times New Roman"/>
          <w:sz w:val="20"/>
        </w:rPr>
        <w:t xml:space="preserve">” means (i) the Common Stock issuable or issued upon conversion of the Preferred Stock; (ii) any Common Stock, or any Common Stock issued or issuable (directly or indirectly) upon conversion and/or exercise of any other securities of the Company, held by the Investors from time to time; (iii) the Key Holder Registrable Securities provided, however, that such Key Holder Registrable Securities shall not be deemed Registrable Securities and the Key Holders shall not be deemed Holders for the purposes of Sections 2.1 (and any other applicable Section with respect to registrations under Section 2.1), 2.10, 3.1, 3.2, 4.1 and the first sentence of 6.6; and (iv)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(other than the restrictions on transfer and legend requirements in Section 2.12), however, any Registrable Securities sold by a Person in a transaction in which the applicable rights under this Agreement are not assigned pursuant to Section 6.1, and excluding for purposes of Section 2 (a) any shares for which registration rights have terminated pursuant to Section 2.13 and (b) any shares of Common Stock issued upon a Special Mandatory Conversion.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b/>
          <w:sz w:val="20"/>
        </w:rPr>
        <w:t>Registrable Securities then outstanding</w:t>
      </w:r>
      <w:r>
        <w:rPr>
          <w:rFonts w:ascii="Times New Roman" w:hAnsi="Times New Roman"/>
          <w:sz w:val="20"/>
        </w:rPr>
        <w:t xml:space="preserve">”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b/>
          <w:sz w:val="20"/>
        </w:rPr>
        <w:t>Requisite Holders</w:t>
      </w:r>
      <w:r>
        <w:rPr>
          <w:rFonts w:ascii="Times New Roman" w:hAnsi="Times New Roman"/>
          <w:sz w:val="20"/>
        </w:rPr>
        <w:t xml:space="preserve">” means (a) prior to any Going Public Transaction, the Investors holding a majority of the then-outstanding shares of Series A Preferred Stock (calculated on an as-converted to Common Stock basis), and (b) following any Going Public Transaction, the Investors holding a majority of the then-outstanding shares of Registrable Securities (that are issued or issuable upon conversion of shares of Series A Preferred Stock); </w:t>
      </w:r>
      <w:r>
        <w:rPr>
          <w:rFonts w:ascii="Times New Roman" w:hAnsi="Times New Roman"/>
          <w:i/>
          <w:sz w:val="20"/>
        </w:rPr>
        <w:t>provided</w:t>
      </w:r>
      <w:r>
        <w:rPr>
          <w:rFonts w:ascii="Times New Roman" w:hAnsi="Times New Roman"/>
          <w:sz w:val="20"/>
        </w:rPr>
        <w:t xml:space="preserve">, that, in each case, the Requisite Holders must include each of RTW and RA Capital. For the avoidance of doubt, the shares held by RA Capital Healthcare Fund, L.P. and RA Capital Nexus Fund IV, L.P. shall be aggregated and treated as held by “RA Capital” for all purposes of this definition.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Requisite Preferred Director Vote</w:t>
      </w:r>
      <w:r>
        <w:rPr>
          <w:rFonts w:ascii="Times New Roman" w:hAnsi="Times New Roman"/>
          <w:sz w:val="20"/>
        </w:rPr>
        <w:t xml:space="preserve">” shall mean the vote of a majority of the Preferred Directors (as defined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Restricted Securities</w:t>
      </w:r>
      <w:r>
        <w:rPr>
          <w:rFonts w:ascii="Times New Roman" w:hAnsi="Times New Roman"/>
          <w:sz w:val="20"/>
        </w:rPr>
        <w:t xml:space="preserve">” means the securities of the Company required to be notated with the legend set forth in Section 2.12(b) hereof.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Reverse Merger Transaction</w:t>
      </w:r>
      <w:r>
        <w:rPr>
          <w:rFonts w:ascii="Times New Roman" w:hAnsi="Times New Roman"/>
          <w:sz w:val="20"/>
        </w:rPr>
        <w:t xml:space="preserve">” shall have the meaning given to it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RTW</w:t>
      </w:r>
      <w:r>
        <w:rPr>
          <w:rFonts w:ascii="Times New Roman" w:hAnsi="Times New Roman"/>
          <w:sz w:val="20"/>
        </w:rPr>
        <w:t xml:space="preserve">” means RTW Holdings X, LLC.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b/>
          <w:sz w:val="20"/>
        </w:rPr>
        <w:t>Sanctioned Party</w:t>
      </w:r>
      <w:r>
        <w:rPr>
          <w:rFonts w:ascii="Times New Roman" w:hAnsi="Times New Roman"/>
          <w:sz w:val="20"/>
        </w:rPr>
        <w:t>” means any Person: (i) organized under the laws of, ordinarily resident in, or located in a country or territory that is the subject of comprehensive Sanctions (“</w:t>
      </w:r>
      <w:r>
        <w:rPr>
          <w:rFonts w:ascii="Times New Roman" w:hAnsi="Times New Roman"/>
          <w:b/>
          <w:sz w:val="20"/>
        </w:rPr>
        <w:t>Restricted Countries</w:t>
      </w:r>
      <w:r>
        <w:rPr>
          <w:rFonts w:ascii="Times New Roman" w:hAnsi="Times New Roman"/>
          <w:sz w:val="20"/>
        </w:rPr>
        <w:t>”); (ii) 50% or more owned or controlled by the government of a Restricted Country; or (iii) (A) designated on a sanctioned parties list administered by the United States, including, without limitation, the U.S. Department of the Treasury’s Office of Foreign Assets Control’s Specially Designated Nationals and Blocked Persons List, Foreign Sanctions Evaders List, and Sectoral Sanctions Identification List (collectively, “</w:t>
      </w:r>
      <w:r>
        <w:rPr>
          <w:rFonts w:ascii="Times New Roman" w:hAnsi="Times New Roman"/>
          <w:b/>
          <w:sz w:val="20"/>
        </w:rPr>
        <w:t>Designated Parties</w:t>
      </w:r>
      <w:r>
        <w:rPr>
          <w:rFonts w:ascii="Times New Roman" w:hAnsi="Times New Roman"/>
          <w:sz w:val="20"/>
        </w:rPr>
        <w:t xml:space="preserve">”); or (B) 50% or more owned or, where relevant under applicable Sanctions, controlled, individually or in the aggregate, by one or more Designated Party, in each case only to the extent that dealings with such Person are prohibited pursuant to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1.37 “</w:t>
      </w:r>
      <w:r>
        <w:rPr>
          <w:rFonts w:ascii="Times New Roman" w:hAnsi="Times New Roman"/>
          <w:b/>
          <w:sz w:val="20"/>
        </w:rPr>
        <w:t>Sanctions</w:t>
      </w:r>
      <w:r>
        <w:rPr>
          <w:rFonts w:ascii="Times New Roman" w:hAnsi="Times New Roman"/>
          <w:sz w:val="20"/>
        </w:rPr>
        <w:t xml:space="preserve">” means applicable laws and regulations pertaining to trade and economic sanctions administered by the United States.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SEC Rule</w:t>
      </w:r>
      <w:r>
        <w:rPr>
          <w:rFonts w:ascii="Times New Roman" w:hAnsi="Times New Roman"/>
          <w:sz w:val="20"/>
        </w:rPr>
        <w:t> </w:t>
      </w:r>
      <w:r>
        <w:rPr>
          <w:rFonts w:ascii="Times New Roman" w:hAnsi="Times New Roman"/>
          <w:b/>
          <w:sz w:val="20"/>
        </w:rPr>
        <w:t>144</w:t>
      </w:r>
      <w:r>
        <w:rPr>
          <w:rFonts w:ascii="Times New Roman" w:hAnsi="Times New Roman"/>
          <w:sz w:val="20"/>
        </w:rPr>
        <w:t xml:space="preserve">” means Rule 144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b/>
          <w:sz w:val="20"/>
        </w:rPr>
        <w:t>SEC Rule</w:t>
      </w:r>
      <w:r>
        <w:rPr>
          <w:rFonts w:ascii="Times New Roman" w:hAnsi="Times New Roman"/>
          <w:sz w:val="20"/>
        </w:rPr>
        <w:t> </w:t>
      </w:r>
      <w:r>
        <w:rPr>
          <w:rFonts w:ascii="Times New Roman" w:hAnsi="Times New Roman"/>
          <w:b/>
          <w:sz w:val="20"/>
        </w:rPr>
        <w:t>145</w:t>
      </w:r>
      <w:r>
        <w:rPr>
          <w:rFonts w:ascii="Times New Roman" w:hAnsi="Times New Roman"/>
          <w:sz w:val="20"/>
        </w:rPr>
        <w:t xml:space="preserve">” means Rule 145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b/>
          <w:sz w:val="20"/>
        </w:rPr>
        <w:t>Selling Expenses</w:t>
      </w:r>
      <w:r>
        <w:rPr>
          <w:rFonts w:ascii="Times New Roman" w:hAnsi="Times New Roman"/>
          <w:sz w:val="20"/>
        </w:rPr>
        <w:t xml:space="preserve">” means all underwriting discounts, selling commissions, and stock transfer taxes applicable to the sale of Registrable Securities, and fees and disbursements of counsel for any Holder, except for the fees and disbursements of the Selling Holder Counsel (as defined below) borne and paid by the Company as provided in Section 2.6.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b/>
          <w:sz w:val="20"/>
        </w:rPr>
        <w:t>Series A Preferred Stock</w:t>
      </w:r>
      <w:r>
        <w:rPr>
          <w:rFonts w:ascii="Times New Roman" w:hAnsi="Times New Roman"/>
          <w:sz w:val="20"/>
        </w:rPr>
        <w:t xml:space="preserve">” means shares of the Company’s Series A Preferred Stock, par value $0.00001 per share.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b/>
          <w:sz w:val="20"/>
        </w:rPr>
        <w:t>Series A-1 Preferred Stock</w:t>
      </w:r>
      <w:r>
        <w:rPr>
          <w:rFonts w:ascii="Times New Roman" w:hAnsi="Times New Roman"/>
          <w:sz w:val="20"/>
        </w:rPr>
        <w:t xml:space="preserve">” means shares of the Company’s Series A-1 Preferred Stock, par value $0.00001 per share, and the shares of Series A-1 Preferred Stock then issuable upon exercise of warrants issued to YolTech pursuant to the Warrant Subscription Agreement.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b/>
          <w:sz w:val="20"/>
        </w:rPr>
        <w:t>Special Mandatory Conversion</w:t>
      </w:r>
      <w:r>
        <w:rPr>
          <w:rFonts w:ascii="Times New Roman" w:hAnsi="Times New Roman"/>
          <w:sz w:val="20"/>
        </w:rPr>
        <w:t xml:space="preserve">” has the meaning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b/>
          <w:sz w:val="20"/>
        </w:rPr>
        <w:t>Vivo</w:t>
      </w:r>
      <w:r>
        <w:rPr>
          <w:rFonts w:ascii="Times New Roman" w:hAnsi="Times New Roman"/>
          <w:sz w:val="20"/>
        </w:rPr>
        <w:t xml:space="preserve">” means, collectively, Vivo Opportunity Fund Holdings, L.P., Vivo Opportunity Cayman Fund, L.P., and Vivo Innovation Fund II, L.P. </w:t>
      </w:r>
    </w:p>
    <w:p>
      <w:pPr>
        <w:pStyle w:val="TextBody"/>
        <w:bidi w:val="0"/>
        <w:spacing w:before="240" w:after="0"/>
        <w:jc w:val="left"/>
        <w:rPr>
          <w:rFonts w:ascii="Times New Roman" w:hAnsi="Times New Roman"/>
          <w:sz w:val="20"/>
        </w:rPr>
      </w:pPr>
      <w:r>
        <w:rPr>
          <w:rFonts w:ascii="Times New Roman" w:hAnsi="Times New Roman"/>
          <w:sz w:val="20"/>
        </w:rPr>
        <w:t>1.47 “</w:t>
      </w:r>
      <w:r>
        <w:rPr>
          <w:rFonts w:ascii="Times New Roman" w:hAnsi="Times New Roman"/>
          <w:b/>
          <w:sz w:val="20"/>
        </w:rPr>
        <w:t>YolTech</w:t>
      </w:r>
      <w:r>
        <w:rPr>
          <w:rFonts w:ascii="Times New Roman" w:hAnsi="Times New Roman"/>
          <w:sz w:val="20"/>
        </w:rPr>
        <w:t xml:space="preserve">” means YolTech Therapeutics Co., Ltd.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Registration Rights</w:t>
      </w:r>
      <w:r>
        <w:rPr>
          <w:rFonts w:ascii="Times New Roman" w:hAnsi="Times New Roman"/>
          <w:sz w:val="20"/>
        </w:rPr>
        <w:t xml:space="preserve">. The Company covenants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Form</w:t>
      </w:r>
      <w:r>
        <w:rPr>
          <w:rFonts w:ascii="Times New Roman" w:hAnsi="Times New Roman"/>
          <w:sz w:val="20"/>
        </w:rPr>
        <w:t> </w:t>
      </w:r>
      <w:r>
        <w:rPr>
          <w:rFonts w:ascii="Times New Roman" w:hAnsi="Times New Roman"/>
          <w:i/>
          <w:sz w:val="20"/>
        </w:rPr>
        <w:t>S-1 Demand</w:t>
      </w:r>
      <w:r>
        <w:rPr>
          <w:rFonts w:ascii="Times New Roman" w:hAnsi="Times New Roman"/>
          <w:sz w:val="20"/>
        </w:rPr>
        <w:t>. If at any time after the earlier of (i) three years after the date of this Agreement or (ii) 180 days after the effective date of the registration statement for the IPO or Direct Listing, as applicable, the Company receives a request from Holders of a majority of the Registrable Securities then outstanding that the Company file a Form S-1 registration statement with respect to Registrable Securities then outstanding having an anticipated aggregate offering price, net of Selling Expenses, would exceed $25,000,000, then the Company shall: (x) within ten days after the date such request is given, give notice thereof (the “</w:t>
      </w:r>
      <w:r>
        <w:rPr>
          <w:rFonts w:ascii="Times New Roman" w:hAnsi="Times New Roman"/>
          <w:b/>
          <w:sz w:val="20"/>
        </w:rPr>
        <w:t>Demand Notice</w:t>
      </w:r>
      <w:r>
        <w:rPr>
          <w:rFonts w:ascii="Times New Roman" w:hAnsi="Times New Roman"/>
          <w:sz w:val="20"/>
        </w:rPr>
        <w:t xml:space="preserve">”)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Sections 2.1(c) and 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Form</w:t>
      </w:r>
      <w:r>
        <w:rPr>
          <w:rFonts w:ascii="Times New Roman" w:hAnsi="Times New Roman"/>
          <w:sz w:val="20"/>
        </w:rPr>
        <w:t> </w:t>
      </w:r>
      <w:r>
        <w:rPr>
          <w:rFonts w:ascii="Times New Roman" w:hAnsi="Times New Roman"/>
          <w:i/>
          <w:sz w:val="20"/>
        </w:rPr>
        <w:t>S-3 Demand</w:t>
      </w:r>
      <w:r>
        <w:rPr>
          <w:rFonts w:ascii="Times New Roman" w:hAnsi="Times New Roman"/>
          <w:sz w:val="20"/>
        </w:rPr>
        <w:t xml:space="preserve">. If at any time when it is eligible to use a Form S-3 registration statement, the Company receives a request from Holders of the Registrable Securities then outstanding that the Company file a Form S-3 registration statement with respect to outstanding Registrable Securities of such Holders having an anticipated aggregate offering price, net of Selling Expenses, of at least $10,000,000, then the Company shall (i) within ten days after the date such request is given, give a Demand Notice to all Holders other than the Initiating Holders; and (ii)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Sections 2.1(c) and 2.3.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obligations, if the Company furnishes to Holders requesting a registration pursuant to this Section 2.1 a certificate signed by the Company’s Chief Executive Officer stating that in the good faith judgment of the Board of Directors it would be materially detrimental to the Company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120 days after the request of the Initiating Holders is given; </w:t>
      </w:r>
      <w:r>
        <w:rPr>
          <w:rFonts w:ascii="Times New Roman" w:hAnsi="Times New Roman"/>
          <w:i/>
          <w:sz w:val="20"/>
        </w:rPr>
        <w:t>provided, however,</w:t>
      </w:r>
      <w:r>
        <w:rPr>
          <w:rFonts w:ascii="Times New Roman" w:hAnsi="Times New Roman"/>
          <w:sz w:val="20"/>
        </w:rPr>
        <w:t xml:space="preserve"> that the Company may not invoke this right more than once in any 12-month period; and </w:t>
      </w:r>
      <w:r>
        <w:rPr>
          <w:rFonts w:ascii="Times New Roman" w:hAnsi="Times New Roman"/>
          <w:i/>
          <w:sz w:val="20"/>
        </w:rPr>
        <w:t>provided further</w:t>
      </w:r>
      <w:r>
        <w:rPr>
          <w:rFonts w:ascii="Times New Roman" w:hAnsi="Times New Roman"/>
          <w:sz w:val="20"/>
        </w:rPr>
        <w:t xml:space="preserve"> that the Company shall not register any securities for its own account or that of any other stockholder during such 120-day period other than an Excluded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obligated to effect, or to take any action to effect, any registration pursuant to Section 2.1(a), (i) during the period that is 60 days before the Company’s good faith estimate of the date of filing of, and ending on a date that is 180 days after the effective date of, a Company-initiated registration, </w:t>
      </w:r>
      <w:r>
        <w:rPr>
          <w:rFonts w:ascii="Times New Roman" w:hAnsi="Times New Roman"/>
          <w:i/>
          <w:sz w:val="20"/>
        </w:rPr>
        <w:t>provided</w:t>
      </w:r>
      <w:r>
        <w:rPr>
          <w:rFonts w:ascii="Times New Roman" w:hAnsi="Times New Roman"/>
          <w:sz w:val="20"/>
        </w:rPr>
        <w:t xml:space="preserve"> that the Company is actively employing in good faith commercially reasonable efforts to cause such registration statement to become effective; (ii) after the Company has effected two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30 days before the Company’s good faith estimate of the date of filing of, and ending on a date that is 90 days after the effective date of, a Company-initiated registration, </w:t>
      </w:r>
      <w:r>
        <w:rPr>
          <w:rFonts w:ascii="Times New Roman" w:hAnsi="Times New Roman"/>
          <w:i/>
          <w:sz w:val="20"/>
        </w:rPr>
        <w:t>provided</w:t>
      </w:r>
      <w:r>
        <w:rPr>
          <w:rFonts w:ascii="Times New Roman" w:hAnsi="Times New Roman"/>
          <w:sz w:val="20"/>
        </w:rPr>
        <w:t xml:space="preserve"> that the Company is actively employing in good faith commercially reasonable efforts to cause such registration statement to become effective; or (ii) if the Company has effected two registrations pursuant to Section 2.1(b) within the 12-month period immediately preceding the date of such request. A registration shall not be counted as “effected” for purposes of this Section 2.1(d)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2.6, in which case such withdrawn registration statement shall be counted as “effected” for purposes of this Section 2.1(d); </w:t>
      </w:r>
      <w:r>
        <w:rPr>
          <w:rFonts w:ascii="Times New Roman" w:hAnsi="Times New Roman"/>
          <w:i/>
          <w:sz w:val="20"/>
        </w:rPr>
        <w:t>provided</w:t>
      </w:r>
      <w:r>
        <w:rPr>
          <w:rFonts w:ascii="Times New Roman" w:hAnsi="Times New Roman"/>
          <w:sz w:val="20"/>
        </w:rPr>
        <w:t xml:space="preserve">, that if such withdrawal is during a period the Company has deferred taking action pursuant to Section 2.1(c), then the Initiating Holders may withdraw their request for registration and such registration will not be counted as “effected” for purposes of this Section 2.1(d).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Company Registration</w:t>
      </w:r>
      <w:r>
        <w:rPr>
          <w:rFonts w:ascii="Times New Roman" w:hAnsi="Times New Roman"/>
          <w:sz w:val="20"/>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or a registration pursuant to Section 2.1), the Company shall, at such time, promptly give each Holder notice of such registration. Upon the request of each Holder given within 20 days after such notice is given by the Company, the Company shall, subject to the provisions of Section 2.3, cause to be registered all of the Registrable Securities that each 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Section 2.6.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Underwriting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pursuant to Section 2.1, the Initiating Holders intend to distribute the Registrable Securities covered by their request by means of an underwriting, they shall so advise the Company as a part of their request made pursuant to 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Section 2.4(e)) enter into an underwriting agreement in customary form with the underwriter(s) selected for such underwriting;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Section 2.3,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hAnsi="Times New Roman"/>
          <w:i/>
          <w:sz w:val="20"/>
        </w:rPr>
        <w:t>provided, however,</w:t>
      </w:r>
      <w:r>
        <w:rPr>
          <w:rFonts w:ascii="Times New Roman" w:hAnsi="Times New Roman"/>
          <w:sz w:val="20"/>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offering involving an underwriting of shares of the Company’s capital stock pursuant to 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w:t>
      </w:r>
      <w:r>
        <w:rPr>
          <w:rFonts w:ascii="Times New Roman" w:hAnsi="Times New Roman"/>
          <w:sz w:val="20"/>
          <w:u w:val="single"/>
        </w:rPr>
        <w:t>Section 2.1</w:t>
      </w:r>
      <w:r>
        <w:rPr>
          <w:rFonts w:ascii="Times New Roman" w:hAnsi="Times New Roman"/>
          <w:sz w:val="20"/>
        </w:rPr>
        <w:t xml:space="preserve">, a registration shall not be counted as “effected” if, as a result of an exercise of the underwriter’s cutback provisions in </w:t>
      </w:r>
      <w:r>
        <w:rPr>
          <w:rFonts w:ascii="Times New Roman" w:hAnsi="Times New Roman"/>
          <w:sz w:val="20"/>
          <w:u w:val="single"/>
        </w:rPr>
        <w:t>Section 2.3(a)</w:t>
      </w:r>
      <w:r>
        <w:rPr>
          <w:rFonts w:ascii="Times New Roman" w:hAnsi="Times New Roman"/>
          <w:sz w:val="20"/>
        </w:rPr>
        <w:t xml:space="preserve">, fewer than 50% of the total number of Registrable Securities that Holders have requested to be included in such registration statement are actually included.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Obligations of the Company</w:t>
      </w:r>
      <w:r>
        <w:rPr>
          <w:rFonts w:ascii="Times New Roman" w:hAnsi="Times New Roman"/>
          <w:sz w:val="20"/>
        </w:rPr>
        <w:t xml:space="preserve">. Whenever required under this Section 2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Times New Roman" w:hAnsi="Times New Roman"/>
          <w:i/>
          <w:sz w:val="20"/>
        </w:rPr>
        <w:t>provided, however,</w:t>
      </w:r>
      <w:r>
        <w:rPr>
          <w:rFonts w:ascii="Times New Roman" w:hAnsi="Times New Roman"/>
          <w:sz w:val="20"/>
        </w:rPr>
        <w:t xml:space="preserve">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an additional 90 days, if necessary, to keep the registration statement effective until all such Registrable Securities are sold;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furnish to the selling Holders such numbers of copies of a prospectus, including a preliminary prospectus, as required by the Securities Act, and such other documents as the Holders may reasonably request in order to facilitate their disposition of their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hAnsi="Times New Roman"/>
          <w:i/>
          <w:sz w:val="20"/>
        </w:rPr>
        <w:t>provided</w:t>
      </w:r>
      <w:r>
        <w:rPr>
          <w:rFonts w:ascii="Times New Roman" w:hAnsi="Times New Roman"/>
          <w:sz w:val="20"/>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underwriter(s)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(g) provide a transfer agent and registrar for all Registrable Securities registered pursuant to this Agreement and provide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(h)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 notify each selling Holder, promptly after the Company receives notice thereof, of the time when such registration statement has been declared effective or a supplement to any prospectus forming a part of such registration statement has been filed; and </w:t>
      </w:r>
    </w:p>
    <w:p>
      <w:pPr>
        <w:pStyle w:val="TextBody"/>
        <w:bidi w:val="0"/>
        <w:spacing w:before="240" w:after="0"/>
        <w:jc w:val="left"/>
        <w:rPr>
          <w:rFonts w:ascii="Times New Roman" w:hAnsi="Times New Roman"/>
          <w:sz w:val="20"/>
        </w:rPr>
      </w:pPr>
      <w:r>
        <w:rPr>
          <w:rFonts w:ascii="Times New Roman" w:hAnsi="Times New Roman"/>
          <w:sz w:val="20"/>
        </w:rPr>
        <w:t xml:space="preserve">(j) after such registration statement becomes effective, notify each selling Holder of any request by the SEC that the Company amend or supplement such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Furnish Information</w:t>
      </w:r>
      <w:r>
        <w:rPr>
          <w:rFonts w:ascii="Times New Roman" w:hAnsi="Times New Roman"/>
          <w:sz w:val="20"/>
        </w:rPr>
        <w:t xml:space="preserve">.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Expenses of Registration</w:t>
      </w:r>
      <w:r>
        <w:rPr>
          <w:rFonts w:ascii="Times New Roman" w:hAnsi="Times New Roman"/>
          <w:sz w:val="20"/>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$50,000 per registration, of one counsel for the selling Holders selected by Holders of a majority of the Registrable Securities to be registered (“</w:t>
      </w:r>
      <w:r>
        <w:rPr>
          <w:rFonts w:ascii="Times New Roman" w:hAnsi="Times New Roman"/>
          <w:b/>
          <w:sz w:val="20"/>
        </w:rPr>
        <w:t>Selling Holder Counsel</w:t>
      </w:r>
      <w:r>
        <w:rPr>
          <w:rFonts w:ascii="Times New Roman" w:hAnsi="Times New Roman"/>
          <w:sz w:val="20"/>
        </w:rPr>
        <w:t xml:space="preserve">”), shall be borne and paid by the Company; </w:t>
      </w:r>
      <w:r>
        <w:rPr>
          <w:rFonts w:ascii="Times New Roman" w:hAnsi="Times New Roman"/>
          <w:i/>
          <w:sz w:val="20"/>
        </w:rPr>
        <w:t>provided, however,</w:t>
      </w:r>
      <w:r>
        <w:rPr>
          <w:rFonts w:ascii="Times New Roman" w:hAnsi="Times New Roman"/>
          <w:sz w:val="20"/>
        </w:rPr>
        <w:t xml:space="preserve"> that the Company shall not be required to pay for any expenses of any registration proceeding begun pursuant to 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Sections 2.1(a) or 2.1(b), as the case may be; </w:t>
      </w:r>
      <w:r>
        <w:rPr>
          <w:rFonts w:ascii="Times New Roman" w:hAnsi="Times New Roman"/>
          <w:i/>
          <w:sz w:val="20"/>
        </w:rPr>
        <w:t>provided further</w:t>
      </w:r>
      <w:r>
        <w:rPr>
          <w:rFonts w:ascii="Times New Roman" w:hAnsi="Times New Roman"/>
          <w:sz w:val="20"/>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Sections 2.1(a) or 2.1(b). All Selling Expenses relating to Registrable Securities registered pursuant to this Section 2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Delay of Registration</w:t>
      </w:r>
      <w:r>
        <w:rPr>
          <w:rFonts w:ascii="Times New Roman" w:hAnsi="Times New Roman"/>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Section 2.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Indemnification</w:t>
      </w:r>
      <w:r>
        <w:rPr>
          <w:rFonts w:ascii="Times New Roman" w:hAnsi="Times New Roman"/>
          <w:sz w:val="20"/>
        </w:rPr>
        <w:t xml:space="preserve">. If any Registrable Securities are included in a registration statement under this Section 2 or in connection with a Direct Listing,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Section 2.8(b) shall not apply to amounts paid in settlement of any such claim or proceeding if such settlement is effected without the consent of the Holder, which consent shall not be unreasonably withheld; and </w:t>
      </w:r>
      <w:r>
        <w:rPr>
          <w:rFonts w:ascii="Times New Roman" w:hAnsi="Times New Roman"/>
          <w:i/>
          <w:sz w:val="20"/>
        </w:rPr>
        <w:t>provided further</w:t>
      </w:r>
      <w:r>
        <w:rPr>
          <w:rFonts w:ascii="Times New Roman" w:hAnsi="Times New Roman"/>
          <w:sz w:val="20"/>
        </w:rPr>
        <w:t xml:space="preserve"> that in no event shall the aggregate amounts payable by any Holder by way of indemnity or contribution under Sections 2.8(b) and 2.8(d) exceed the proceeds from the offering received by such Holder (net of any Selling Expenses paid by such Holder), except in the case of fraud or willful misconduct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hAnsi="Times New Roman"/>
          <w:i/>
          <w:sz w:val="20"/>
        </w:rPr>
        <w:t>provided, however,</w:t>
      </w:r>
      <w:r>
        <w:rPr>
          <w:rFonts w:ascii="Times New Roman" w:hAnsi="Times New Roman"/>
          <w:sz w:val="20"/>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to the extent that such failure materially prejudices the indemnifying party’s ability to defend such action. The failure to give notice to the indemnifying party will not relieve it of any liability that it may have to any indemnified party otherwise than under this Section 2.8. </w:t>
      </w:r>
    </w:p>
    <w:p>
      <w:pPr>
        <w:pStyle w:val="TextBody"/>
        <w:bidi w:val="0"/>
        <w:spacing w:before="240" w:after="0"/>
        <w:jc w:val="left"/>
        <w:rPr>
          <w:rFonts w:ascii="Times New Roman" w:hAnsi="Times New Roman"/>
          <w:sz w:val="20"/>
        </w:rPr>
      </w:pPr>
      <w:r>
        <w:rPr>
          <w:rFonts w:ascii="Times New Roman" w:hAnsi="Times New Roman"/>
          <w:sz w:val="20"/>
        </w:rPr>
        <w:t xml:space="preserve">(d) To provide for just and equitable contribution to joint liability under the Securities Act in any case in which either: (i) 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 (ii) contribution under the Securities Act may be required on the part of any party hereto for which indemnification is provided under this 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hAnsi="Times New Roman"/>
          <w:i/>
          <w:sz w:val="20"/>
        </w:rPr>
        <w:t>provided, however,</w:t>
      </w:r>
      <w:r>
        <w:rPr>
          <w:rFonts w:ascii="Times New Roman" w:hAnsi="Times New Roman"/>
          <w:sz w:val="20"/>
        </w:rPr>
        <w:t xml:space="preserve"> that, in any such case (x) no Holder will be required to contribute any amount in excess of the public offering price of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hAnsi="Times New Roman"/>
          <w:i/>
          <w:sz w:val="20"/>
        </w:rPr>
        <w:t>provided further</w:t>
      </w:r>
      <w:r>
        <w:rPr>
          <w:rFonts w:ascii="Times New Roman" w:hAnsi="Times New Roman"/>
          <w:sz w:val="20"/>
        </w:rPr>
        <w:t xml:space="preserve"> that in no event shall a Holder’s liability pursuant to this Section 2.8(d), when combined with the amounts paid or payable by such Holder pursuant to Section 2.8(b), exceed the proceeds from the offering received by such Holder (net of any Selling Expenses paid by such Holder), except in the case of willful misconduct or fraud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hAnsi="Times New Roman"/>
          <w:i/>
          <w:sz w:val="20"/>
        </w:rPr>
        <w:t>provided, however,</w:t>
      </w:r>
      <w:r>
        <w:rPr>
          <w:rFonts w:ascii="Times New Roman" w:hAnsi="Times New Roman"/>
          <w:sz w:val="20"/>
        </w:rPr>
        <w:t xml:space="preserve"> that any matter expressly provided for or addressed by the provisions of this Section 2.8 that is not expressly provided for or addressed by the underwriting agreement shall be controlled by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superseded by an underwriting agreement entered into in connection with the underwritten public offering, the obligations of the Company and Holders under this Section 2.8 shall survive the completion of any offering of Registrable Securities in a registration under this Section 2, and otherwise shall survive the termination of this Agreement or any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Reports Under Exchange Act</w:t>
      </w:r>
      <w:r>
        <w:rPr>
          <w:rFonts w:ascii="Times New Roman" w:hAnsi="Times New Roman"/>
          <w:sz w:val="20"/>
        </w:rPr>
        <w:t xml:space="preserve">.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available adequate current public information, as those terms are understood and defined in SEC Rule 144, at all times after the effective date of the registration statement filed by the Company for the IPO or Direct Listing,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use commercially reasonable efforts to file with the SEC in a timely manner all reports and other documents required of the Company under the Securities Act and the Exchange Act (at any time after the Company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or Direct Listing, as applicable),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b/>
          <w:sz w:val="20"/>
        </w:rPr>
        <w:t>Limitations on Subsequent Registration Rights</w:t>
      </w:r>
      <w:r>
        <w:rPr>
          <w:rFonts w:ascii="Times New Roman" w:hAnsi="Times New Roman"/>
          <w:sz w:val="20"/>
        </w:rPr>
        <w:t xml:space="preserve">. From and after the date of this Agreement, the Company shall not, without the prior written consent of the Requisite Holders, enter into any agreement with any holder or prospective holder of any securities of the Company that would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 w:hAnsi="Times New Roman"/>
          <w:i/>
          <w:sz w:val="20"/>
        </w:rPr>
        <w:t>provided</w:t>
      </w:r>
      <w:r>
        <w:rPr>
          <w:rFonts w:ascii="Times New Roman" w:hAnsi="Times New Roman"/>
          <w:sz w:val="20"/>
        </w:rPr>
        <w:t xml:space="preserve"> that this limitation shall not apply to Registrable Securities acquired by any additional Investor that becomes a party to this Agreement in accordance with Section 6.9.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2.11 “</w:t>
      </w:r>
      <w:r>
        <w:rPr>
          <w:rFonts w:ascii="Times New Roman" w:hAnsi="Times New Roman"/>
          <w:b/>
          <w:sz w:val="20"/>
        </w:rPr>
        <w:t>Market Stand-off</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in connection with the IPO or a registration statement (other than an Excluded Registration) on Form S-1 in connection with an IPO, and ending on the date specified by the Company and the managing underwriter (such period not to exceed 180 days or, if the Company is not then an emerging growth company as defined in the applicable SEC regulations,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hedging or other transaction or arrangement that transfers, or is designed to transfer, to another, in whole or in part, any of the economic consequences of ownership, directly or indirectly, of such securities, whether or not any such transaction or arrangement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is to be settled by delivery of Common Stock or other securities, in cash, or otherwise. The foregoing provisions of this Section 2.11 shall not apply to the sale of any shares to an underwriter pursuant to an underwriting agreement or to the establishment of a trading plan pursuant to Rule 10b5-1, </w:t>
      </w:r>
      <w:r>
        <w:rPr>
          <w:rFonts w:ascii="Times New Roman" w:hAnsi="Times New Roman"/>
          <w:i/>
          <w:sz w:val="20"/>
        </w:rPr>
        <w:t>provided</w:t>
      </w:r>
      <w:r>
        <w:rPr>
          <w:rFonts w:ascii="Times New Roman" w:hAnsi="Times New Roman"/>
          <w:sz w:val="20"/>
        </w:rPr>
        <w:t xml:space="preserve"> that such plan does not permit transfers during the restricted period, or the transfer of any shares to any trust for the direct or indirect benefit of the Holder or one or more of the Holder’s Immediate Family Members, </w:t>
      </w:r>
      <w:r>
        <w:rPr>
          <w:rFonts w:ascii="Times New Roman" w:hAnsi="Times New Roman"/>
          <w:i/>
          <w:sz w:val="20"/>
        </w:rPr>
        <w:t>provided</w:t>
      </w:r>
      <w:r>
        <w:rPr>
          <w:rFonts w:ascii="Times New Roman" w:hAnsi="Times New Roman"/>
          <w:sz w:val="20"/>
        </w:rPr>
        <w:t xml:space="preserve"> that the trustee of the trust agrees to be bound in writing by the restrictions set forth herein, and </w:t>
      </w:r>
      <w:r>
        <w:rPr>
          <w:rFonts w:ascii="Times New Roman" w:hAnsi="Times New Roman"/>
          <w:i/>
          <w:sz w:val="20"/>
        </w:rPr>
        <w:t>provided further</w:t>
      </w:r>
      <w:r>
        <w:rPr>
          <w:rFonts w:ascii="Times New Roman" w:hAnsi="Times New Roman"/>
          <w:sz w:val="20"/>
        </w:rPr>
        <w:t xml:space="preserve"> that any such transfer shall not involve a disposition for value; and shall be applicable to the Holders only if all officers and directors of the Company are subject to the same restrictions and the Company uses commercially reasonable efforts to obtain a similar agreement from all stockholders individually owning more than 1% of the Company’s outstanding Common Stock (after giving effect to the conversion into Common Stock of all outstanding Preferred Stock). The underwriters in connection with such registration are intended third-party beneficiaries of this 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2.11. Notwithstanding the foregoing, the foregoing restrictions shall not apply to, and Investors may freely dispose of, any shares of Common Stock that the Investor acquires in bona fide open-market purchases effected after the first date on which the Common Stock is publicly traded, provided that such transactions are effected through customary brokerage channels and not in coordination with the Company, its directors, officers or Affiliates. Any discretionary waiver or termination of the restrictions of any or all of such agreements by the Company or the underwriters shall apply pro rata to all Holders subject to such agreements, based on the number of shares subject to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b/>
          <w:sz w:val="20"/>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Act and all other applicable U.S. laws and regulations.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or Direct Listing, as applicable, SEC Rule 144, in each case, to be bound by the terms of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Section 2.12(c)) be notated with a legend substantially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MAY BE TRANSFERRED ONLY IN ACCORDANCE WITH THE TERMS OF AN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Holders consent to the Company making a notation in its records and giving instructions to any transfer agent of the Restricted Securities in order to implement the restrictions on transfer set forth in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(c) 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w:t>
      </w:r>
      <w:r>
        <w:rPr>
          <w:rFonts w:ascii="Times New Roman" w:hAnsi="Times New Roman"/>
          <w:i/>
          <w:sz w:val="20"/>
        </w:rPr>
        <w:t>provided</w:t>
      </w:r>
      <w:r>
        <w:rPr>
          <w:rFonts w:ascii="Times New Roman" w:hAnsi="Times New Roman"/>
          <w:sz w:val="20"/>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Times New Roman" w:hAnsi="Times New Roman"/>
          <w:i/>
          <w:sz w:val="20"/>
        </w:rPr>
        <w:t>provided</w:t>
      </w:r>
      <w:r>
        <w:rPr>
          <w:rFonts w:ascii="Times New Roman" w:hAnsi="Times New Roman"/>
          <w:sz w:val="20"/>
        </w:rPr>
        <w:t xml:space="preserve"> that, with respect to transfers under the foregoing clause (y), each transferee agrees in writing to be subject to the terms of this Section 2.12. Each certificate,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or book entry representing the Restricted Securities transferred as above provided shall be notated with, except if such transfer is made pursuant to SEC Rule 144, the appropriate restrictive legend set forth in Section 2.12(b), except that such certificate, instrument, or book entry shall not be notated with such restrictive legend if, in the opinion of counsel for such Holder and the Company, such legend is not required in order to establish compliance with any provisions of the Securities Act and the Company will use commercially reasonable efforts to cause any such legend to be removed. </w:t>
      </w:r>
    </w:p>
    <w:p>
      <w:pPr>
        <w:pStyle w:val="TextBody"/>
        <w:bidi w:val="0"/>
        <w:spacing w:before="240" w:after="0"/>
        <w:jc w:val="left"/>
        <w:rPr>
          <w:rFonts w:ascii="Times New Roman" w:hAnsi="Times New Roman"/>
          <w:sz w:val="20"/>
        </w:rPr>
      </w:pPr>
      <w:r>
        <w:rPr>
          <w:rFonts w:ascii="Times New Roman" w:hAnsi="Times New Roman"/>
          <w:sz w:val="20"/>
        </w:rPr>
        <w:t xml:space="preserve">(d) If (i) the Registrable Securities may be sold by the Holder without restriction under SEC Rule 144(b)(1) (as evidenced by customary non-affiliate certifications), including without limitation, any volume and manner of sale restrictions, and without any requirement that “current public information” (within the meaning of SEC Rule 144 under the Securities Act) be available at the time of sale of such securities, including as a result of SEC Rule 144(i) under the Securities Act, (ii) the Holder has sold or transferred Registrable Securities in compliance with SEC Rule 144 (in which case the Holder shall submit a letter agreement reasonably satisfactory to the Company and its transfer agent with respect to ongoing compliance with SEC Rule 144 under the Securities Act of 1933) or (iii) the Registrable Securities are registered for resale under the Securities Act pursuant to an effective registration statement and the Holder has sold or transferred such Registrable Securities pursuant to such then-effective registration statement (in which case the Holder shall submit a letter agreement reasonably satisfactory to the Company and its transfer agent with respect to such sale pursuant to such then-effective registration statement), then the Company shall, if requested by the Holder, use its commercially reasonable efforts to (A) cause the removal of any restrictive legend related to compliance with the federal securities laws set forth on such Registrable Securities (including by using commercially reasonable efforts to cause its legal counsel to deliver an opinion, if necessary, to the Company’s transfer agent in connection with the removal of such legends, if required by such transfer agent), and (B) reasonably promptly after such request issue such Registrable Securities without any such legend in certificated or book-entry form or by electronic delivery (if then eligible for such delivery through the facilities of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b/>
          <w:sz w:val="20"/>
        </w:rPr>
        <w:t>Termination and Suspension of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 of any Holder to request registration or inclusion of Registrable Securities in any registration pursuant to Section 2.1 or 2.2 shall terminate, as to such Holder,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(i) the closing of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(ii) such time after consummation of an IPO or Direct Listing, whichever is earlier, when the Holder (A) together with its “affiliates” (as determined under SEC Rule 144) holds less than 1% of the outstanding capital stock of the Company and (B) may immediately sell all of the Holder’s Registrable Securities under SEC Rule 144 without volume limitation, or another similar exemption under the Securities Act is available for the sale of all of such Holder’s shares without limitation, during a three-month period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(iii) the fifth anniversary of the IPO or Direct Listing,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(iv) the closing of a Reverse Merger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right of any Holder to request registration or inclusion of Registrable Securities in any registration pursuant to Section 2.1 or 2.2 shall be suspended during any time as such Holder is a Sanctioned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Delivery of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deliver to each Major Investor, </w:t>
      </w:r>
      <w:r>
        <w:rPr>
          <w:rFonts w:ascii="Times New Roman" w:hAnsi="Times New Roman"/>
          <w:i/>
          <w:sz w:val="20"/>
        </w:rPr>
        <w:t>provided</w:t>
      </w:r>
      <w:r>
        <w:rPr>
          <w:rFonts w:ascii="Times New Roman" w:hAnsi="Times New Roman"/>
          <w:sz w:val="20"/>
        </w:rPr>
        <w:t xml:space="preserve"> that such Major Investor is not a Competitor: </w:t>
      </w:r>
    </w:p>
    <w:p>
      <w:pPr>
        <w:pStyle w:val="TextBody"/>
        <w:bidi w:val="0"/>
        <w:spacing w:before="240" w:after="0"/>
        <w:jc w:val="left"/>
        <w:rPr>
          <w:rFonts w:ascii="Times New Roman" w:hAnsi="Times New Roman"/>
          <w:sz w:val="20"/>
        </w:rPr>
      </w:pPr>
      <w:r>
        <w:rPr>
          <w:rFonts w:ascii="Times New Roman" w:hAnsi="Times New Roman"/>
          <w:sz w:val="20"/>
        </w:rPr>
        <w:t xml:space="preserve">(i) as soon as practicable, but in any event within 120 days after the end of each fiscal year of the Company (A) an unaudited balance sheet as of the end of such year; (B) unaudited statements of income and of cash flows for such year; and (C) an unaudited statement of stockholders’ equity as of the end of such year, all such financial statements prepared in accordance with GAAP (except that such financial statements may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(ii) as soon as practicable, but in any event within 45 days after the end of each quarter of each fiscal year of the Company, unaudited statements of income and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(iii) as soon as practicable, but in any event within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(iv) as soon as practicable, the Company’s Approved Annual Budget (as defined below). </w:t>
      </w:r>
    </w:p>
    <w:p>
      <w:pPr>
        <w:pStyle w:val="TextBody"/>
        <w:bidi w:val="0"/>
        <w:spacing w:before="240" w:after="0"/>
        <w:jc w:val="left"/>
        <w:rPr>
          <w:rFonts w:ascii="Times New Roman" w:hAnsi="Times New Roman"/>
          <w:sz w:val="20"/>
        </w:rPr>
      </w:pPr>
      <w:r>
        <w:rPr>
          <w:rFonts w:ascii="Times New Roman" w:hAnsi="Times New Roman"/>
          <w:sz w:val="20"/>
        </w:rPr>
        <w:t>(b) The Company shall, before the end of each fiscal year, prepare an annual budget and business plan for the next fiscal year, prepared on a monthly basis, including balance sheets, income statements, and statements of cash flow for such months (the “</w:t>
      </w:r>
      <w:r>
        <w:rPr>
          <w:rFonts w:ascii="Times New Roman" w:hAnsi="Times New Roman"/>
          <w:b/>
          <w:sz w:val="20"/>
        </w:rPr>
        <w:t>Budget</w:t>
      </w:r>
      <w:r>
        <w:rPr>
          <w:rFonts w:ascii="Times New Roman" w:hAnsi="Times New Roman"/>
          <w:sz w:val="20"/>
        </w:rPr>
        <w:t>”). The Company shall submit the Budget to the Board of Directors for approval and the Budget, as may be revised by the Board of Directors (including the Requisite Preferred Director Vote), shall be approved by the Board of Directors (including the Requisite Preferred Director Vote) (“</w:t>
      </w:r>
      <w:r>
        <w:rPr>
          <w:rFonts w:ascii="Times New Roman" w:hAnsi="Times New Roman"/>
          <w:b/>
          <w:sz w:val="20"/>
        </w:rPr>
        <w:t>Approved</w:t>
      </w:r>
      <w:r>
        <w:rPr>
          <w:rFonts w:ascii="Times New Roman" w:hAnsi="Times New Roman"/>
          <w:sz w:val="20"/>
        </w:rPr>
        <w:t xml:space="preserve"> </w:t>
      </w:r>
      <w:r>
        <w:rPr>
          <w:rFonts w:ascii="Times New Roman" w:hAnsi="Times New Roman"/>
          <w:b/>
          <w:sz w:val="20"/>
        </w:rPr>
        <w:t>Annual Budget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Such other information relating to the financial condition, business, prospects, or corporate affairs of the Company as any Major Investor may from time to time reasonably request, </w:t>
      </w:r>
      <w:r>
        <w:rPr>
          <w:rFonts w:ascii="Times New Roman" w:hAnsi="Times New Roman"/>
          <w:i/>
          <w:sz w:val="20"/>
        </w:rPr>
        <w:t>provided</w:t>
      </w:r>
      <w:r>
        <w:rPr>
          <w:rFonts w:ascii="Times New Roman" w:hAnsi="Times New Roman"/>
          <w:sz w:val="20"/>
        </w:rPr>
        <w:t xml:space="preserve"> that the Company shall not be obligated to provide information that it reasonably determines to be competitively sensitive or subject to confidentiality obligations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All financial statements and other information to be delivered to a Major Investor pursuant to this Section 3.1 shall be furnished in a form and manner reasonably acceptable to such Major Investor (including to any particular email address or site specified by a Major Investor). If reasonably requested by a Major Investor, the Company shall provide the information required by, or reasonably requested pursuant to, this Section 3.1 to such Major Investor by uploading the information to a portfolio management platform.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else in this Section 3.1 to the contrary, the Company may cease providing the information set forth in this Section 3.1 during the period starting with the date 60 days before the Company’s good-faith estimate of the date of filing of a registration statement if it reasonably concludes it must do so to comply with the SEC rules applicable to such registration statement and related offering; </w:t>
      </w:r>
      <w:r>
        <w:rPr>
          <w:rFonts w:ascii="Times New Roman" w:hAnsi="Times New Roman"/>
          <w:i/>
          <w:sz w:val="20"/>
        </w:rPr>
        <w:t>provided</w:t>
      </w:r>
      <w:r>
        <w:rPr>
          <w:rFonts w:ascii="Times New Roman" w:hAnsi="Times New Roman"/>
          <w:sz w:val="20"/>
        </w:rPr>
        <w:t xml:space="preserve"> that the Company’s covenants under this Section 3.1 shall be reinstated at such time as the Company is no longer actively employing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Inspection</w:t>
      </w:r>
      <w:r>
        <w:rPr>
          <w:rFonts w:ascii="Times New Roman" w:hAnsi="Times New Roman"/>
          <w:sz w:val="20"/>
        </w:rPr>
        <w:t>(a). The Company shall permit each Major Investor (</w:t>
      </w:r>
      <w:r>
        <w:rPr>
          <w:rFonts w:ascii="Times New Roman" w:hAnsi="Times New Roman"/>
          <w:i/>
          <w:sz w:val="20"/>
        </w:rPr>
        <w:t>provided</w:t>
      </w:r>
      <w:r>
        <w:rPr>
          <w:rFonts w:ascii="Times New Roman" w:hAnsi="Times New Roman"/>
          <w:sz w:val="20"/>
        </w:rPr>
        <w:t xml:space="preserve"> that the Board of Directors has not reasonably determined that such Major Investor is a Competitor),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in connection with monitoring or making decisions with respect to its investment in the Company; </w:t>
      </w:r>
      <w:r>
        <w:rPr>
          <w:rFonts w:ascii="Times New Roman" w:hAnsi="Times New Roman"/>
          <w:i/>
          <w:sz w:val="20"/>
        </w:rPr>
        <w:t>provided, however,</w:t>
      </w:r>
      <w:r>
        <w:rPr>
          <w:rFonts w:ascii="Times New Roman" w:hAnsi="Times New Roman"/>
          <w:sz w:val="20"/>
        </w:rPr>
        <w:t xml:space="preserve"> that the Company shall not be obligated pursuant to this Section 3.2 to (a) create any new information or materials or (b) provide access to any information that it reasonably and in good faith considers to be a trade secret or confidential information or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Termination of Information Rights</w:t>
      </w:r>
      <w:r>
        <w:rPr>
          <w:rFonts w:ascii="Times New Roman" w:hAnsi="Times New Roman"/>
          <w:sz w:val="20"/>
        </w:rPr>
        <w:t xml:space="preserve">. The covenants set forth in Section 3.1 and Section 3.2 shall terminate and be of no further force or effect (i) immediately before the consummation of the IPO, Reverse Merger Transaction or Direct Listing, as applicable; (ii) with respect to any Investor that is or becomes a Sanctioned Party, for so long as such Investor is a Sanctioned Party; (iii) when the Company first becomes subject to the periodic reporting requirements of Section 12(g) or 15(d) of the Exchange Act; or (iv) upon the closing of a Deemed Liquidation Event,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Confidentiality</w:t>
      </w:r>
      <w:r>
        <w:rPr>
          <w:rFonts w:ascii="Times New Roman" w:hAnsi="Times New Roman"/>
          <w:sz w:val="20"/>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Section 3.4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 w:hAnsi="Times New Roman"/>
          <w:i/>
          <w:sz w:val="20"/>
        </w:rPr>
        <w:t>provided, however,</w:t>
      </w:r>
      <w:r>
        <w:rPr>
          <w:rFonts w:ascii="Times New Roman" w:hAnsi="Times New Roman"/>
          <w:sz w:val="20"/>
        </w:rPr>
        <w:t xml:space="preserve">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3.4; (iii) to any Affiliate, partner, member, stockholder, or wholly owned subsidiary of such Investor in the ordinary course of business, </w:t>
      </w:r>
      <w:r>
        <w:rPr>
          <w:rFonts w:ascii="Times New Roman" w:hAnsi="Times New Roman"/>
          <w:i/>
          <w:sz w:val="20"/>
        </w:rPr>
        <w:t>provided</w:t>
      </w:r>
      <w:r>
        <w:rPr>
          <w:rFonts w:ascii="Times New Roman" w:hAnsi="Times New Roman"/>
          <w:sz w:val="20"/>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hAnsi="Times New Roman"/>
          <w:i/>
          <w:sz w:val="20"/>
        </w:rPr>
        <w:t>provided</w:t>
      </w:r>
      <w:r>
        <w:rPr>
          <w:rFonts w:ascii="Times New Roman" w:hAnsi="Times New Roman"/>
          <w:sz w:val="20"/>
        </w:rPr>
        <w:t xml:space="preserve"> that such Investor promptly notifies the Company of such disclosure and takes reasonable steps to minimize the extent of any such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Rights to Future Stock Issuances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Right of First Offer</w:t>
      </w:r>
      <w:r>
        <w:rPr>
          <w:rFonts w:ascii="Times New Roman" w:hAnsi="Times New Roman"/>
          <w:sz w:val="20"/>
        </w:rPr>
        <w:t>. Subject to the terms and conditions of this Section 4.1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Times New Roman" w:hAnsi="Times New Roman"/>
          <w:b/>
          <w:sz w:val="20"/>
        </w:rPr>
        <w:t>Investor Beneficial Owners</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that each such Affiliate or Investor Beneficial Owner (x) is not a Competitor or a FOIA Party, unless such party’s purchase of New Securities is otherwise consented to by the Board of Directors, and (y) enters into this Agreement, the Voting Agreement (as defined in the Purchase Agreements) and the Right of First Refusal and Co-Sale Agreement (as defined in the Purchase Agreements), as an “</w:t>
      </w:r>
      <w:r>
        <w:rPr>
          <w:rFonts w:ascii="Times New Roman" w:hAnsi="Times New Roman"/>
          <w:b/>
          <w:sz w:val="20"/>
        </w:rPr>
        <w:t>Investor</w:t>
      </w:r>
      <w:r>
        <w:rPr>
          <w:rFonts w:ascii="Times New Roman" w:hAnsi="Times New Roman"/>
          <w:sz w:val="20"/>
        </w:rPr>
        <w:t>” under each such agreement (</w:t>
      </w:r>
      <w:r>
        <w:rPr>
          <w:rFonts w:ascii="Times New Roman" w:hAnsi="Times New Roman"/>
          <w:i/>
          <w:sz w:val="20"/>
        </w:rPr>
        <w:t>provided</w:t>
      </w:r>
      <w:r>
        <w:rPr>
          <w:rFonts w:ascii="Times New Roman" w:hAnsi="Times New Roman"/>
          <w:sz w:val="20"/>
        </w:rPr>
        <w:t xml:space="preserve"> that any Competitor or FOIA Party shall not be entitled to any rights as a Major Investor under Sections 3.1, 3.2 and 4.1 hereof), and </w:t>
      </w:r>
      <w:r>
        <w:rPr>
          <w:rFonts w:ascii="Times New Roman" w:hAnsi="Times New Roman"/>
          <w:i/>
          <w:sz w:val="20"/>
        </w:rPr>
        <w:t>provided</w:t>
      </w:r>
      <w:r>
        <w:rPr>
          <w:rFonts w:ascii="Times New Roman" w:hAnsi="Times New Roman"/>
          <w:sz w:val="20"/>
        </w:rPr>
        <w:t xml:space="preserve"> that the Company shall not be obligated to offer or sell any New Securities to any person or entity that is a Sanctioned Party. </w:t>
      </w:r>
    </w:p>
    <w:p>
      <w:pPr>
        <w:pStyle w:val="TextBody"/>
        <w:bidi w:val="0"/>
        <w:spacing w:before="240" w:after="0"/>
        <w:jc w:val="left"/>
        <w:rPr>
          <w:rFonts w:ascii="Times New Roman" w:hAnsi="Times New Roman"/>
          <w:sz w:val="20"/>
        </w:rPr>
      </w:pPr>
      <w:r>
        <w:rPr>
          <w:rFonts w:ascii="Times New Roman" w:hAnsi="Times New Roman"/>
          <w:sz w:val="20"/>
        </w:rPr>
        <w:t>(a) The Company shall give notice (the “</w:t>
      </w:r>
      <w:r>
        <w:rPr>
          <w:rFonts w:ascii="Times New Roman" w:hAnsi="Times New Roman"/>
          <w:b/>
          <w:sz w:val="20"/>
        </w:rPr>
        <w:t>Offer Notice</w:t>
      </w:r>
      <w:r>
        <w:rPr>
          <w:rFonts w:ascii="Times New Roman" w:hAnsi="Times New Roman"/>
          <w:sz w:val="20"/>
        </w:rPr>
        <w:t xml:space="preserve">”) to each Major Investor, stating (i) its bona fide intention to offer such New Securities, (ii) the number of such New Securities to be offered, and (iii) the price and terms, if any, upon which it proposes to offer such New Securities. </w:t>
      </w:r>
    </w:p>
    <w:p>
      <w:pPr>
        <w:pStyle w:val="TextBody"/>
        <w:bidi w:val="0"/>
        <w:spacing w:before="240" w:after="0"/>
        <w:jc w:val="left"/>
        <w:rPr>
          <w:rFonts w:ascii="Times New Roman" w:hAnsi="Times New Roman"/>
          <w:sz w:val="20"/>
        </w:rPr>
      </w:pPr>
      <w:r>
        <w:rPr>
          <w:rFonts w:ascii="Times New Roman" w:hAnsi="Times New Roman"/>
          <w:sz w:val="20"/>
        </w:rPr>
        <w:t>(b) By notification to the Company within 20 days after the Offer Notice is given, each Major Investor may elect to purchase or otherwise acquire, at the price and on the terms specified in the Offer Notice, up to that portion of such New Securities which equals the proportion that (x) the Common Stock then held by such Major Investor (including all shares of Common Stock then issuable (directly or indirectly) upon conversion and/or exercise, as applicable, of the Preferred Stock and any other Derivative Securities then held by such Major Investor) bears to (y) the total Common Stock of the Company then outstanding (assuming full conversion and/or exercise, as applicable, of all Preferred Stock and any other Derivative Securities then outstanding). At the expiration of such 20-day period, the Company shall promptly notify each Major Investor that elects to purchase or acquire all the shares available to it (each, a “</w:t>
      </w:r>
      <w:r>
        <w:rPr>
          <w:rFonts w:ascii="Times New Roman" w:hAnsi="Times New Roman"/>
          <w:b/>
          <w:sz w:val="20"/>
        </w:rPr>
        <w:t>Fully Exercising Investor</w:t>
      </w:r>
      <w:r>
        <w:rPr>
          <w:rFonts w:ascii="Times New Roman" w:hAnsi="Times New Roman"/>
          <w:sz w:val="20"/>
        </w:rPr>
        <w:t xml:space="preserve">”) of any other Major Investor’s failure to do likewise. During the ten-day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Section 4.1(b) shall occur within the later of 90 days of the date that the Offer Notice is given and the date of initial sale of New Securities pursuant to Section 4.1(c).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If all New Securities referred to in the Offer Notice are not elected to be purchased or acquired as provided in Section 4.1(b), the Company may, during the 90 day period following the expiration of the periods provided in Section 4.1(b),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the Major Investors in accordance with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(d) The right of first offer in this Section 4.1 shall not be applicable to (i) Exempted Securities (as defined in the Certificate of Incorporation); (ii) shares of Common Stock issued in the IPO; and (iii) the issuance of shares of Preferred Stock pursuant to the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provision hereof to the contrary, in lieu of complying with the provisions of this Section 4.1, the Company may elect to give notice to the Major Investors within 30 days after the issuance of New Securities. Such notice shall describe the type, price, and terms of the New Securities. Each Major Investor shall have 20 days from the date notice is given to elect to purchase up to the number of New Securities that would, if purchased by such Major Investor, maintain such Major Investor’s percentage ownership position, calculated as set forth in Section 4.1(b) before giving effect to the issuance of such New Securities.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Termination</w:t>
      </w:r>
      <w:r>
        <w:rPr>
          <w:rFonts w:ascii="Times New Roman" w:hAnsi="Times New Roman"/>
          <w:sz w:val="20"/>
        </w:rPr>
        <w:t xml:space="preserve">. The covenants set forth in Section 4.1 shall terminate and be of no further force or effect (i) immediately before the consummation of the IPO, Reverse Merger Transaction or Direct Listing, as applicable; or (ii) upon the closing of a Deemed Liquidation Event,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Employee Agreements</w:t>
      </w:r>
      <w:r>
        <w:rPr>
          <w:rFonts w:ascii="Times New Roman" w:hAnsi="Times New Roman"/>
          <w:sz w:val="20"/>
        </w:rPr>
        <w:t xml:space="preserve">. Unless otherwise approved by the Board of Directors, including the Requisite Preferred Director Vote, the Company (a)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(b) shall not amend, modify, terminate, waive, or otherwise alter, in whole or in part, any of the above-referenced agreements or any restricted stock agreement between the Company and any employee.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Board Attendance Expenses</w:t>
      </w:r>
      <w:r>
        <w:rPr>
          <w:rFonts w:ascii="Times New Roman" w:hAnsi="Times New Roman"/>
          <w:sz w:val="20"/>
        </w:rPr>
        <w:t xml:space="preserve">. The Company shall reimburse the directors, and each observer to the Board of Directors designated pursuant to the Voting Agreement (as defined in the Purchase Agreements), for all reasonable out-of-pocket travel expenses incurred (consistent with the Company’s travel policy, if applicable) in connection with attending meetings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Successor Indemnification</w:t>
      </w:r>
      <w:r>
        <w:rPr>
          <w:rFonts w:ascii="Times New Roman" w:hAnsi="Times New Roman"/>
          <w:sz w:val="20"/>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Expenses of Counsel in an IPO, Reverse Merger Transaction or Direct Listing</w:t>
      </w:r>
      <w:r>
        <w:rPr>
          <w:rFonts w:ascii="Times New Roman" w:hAnsi="Times New Roman"/>
          <w:sz w:val="20"/>
        </w:rPr>
        <w:t>. In the event of an IPO, Reverse Merger Transaction or Direct Listing, as applicable (each, a “</w:t>
      </w:r>
      <w:r>
        <w:rPr>
          <w:rFonts w:ascii="Times New Roman" w:hAnsi="Times New Roman"/>
          <w:b/>
          <w:sz w:val="20"/>
        </w:rPr>
        <w:t>Reimbursed Transaction</w:t>
      </w:r>
      <w:r>
        <w:rPr>
          <w:rFonts w:ascii="Times New Roman" w:hAnsi="Times New Roman"/>
          <w:sz w:val="20"/>
        </w:rPr>
        <w:t xml:space="preserve">”), the reasonable fees and disbursements of (a) one counsel for RTW and RA and one counsel for Decheng up to an aggregate of $15,000, in each case, incurred in connection with such Reimbursed Transaction and solely in their capacities as stockholders, shall be borne and paid by the Company for each Reimbursed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Indemnification Matters</w:t>
      </w:r>
      <w:r>
        <w:rPr>
          <w:rFonts w:ascii="Times New Roman" w:hAnsi="Times New Roman"/>
          <w:sz w:val="20"/>
        </w:rPr>
        <w:t>. The Company hereby acknowledges that one or more of the directors affiliated with one or more Investors (“</w:t>
      </w:r>
      <w:r>
        <w:rPr>
          <w:rFonts w:ascii="Times New Roman" w:hAnsi="Times New Roman"/>
          <w:b/>
          <w:sz w:val="20"/>
        </w:rPr>
        <w:t>Investor Directors</w:t>
      </w:r>
      <w:r>
        <w:rPr>
          <w:rFonts w:ascii="Times New Roman" w:hAnsi="Times New Roman"/>
          <w:sz w:val="20"/>
        </w:rPr>
        <w:t>”) may have certain rights to indemnification, advancement of expenses and/or insurance provided by one or more of the Investors and certain of their Affiliates (collectively, the “</w:t>
      </w:r>
      <w:r>
        <w:rPr>
          <w:rFonts w:ascii="Times New Roman" w:hAnsi="Times New Roman"/>
          <w:b/>
          <w:sz w:val="20"/>
        </w:rPr>
        <w:t>Investor Indemnitors</w:t>
      </w:r>
      <w:r>
        <w:rPr>
          <w:rFonts w:ascii="Times New Roman" w:hAnsi="Times New Roman"/>
          <w:sz w:val="20"/>
        </w:rPr>
        <w:t>”). The Company hereby agrees (a) that it is the indemnitor of first resort (</w:t>
      </w:r>
      <w:r>
        <w:rPr>
          <w:rFonts w:ascii="Times New Roman" w:hAnsi="Times New Roman"/>
          <w:i/>
          <w:sz w:val="20"/>
        </w:rPr>
        <w:t>i.e.</w:t>
      </w:r>
      <w:r>
        <w:rPr>
          <w:rFonts w:ascii="Times New Roman" w:hAnsi="Times New Roman"/>
          <w:sz w:val="20"/>
        </w:rPr>
        <w:t xml:space="preserv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Section 5.6 and shall have the right, power and authority to enforce the provisions of this Section 5.6 as though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rPr>
        <w:t>Right to Conduct Activities</w:t>
      </w:r>
      <w:r>
        <w:rPr>
          <w:rFonts w:ascii="Times New Roman" w:hAnsi="Times New Roman"/>
          <w:sz w:val="20"/>
        </w:rPr>
        <w:t>. The Company hereby agrees and acknowledges that each Investor that is a venture capital fund or other investment fund (together with its Affiliates) (each, a “</w:t>
      </w:r>
      <w:r>
        <w:rPr>
          <w:rFonts w:ascii="Times New Roman" w:hAnsi="Times New Roman"/>
          <w:b/>
          <w:sz w:val="20"/>
        </w:rPr>
        <w:t>Professional Investment Organization</w:t>
      </w:r>
      <w:r>
        <w:rPr>
          <w:rFonts w:ascii="Times New Roman" w:hAnsi="Times New Roman"/>
          <w:sz w:val="20"/>
        </w:rPr>
        <w:t xml:space="preserve">”, which, for the avoidance of doubt, includes all Investors party to this Agreement as of the date of this Agreement, including, for the avoidance of doubt, RTW, RA Capital, Vivo, Decheng, Qiming, and each of their respective Affiliates) is a professional investment organization, and as such reviews the business plans and related proprietary information of many enterprises, some of which may compete directly or indirectly with the Company’s business (as currently conducted or as currently proposed to be conducted). Nothing in this Agreement shall preclude or in any way restrict the Professional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Professional Investment Organization shall be liable to the Company for any claim arising out of, or based upon, (i) 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foregoing shall not contravene the confidentiality obligations in Section 3.4 or otherwise in this Agreement or relieve any director or officer of the Company from any liability associated with such person’s fiduciary duties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rPr>
        <w:t>Insurance</w:t>
      </w:r>
      <w:r>
        <w:rPr>
          <w:rFonts w:ascii="Times New Roman" w:hAnsi="Times New Roman"/>
          <w:sz w:val="20"/>
        </w:rPr>
        <w:t xml:space="preserve">. The Company shall obtain, within 90 days of the date hereof, from financially sound and reputable insurers, Directors and Officers liability insurance, with a coverage limit in an amount approved by the Board of Directors and as necessary to fulfill its obligations herein and under any other agreement of the Company (including the Company’s Bylaws and any indemnification agreement of the Company), and on terms and conditions approved by the Board of Directors, including the Requisite Preferred Director Vote, and will use commercially reasonable efforts to cause such insurance policies to be maintained until such time as the Board of Directors, including the Requisite Preferred Director Vote determines that such insurance should be discontinued.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Subsidiary Governance</w:t>
      </w:r>
      <w:r>
        <w:rPr>
          <w:rFonts w:ascii="Times New Roman" w:hAnsi="Times New Roman"/>
          <w:sz w:val="20"/>
        </w:rPr>
        <w:t xml:space="preserve">. The Company shall not permit any subsidiary of the Company to take any action without the approval of the Board of Directors of the Company to the extent approval of the Board of Directors of the Company would be required in the event such action was to be taken by the Company itself, including the requisite groups of directors whose approval would be required in the event such action was to be taken by the Company itself.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rPr>
        <w:t>Side Letters</w:t>
      </w:r>
      <w:r>
        <w:rPr>
          <w:rFonts w:ascii="Times New Roman" w:hAnsi="Times New Roman"/>
          <w:sz w:val="20"/>
        </w:rPr>
        <w:t xml:space="preserve">. The Company shall make available to all Major Investors any side letters or separate agreements entered into with any Investor in connection with any future debt or equity financing, promptly following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Termination of Covenants</w:t>
      </w:r>
      <w:r>
        <w:rPr>
          <w:rFonts w:ascii="Times New Roman" w:hAnsi="Times New Roman"/>
          <w:sz w:val="20"/>
        </w:rPr>
        <w:t xml:space="preserve">. The covenants set forth in this Section 5, except for Sections 5.4, 5.5 and 5.6, shall terminate and be of no further force or effect (i) immediately before the consummation of the IPO, Reverse Merger Transaction or Direct Listing, as applicable; (ii) upon a Deemed Liquidation Event; or (iii) with respect to any obligation to an Investor that is or becomes a Sanctioned Party, for so long as such Holder is a Sanctioned Party.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Successors and Assigns</w:t>
      </w:r>
      <w:r>
        <w:rPr>
          <w:rFonts w:ascii="Times New Roman" w:hAnsi="Times New Roman"/>
          <w:sz w:val="20"/>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together with its Affiliates, would be a Major Investor; </w:t>
      </w:r>
      <w:r>
        <w:rPr>
          <w:rFonts w:ascii="Times New Roman" w:hAnsi="Times New Roman"/>
          <w:i/>
          <w:sz w:val="20"/>
        </w:rPr>
        <w:t>provided, however,</w:t>
      </w:r>
      <w:r>
        <w:rPr>
          <w:rFonts w:ascii="Times New Roman" w:hAnsi="Times New Roman"/>
          <w:sz w:val="20"/>
        </w:rPr>
        <w:t xml:space="preserve"> that (x) the Company is, within a reasonable time after such transfer, furnished with written notice of the name and address of such transferee and the Registrable Securities with respect to which such rights are being transferred; (y) such transferee agrees in a written instrument delivered to the Company to be bound by and subject to the terms and conditions of this Agreement, including the provisions of Section 2.11; and (z) such assignee is not a Sanctioned Party.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hAnsi="Times New Roman"/>
          <w:i/>
          <w:sz w:val="20"/>
        </w:rPr>
        <w:t>provided further</w:t>
      </w:r>
      <w:r>
        <w:rPr>
          <w:rFonts w:ascii="Times New Roman" w:hAnsi="Times New Roman"/>
          <w:sz w:val="20"/>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Governing Law</w:t>
      </w:r>
      <w:r>
        <w:rPr>
          <w:rFonts w:ascii="Times New Roman" w:hAnsi="Times New Roman"/>
          <w:sz w:val="20"/>
        </w:rPr>
        <w:t xml:space="preserve">. This Agreement shall be governed by the internal law of the State of Delaware, without regard to conflict of law principles that would result in the application of any law other than the law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www.docusign.com) or other transmission method and any counterpart so delivered shall be deemed to have been duly and validly delivered and be valid and effective for all purposes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Titles and Subtitles</w:t>
      </w:r>
      <w:r>
        <w:rPr>
          <w:rFonts w:ascii="Times New Roman" w:hAnsi="Times New Roman"/>
          <w:sz w:val="20"/>
        </w:rPr>
        <w:t xml:space="preserve">. The titles and subtitles used in this Agreement are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or </w:t>
      </w:r>
      <w:r>
        <w:rPr>
          <w:rFonts w:ascii="Times New Roman" w:hAnsi="Times New Roman"/>
          <w:b/>
          <w:sz w:val="20"/>
        </w:rPr>
        <w:t>Schedule</w:t>
      </w:r>
      <w:r>
        <w:rPr>
          <w:rFonts w:ascii="Times New Roman" w:hAnsi="Times New Roman"/>
          <w:sz w:val="20"/>
        </w:rPr>
        <w:t> </w:t>
      </w:r>
      <w:r>
        <w:rPr>
          <w:rFonts w:ascii="Times New Roman" w:hAnsi="Times New Roman"/>
          <w:b/>
          <w:sz w:val="20"/>
        </w:rPr>
        <w:t xml:space="preserve">B </w:t>
      </w:r>
      <w:r>
        <w:rPr>
          <w:rFonts w:ascii="Times New Roman" w:hAnsi="Times New Roman"/>
          <w:sz w:val="20"/>
        </w:rPr>
        <w:t xml:space="preserve">hereto, or (as to the Company) to the address set forth on the signature page hereto, or, in any case, to such email address or address as subsequently modified by written notice given in accordance with this Section 6.5. If notice is given to the Company, a copy (which copy shall not constitute notice) shall also be sent to Gibson, Dunn &amp; Crutcher LLP, One Embarcadero Center, Suite 2600, San Francisco, CA 94111; Attention: Ryan Murr; [***], and if notice is given to any Investor, a copy (which copy shall not constitute notice) shall also be given to any “cc” address noted on </w:t>
      </w:r>
      <w:r>
        <w:rPr>
          <w:rFonts w:ascii="Times New Roman" w:hAnsi="Times New Roman"/>
          <w:sz w:val="20"/>
          <w:u w:val="single"/>
        </w:rPr>
        <w:t>Schedule A</w:t>
      </w:r>
      <w:r>
        <w:rPr>
          <w:rFonts w:ascii="Times New Roman" w:hAnsi="Times New Roman"/>
          <w:sz w:val="20"/>
        </w:rPr>
        <w:t xml:space="preserve"> for such Investor.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Consent to Electronic Notice</w:t>
      </w:r>
      <w:r>
        <w:rPr>
          <w:rFonts w:ascii="Times New Roman" w:hAnsi="Times New Roman"/>
          <w:sz w:val="20"/>
        </w:rPr>
        <w:t>. Each party to this Agreement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term of this Agreement may be amended, modified or terminated and the observance of any term of this Agreement may be waived (either generally or in a particular instance, and either retroactively or prospectively) only with the written consent of the Company and the Requisite Holders; </w:t>
      </w:r>
      <w:r>
        <w:rPr>
          <w:rFonts w:ascii="Times New Roman" w:hAnsi="Times New Roman"/>
          <w:i/>
          <w:sz w:val="20"/>
        </w:rPr>
        <w:t>provided</w:t>
      </w:r>
      <w:r>
        <w:rPr>
          <w:rFonts w:ascii="Times New Roman" w:hAnsi="Times New Roman"/>
          <w:sz w:val="20"/>
        </w:rPr>
        <w:t xml:space="preserve"> that the Company may in its sole discretion waive compliance with Section 2.12(c) (and the Company’s failure to object promptly in writing after notification of a proposed assignment allegedly in violation of Section 2.12(c) shall be deemed to be a waiver); and </w:t>
      </w:r>
      <w:r>
        <w:rPr>
          <w:rFonts w:ascii="Times New Roman" w:hAnsi="Times New Roman"/>
          <w:i/>
          <w:sz w:val="20"/>
        </w:rPr>
        <w:t>provided further</w:t>
      </w:r>
      <w:r>
        <w:rPr>
          <w:rFonts w:ascii="Times New Roman" w:hAnsi="Times New Roman"/>
          <w:sz w:val="20"/>
        </w:rPr>
        <w:t xml:space="preserve"> that any provision hereof may be waived by any waiving party on such party’s own behalf, without the consent of any other party. For the avoidance of doubt, Registrable Securities do not include any shares held by a person or entity that is a Sanctioned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in this Agreement to the contrary, (i)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 transaction; </w:t>
      </w:r>
      <w:r>
        <w:rPr>
          <w:rFonts w:ascii="Times New Roman" w:hAnsi="Times New Roman"/>
          <w:i/>
          <w:sz w:val="20"/>
        </w:rPr>
        <w:t>provided</w:t>
      </w:r>
      <w:r>
        <w:rPr>
          <w:rFonts w:ascii="Times New Roman" w:hAnsi="Times New Roman"/>
          <w:sz w:val="20"/>
        </w:rPr>
        <w:t>, however, if, after giving effect to any waiver of Section 4.1 or any provision pertaining to Section 4.1 with respect to a particular transaction, a waiving Major Investor in fact purchases New Securities in such transaction (such Major Investor, a “</w:t>
      </w:r>
      <w:r>
        <w:rPr>
          <w:rFonts w:ascii="Times New Roman" w:hAnsi="Times New Roman"/>
          <w:b/>
          <w:sz w:val="20"/>
        </w:rPr>
        <w:t>Participating Investor</w:t>
      </w:r>
      <w:r>
        <w:rPr>
          <w:rFonts w:ascii="Times New Roman" w:hAnsi="Times New Roman"/>
          <w:sz w:val="20"/>
        </w:rPr>
        <w:t xml:space="preserve">”), the aforementioned waiver shall be deemed to apply to any Major Investor only if that Major Investor has been provided the opportunity to purchase a proportional number of the New Securities in such transaction based on the pro rata purchase right of each Major Investor set forth in Section 4.1, assuming a transaction size determined based upon the amount purchased by the Participating Investor that invested the largest percentage in such transaction), </w:t>
      </w:r>
      <w:r>
        <w:rPr>
          <w:rFonts w:ascii="Times New Roman" w:hAnsi="Times New Roman"/>
          <w:i/>
          <w:sz w:val="20"/>
        </w:rPr>
        <w:t>provided</w:t>
      </w:r>
      <w:r>
        <w:rPr>
          <w:rFonts w:ascii="Times New Roman" w:hAnsi="Times New Roman"/>
          <w:sz w:val="20"/>
        </w:rPr>
        <w:t xml:space="preserve">, that the Company may in its sole discretion waive compliance with any provision of this Agreement if observance of the terms would cause the Company or any Investor to be in violation of applicable Sanctions; (ii) Sections 3.1, 3.2 and 4 and any other section of this Agreement applicable to the Major Investors (including this clause (ii) of this Section 6.6(b)) may be amended, modified, terminated or waived with only (and only with) the written consent of the Company and the holders of a majority of the Registrable Securities then outstanding that are issued or issuable upon conversion of shares of Preferred Stock and held by the Major Investors, which such majority must include each of RTW and RA Capital; (iii) no provision that names a specific Investor by name (nor this Section 6.6(b)(iii) with respect to such Investor) may be amended or waived with respect to, or terminated pursuant to this Section 6.6 relative to, such Investor without such Investor’s written consent; (iv) this Agreement may not be amended, modified or terminated, and no provision hereof may be waived, in each case, in any way which would adversely affect the rights of the Key Holders hereunder in a manner disproportionate to any adverse effect such amendment, modification, termination or waiver would have on the rights of the Investors hereunder, without also the written consent of the holders of a majority of the Registrable Securities held by the Key Holders; and (v) a holder whose shares have been converted pursuant to a Special Mandatory Conversion shall cease to be an Investor and a Major Investor with respect to such shares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Further notwithstanding anything in this Agreement to the contrary,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may be amended by the Company from time to time to add transferees of any Registrable Securities in compliance with the terms of this Agreement without the consent of the other parties; and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may also be amended by the Company after the date of this Agreement without the consent of the other parties to add information regarding any additional Investor who becomes a party to this Agreement in accordance with Section 6.9.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give prompt written notice of any amendment, modification or termination hereof or waiver hereunder to any party hereto whose rights and/or obligations were affected by such amendment, modification, termination, or waiver and that did not consent in writing to such amendment, modification, termination, or waiver; provided that the failure to provide such notice shall not invalidate any amendment, modification, termination or waiver in accordance with this Section 6.6. </w:t>
      </w:r>
    </w:p>
    <w:p>
      <w:pPr>
        <w:pStyle w:val="TextBody"/>
        <w:bidi w:val="0"/>
        <w:spacing w:before="240" w:after="0"/>
        <w:jc w:val="left"/>
        <w:rPr>
          <w:rFonts w:ascii="Times New Roman" w:hAnsi="Times New Roman"/>
          <w:sz w:val="20"/>
        </w:rPr>
      </w:pPr>
      <w:r>
        <w:rPr>
          <w:rFonts w:ascii="Times New Roman" w:hAnsi="Times New Roman"/>
          <w:sz w:val="20"/>
        </w:rPr>
        <w:t xml:space="preserve">(e) Any amendment, modification, termination, or waiver effected in accordance with this Section 6.6 shall be binding on all parties hereto, regardless of whether any such party has consented thereto or received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No waivers of or exceptions to any term, condition, or provision of this Agreement, in any one or more instances, shall be deemed to be or construed as a further or continuing waiver of any such term, condition, or provision.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b/>
          <w:sz w:val="20"/>
        </w:rPr>
        <w:t>Severability</w:t>
      </w:r>
      <w:r>
        <w:rPr>
          <w:rFonts w:ascii="Times New Roman" w:hAnsi="Times New Roman"/>
          <w:sz w:val="20"/>
        </w:rPr>
        <w:t xml:space="preserve">. In case any provision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b/>
          <w:sz w:val="20"/>
        </w:rPr>
        <w:t>Aggregation of Stock; Apportionment</w:t>
      </w:r>
      <w:r>
        <w:rPr>
          <w:rFonts w:ascii="Times New Roman" w:hAnsi="Times New Roman"/>
          <w:sz w:val="20"/>
        </w:rPr>
        <w:t xml:space="preserve">.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b/>
          <w:sz w:val="20"/>
        </w:rPr>
        <w:t>Additional Investors</w:t>
      </w:r>
      <w:r>
        <w:rPr>
          <w:rFonts w:ascii="Times New Roman" w:hAnsi="Times New Roman"/>
          <w:sz w:val="20"/>
        </w:rPr>
        <w:t xml:space="preserve">. Notwithstanding anything to the contrary contained herein, if the Company issues additional shares of Preferred Stock after the date hereof, any purchaser of such shares of Preferred Stock may become a party to this Agreement by executing and delivering a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b/>
          <w:sz w:val="20"/>
        </w:rPr>
        <w:t>Entire Agreement</w:t>
      </w:r>
      <w:r>
        <w:rPr>
          <w:rFonts w:ascii="Times New Roman" w:hAnsi="Times New Roman"/>
          <w:sz w:val="20"/>
        </w:rPr>
        <w:t xml:space="preserve">. This Agreement (including the Exhibits and the Schedules hereto) together with the other Transaction Agreements (as defined in the Purchase Agreements) constitute the full and entire understanding and agreement among the parties with respect to the subject matter hereof, and any other written or oral agreement relating to the subject matter hereof existing between or among any of the parties is expressly canceled.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b/>
          <w:sz w:val="20"/>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 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(ii) agree not to commence any suit, action or other proceeding arising out of or based upon this Agreement except in the state courts of the State of Delaware or the United States District Court for the District of Delaware,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of the parties to this Agreement consents to personal jurisdiction for any equitable action sought in the U.S. District Court for the District of Delaware or any court of the State of Delaware having subject matter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b/>
          <w:sz w:val="20"/>
        </w:rPr>
        <w:t>Costs of Enforcement</w:t>
      </w:r>
      <w:r>
        <w:rPr>
          <w:rFonts w:ascii="Times New Roman" w:hAnsi="Times New Roman"/>
          <w:sz w:val="20"/>
        </w:rPr>
        <w:t xml:space="preserve">. Each party will bear its own costs in respect of any disputes arising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b/>
          <w:sz w:val="20"/>
        </w:rPr>
        <w:t>Delays or Omissions</w:t>
      </w:r>
      <w:r>
        <w:rPr>
          <w:rFonts w:ascii="Times New Roman" w:hAnsi="Times New Roman"/>
          <w:sz w:val="20"/>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SERAPHA BIO,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4082" w:type="dxa"/>
            <w:gridSpan w:val="3"/>
            <w:tcBorders/>
          </w:tcPr>
          <w:p>
            <w:pPr>
              <w:pStyle w:val="TableContents"/>
              <w:bidi w:val="0"/>
              <w:spacing w:before="0" w:after="283"/>
              <w:jc w:val="left"/>
              <w:rPr/>
            </w:pPr>
            <w:r>
              <w:rPr/>
              <w:t>Name: Alice Lee</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w:t>
            </w:r>
          </w:p>
          <w:p>
            <w:pPr>
              <w:pStyle w:val="TableContents"/>
              <w:bidi w:val="0"/>
              <w:spacing w:before="0" w:after="0"/>
              <w:jc w:val="left"/>
              <w:rPr>
                <w:rFonts w:ascii="Times New Roman" w:hAnsi="Times New Roman"/>
                <w:sz w:val="20"/>
              </w:rPr>
            </w:pPr>
            <w:r>
              <w:rPr>
                <w:rFonts w:ascii="Times New Roman" w:hAnsi="Times New Roman"/>
                <w:sz w:val="20"/>
              </w:rPr>
              <w:t>40 10th Avenue, Floor 7</w:t>
            </w:r>
          </w:p>
          <w:p>
            <w:pPr>
              <w:pStyle w:val="TableContents"/>
              <w:bidi w:val="0"/>
              <w:spacing w:before="0" w:after="20"/>
              <w:jc w:val="left"/>
              <w:rPr>
                <w:rFonts w:ascii="Times New Roman" w:hAnsi="Times New Roman"/>
                <w:sz w:val="20"/>
              </w:rPr>
            </w:pPr>
            <w:r>
              <w:rPr>
                <w:rFonts w:ascii="Times New Roman" w:hAnsi="Times New Roman"/>
                <w:sz w:val="20"/>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5"/>
        <w:gridCol w:w="60"/>
        <w:gridCol w:w="3137"/>
      </w:tblGrid>
      <w:tr>
        <w:trPr/>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HOLDINGS X, LLC</w:t>
            </w:r>
          </w:p>
        </w:tc>
      </w:tr>
      <w:tr>
        <w:trPr/>
        <w:tc>
          <w:tcPr>
            <w:tcW w:w="4082" w:type="dxa"/>
            <w:gridSpan w:val="3"/>
            <w:tcBorders/>
            <w:vAlign w:val="bottom"/>
          </w:tcPr>
          <w:p>
            <w:pPr>
              <w:pStyle w:val="TableContents"/>
              <w:bidi w:val="0"/>
              <w:spacing w:before="0" w:after="283"/>
              <w:jc w:val="left"/>
              <w:rPr/>
            </w:pPr>
            <w:r>
              <w:rPr/>
              <w:t>By: RTW Fund Group GP, LLC</w:t>
            </w:r>
          </w:p>
        </w:tc>
      </w:tr>
      <w:tr>
        <w:trPr/>
        <w:tc>
          <w:tcPr>
            <w:tcW w:w="4082" w:type="dxa"/>
            <w:gridSpan w:val="3"/>
            <w:tcBorders/>
            <w:vAlign w:val="bottom"/>
          </w:tcPr>
          <w:p>
            <w:pPr>
              <w:pStyle w:val="TableContents"/>
              <w:bidi w:val="0"/>
              <w:spacing w:before="0" w:after="283"/>
              <w:jc w:val="left"/>
              <w:rPr/>
            </w:pPr>
            <w:r>
              <w:rPr/>
              <w:t>Its: Manager</w:t>
            </w:r>
          </w:p>
        </w:tc>
      </w:tr>
      <w:tr>
        <w:trPr>
          <w:trHeight w:val="240" w:hRule="atLeast"/>
        </w:trPr>
        <w:tc>
          <w:tcPr>
            <w:tcW w:w="885"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7" w:type="dxa"/>
            <w:tcBorders>
              <w:bottom w:val="single" w:sz="2" w:space="0" w:color="000000"/>
            </w:tcBorders>
            <w:tcMar>
              <w:bottom w:w="28" w:type="dxa"/>
            </w:tcMar>
          </w:tcPr>
          <w:p>
            <w:pPr>
              <w:pStyle w:val="TableContents"/>
              <w:bidi w:val="0"/>
              <w:spacing w:before="0" w:after="283"/>
              <w:jc w:val="left"/>
              <w:rPr/>
            </w:pPr>
            <w:r>
              <w:rPr/>
              <w:t>/s/ Roderick Wong, M.D.</w:t>
            </w:r>
          </w:p>
        </w:tc>
      </w:tr>
      <w:tr>
        <w:trPr/>
        <w:tc>
          <w:tcPr>
            <w:tcW w:w="8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Roderick Wong, M.D.</w:t>
            </w:r>
          </w:p>
        </w:tc>
      </w:tr>
      <w:tr>
        <w:trPr/>
        <w:tc>
          <w:tcPr>
            <w:tcW w:w="8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Managing Member</w:t>
            </w:r>
          </w:p>
        </w:tc>
      </w:tr>
      <w:tr>
        <w:trPr/>
        <w:tc>
          <w:tcPr>
            <w:tcW w:w="885"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c/o RTW Investments, LP</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40 10th Avenue, Floor 7</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 Branden Berns</w:t>
            </w:r>
          </w:p>
        </w:tc>
      </w:tr>
      <w:tr>
        <w:trPr/>
        <w:tc>
          <w:tcPr>
            <w:tcW w:w="4082" w:type="dxa"/>
            <w:gridSpan w:val="3"/>
            <w:tcBorders/>
            <w:vAlign w:val="bottom"/>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5"/>
        <w:gridCol w:w="60"/>
        <w:gridCol w:w="3137"/>
      </w:tblGrid>
      <w:tr>
        <w:trPr/>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RTW HOLDINGS X, LLC</w:t>
            </w:r>
          </w:p>
        </w:tc>
      </w:tr>
      <w:tr>
        <w:trPr/>
        <w:tc>
          <w:tcPr>
            <w:tcW w:w="4082" w:type="dxa"/>
            <w:gridSpan w:val="3"/>
            <w:tcBorders/>
            <w:vAlign w:val="bottom"/>
          </w:tcPr>
          <w:p>
            <w:pPr>
              <w:pStyle w:val="TableContents"/>
              <w:bidi w:val="0"/>
              <w:spacing w:before="0" w:after="283"/>
              <w:jc w:val="left"/>
              <w:rPr/>
            </w:pPr>
            <w:r>
              <w:rPr/>
              <w:t>By: RTW Fund Group GP, LLC</w:t>
            </w:r>
          </w:p>
        </w:tc>
      </w:tr>
      <w:tr>
        <w:trPr/>
        <w:tc>
          <w:tcPr>
            <w:tcW w:w="4082" w:type="dxa"/>
            <w:gridSpan w:val="3"/>
            <w:tcBorders/>
            <w:vAlign w:val="bottom"/>
          </w:tcPr>
          <w:p>
            <w:pPr>
              <w:pStyle w:val="TableContents"/>
              <w:bidi w:val="0"/>
              <w:spacing w:before="0" w:after="283"/>
              <w:jc w:val="left"/>
              <w:rPr/>
            </w:pPr>
            <w:r>
              <w:rPr/>
              <w:t>Its: Manager</w:t>
            </w:r>
          </w:p>
        </w:tc>
      </w:tr>
      <w:tr>
        <w:trPr>
          <w:trHeight w:val="240" w:hRule="atLeast"/>
        </w:trPr>
        <w:tc>
          <w:tcPr>
            <w:tcW w:w="885"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37" w:type="dxa"/>
            <w:tcBorders>
              <w:bottom w:val="single" w:sz="2" w:space="0" w:color="000000"/>
            </w:tcBorders>
            <w:tcMar>
              <w:bottom w:w="28" w:type="dxa"/>
            </w:tcMar>
          </w:tcPr>
          <w:p>
            <w:pPr>
              <w:pStyle w:val="TableContents"/>
              <w:bidi w:val="0"/>
              <w:spacing w:before="0" w:after="283"/>
              <w:jc w:val="left"/>
              <w:rPr/>
            </w:pPr>
            <w:r>
              <w:rPr/>
              <w:t>/s/ Roderick Wong, M.D.</w:t>
            </w:r>
          </w:p>
        </w:tc>
      </w:tr>
      <w:tr>
        <w:trPr/>
        <w:tc>
          <w:tcPr>
            <w:tcW w:w="8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Roderick Wong, M.D.</w:t>
            </w:r>
          </w:p>
        </w:tc>
      </w:tr>
      <w:tr>
        <w:trPr/>
        <w:tc>
          <w:tcPr>
            <w:tcW w:w="8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Managing Member</w:t>
            </w:r>
          </w:p>
        </w:tc>
      </w:tr>
      <w:tr>
        <w:trPr/>
        <w:tc>
          <w:tcPr>
            <w:tcW w:w="885"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c/o RTW Investments, LP</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40 10th Avenue, Floor 7</w:t>
            </w:r>
          </w:p>
        </w:tc>
      </w:tr>
      <w:tr>
        <w:trPr/>
        <w:tc>
          <w:tcPr>
            <w:tcW w:w="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left"/>
              <w:rPr/>
            </w:pPr>
            <w:r>
              <w:rPr/>
              <w:t>New York, NY 10014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 Branden Berns</w:t>
            </w:r>
          </w:p>
        </w:tc>
      </w:tr>
      <w:tr>
        <w:trPr/>
        <w:tc>
          <w:tcPr>
            <w:tcW w:w="4082" w:type="dxa"/>
            <w:gridSpan w:val="3"/>
            <w:tcBorders/>
            <w:vAlign w:val="bottom"/>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HEALTHCARE FUND, L.P.</w:t>
            </w:r>
          </w:p>
        </w:tc>
      </w:tr>
      <w:tr>
        <w:trPr/>
        <w:tc>
          <w:tcPr>
            <w:tcW w:w="4082" w:type="dxa"/>
            <w:gridSpan w:val="3"/>
            <w:tcBorders/>
            <w:vAlign w:val="bottom"/>
          </w:tcPr>
          <w:p>
            <w:pPr>
              <w:pStyle w:val="TableContents"/>
              <w:bidi w:val="0"/>
              <w:spacing w:before="0" w:after="283"/>
              <w:jc w:val="left"/>
              <w:rPr/>
            </w:pPr>
            <w:r>
              <w:rPr/>
              <w:t>By: RA Capital Healthcare Fund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HEALTHCARE FUND, L.P.</w:t>
            </w:r>
          </w:p>
        </w:tc>
      </w:tr>
      <w:tr>
        <w:trPr/>
        <w:tc>
          <w:tcPr>
            <w:tcW w:w="4082" w:type="dxa"/>
            <w:gridSpan w:val="3"/>
            <w:tcBorders/>
            <w:vAlign w:val="bottom"/>
          </w:tcPr>
          <w:p>
            <w:pPr>
              <w:pStyle w:val="TableContents"/>
              <w:bidi w:val="0"/>
              <w:spacing w:before="0" w:after="283"/>
              <w:jc w:val="left"/>
              <w:rPr/>
            </w:pPr>
            <w:r>
              <w:rPr/>
              <w:t>By: RA Capital Healthcare Fund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KEY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NEXUS FUND IV, L.P.</w:t>
            </w:r>
          </w:p>
        </w:tc>
      </w:tr>
      <w:tr>
        <w:trPr/>
        <w:tc>
          <w:tcPr>
            <w:tcW w:w="4082" w:type="dxa"/>
            <w:gridSpan w:val="3"/>
            <w:tcBorders/>
            <w:vAlign w:val="bottom"/>
          </w:tcPr>
          <w:p>
            <w:pPr>
              <w:pStyle w:val="TableContents"/>
              <w:bidi w:val="0"/>
              <w:spacing w:before="0" w:after="283"/>
              <w:jc w:val="left"/>
              <w:rPr/>
            </w:pPr>
            <w:r>
              <w:rPr/>
              <w:t>By: RA Capital Nexus Fund IV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 CAPITAL NEXUS FUND IV, L.P.</w:t>
            </w:r>
          </w:p>
        </w:tc>
      </w:tr>
      <w:tr>
        <w:trPr/>
        <w:tc>
          <w:tcPr>
            <w:tcW w:w="4082" w:type="dxa"/>
            <w:gridSpan w:val="3"/>
            <w:tcBorders/>
            <w:vAlign w:val="bottom"/>
          </w:tcPr>
          <w:p>
            <w:pPr>
              <w:pStyle w:val="TableContents"/>
              <w:bidi w:val="0"/>
              <w:spacing w:before="0" w:after="283"/>
              <w:jc w:val="left"/>
              <w:rPr/>
            </w:pPr>
            <w:r>
              <w:rPr/>
              <w:t>By: RA Capital Nexus Fund IV GP, LLC</w:t>
            </w:r>
          </w:p>
        </w:tc>
      </w:tr>
      <w:tr>
        <w:trPr/>
        <w:tc>
          <w:tcPr>
            <w:tcW w:w="4082" w:type="dxa"/>
            <w:gridSpan w:val="3"/>
            <w:tcBorders/>
            <w:vAlign w:val="bottom"/>
          </w:tcPr>
          <w:p>
            <w:pPr>
              <w:pStyle w:val="TableContents"/>
              <w:bidi w:val="0"/>
              <w:spacing w:before="0" w:after="283"/>
              <w:jc w:val="left"/>
              <w:rPr/>
            </w:pPr>
            <w:r>
              <w:rPr/>
              <w:t>Its: 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88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Peter Kolchinsky</w:t>
            </w:r>
          </w:p>
        </w:tc>
      </w:tr>
      <w:tr>
        <w:trPr/>
        <w:tc>
          <w:tcPr>
            <w:tcW w:w="88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Manager</w:t>
            </w:r>
          </w:p>
        </w:tc>
      </w:tr>
      <w:tr>
        <w:trPr/>
        <w:tc>
          <w:tcPr>
            <w:tcW w:w="880"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c/o RA Capital Management, L.P.</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200 Berkeley Street</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18th Floor</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Boston, MA 02116</w:t>
            </w:r>
          </w:p>
        </w:tc>
      </w:tr>
      <w:tr>
        <w:trPr/>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pPr>
            <w:r>
              <w:rPr/>
              <w:t>Attn: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Copy to (which copy shall not constitute notice):</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Gibson, Dunn &amp; Crutcher LLP</w:t>
            </w:r>
          </w:p>
        </w:tc>
      </w:tr>
      <w:tr>
        <w:trPr/>
        <w:tc>
          <w:tcPr>
            <w:tcW w:w="4082" w:type="dxa"/>
            <w:gridSpan w:val="3"/>
            <w:tcBorders/>
            <w:vAlign w:val="bottom"/>
          </w:tcPr>
          <w:p>
            <w:pPr>
              <w:pStyle w:val="TableContents"/>
              <w:bidi w:val="0"/>
              <w:spacing w:before="0" w:after="283"/>
              <w:jc w:val="left"/>
              <w:rPr/>
            </w:pPr>
            <w:r>
              <w:rPr/>
              <w:t>One Embarcadero Center, Suite 2600</w:t>
            </w:r>
          </w:p>
        </w:tc>
      </w:tr>
      <w:tr>
        <w:trPr/>
        <w:tc>
          <w:tcPr>
            <w:tcW w:w="4082" w:type="dxa"/>
            <w:gridSpan w:val="3"/>
            <w:tcBorders/>
            <w:vAlign w:val="bottom"/>
          </w:tcPr>
          <w:p>
            <w:pPr>
              <w:pStyle w:val="TableContents"/>
              <w:bidi w:val="0"/>
              <w:spacing w:before="0" w:after="283"/>
              <w:jc w:val="left"/>
              <w:rPr/>
            </w:pPr>
            <w:r>
              <w:rPr/>
              <w:t>San Francisco, CA 94111</w:t>
            </w:r>
          </w:p>
        </w:tc>
      </w:tr>
      <w:tr>
        <w:trPr/>
        <w:tc>
          <w:tcPr>
            <w:tcW w:w="4082" w:type="dxa"/>
            <w:gridSpan w:val="3"/>
            <w:tcBorders/>
            <w:vAlign w:val="bottom"/>
          </w:tcPr>
          <w:p>
            <w:pPr>
              <w:pStyle w:val="TableContents"/>
              <w:bidi w:val="0"/>
              <w:spacing w:before="0" w:after="283"/>
              <w:jc w:val="left"/>
              <w:rPr/>
            </w:pPr>
            <w:r>
              <w:rPr/>
              <w:t>Attention: Ryan Murr</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JANUS HENDERSON BIOTECH INNOVATION MASTER FUND LIMITED</w:t>
            </w:r>
          </w:p>
        </w:tc>
      </w:tr>
      <w:tr>
        <w:trPr/>
        <w:tc>
          <w:tcPr>
            <w:tcW w:w="4082" w:type="dxa"/>
            <w:gridSpan w:val="3"/>
            <w:tcBorders/>
            <w:vAlign w:val="bottom"/>
          </w:tcPr>
          <w:p>
            <w:pPr>
              <w:pStyle w:val="TableContents"/>
              <w:bidi w:val="0"/>
              <w:spacing w:before="0" w:after="283"/>
              <w:jc w:val="left"/>
              <w:rPr/>
            </w:pPr>
            <w:r>
              <w:rPr/>
              <w:t>By: Janus Henderson Investors US LLC, its investment advisor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Daniel S. Lyons</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Daniel S. Lyons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Notice Address:</w:t>
            </w:r>
          </w:p>
        </w:tc>
      </w:tr>
      <w:tr>
        <w:trPr/>
        <w:tc>
          <w:tcPr>
            <w:tcW w:w="4082" w:type="dxa"/>
            <w:gridSpan w:val="3"/>
            <w:tcBorders/>
            <w:vAlign w:val="bottom"/>
          </w:tcPr>
          <w:p>
            <w:pPr>
              <w:pStyle w:val="TableContents"/>
              <w:bidi w:val="0"/>
              <w:spacing w:before="0" w:after="283"/>
              <w:jc w:val="left"/>
              <w:rPr/>
            </w:pPr>
            <w:r>
              <w:rPr/>
              <w:t>Janus Henderson Investors US LLC</w:t>
            </w:r>
          </w:p>
        </w:tc>
      </w:tr>
      <w:tr>
        <w:trPr/>
        <w:tc>
          <w:tcPr>
            <w:tcW w:w="4082" w:type="dxa"/>
            <w:gridSpan w:val="3"/>
            <w:tcBorders/>
            <w:vAlign w:val="bottom"/>
          </w:tcPr>
          <w:p>
            <w:pPr>
              <w:pStyle w:val="TableContents"/>
              <w:bidi w:val="0"/>
              <w:spacing w:before="0" w:after="283"/>
              <w:jc w:val="left"/>
              <w:rPr/>
            </w:pPr>
            <w:r>
              <w:rPr/>
              <w:t>Attn: Todd Penner</w:t>
            </w:r>
          </w:p>
        </w:tc>
      </w:tr>
      <w:tr>
        <w:trPr/>
        <w:tc>
          <w:tcPr>
            <w:tcW w:w="4082" w:type="dxa"/>
            <w:gridSpan w:val="3"/>
            <w:tcBorders/>
            <w:vAlign w:val="bottom"/>
          </w:tcPr>
          <w:p>
            <w:pPr>
              <w:pStyle w:val="TableContents"/>
              <w:bidi w:val="0"/>
              <w:spacing w:before="0" w:after="283"/>
              <w:jc w:val="left"/>
              <w:rPr/>
            </w:pPr>
            <w:r>
              <w:rPr/>
              <w:t>151 Detroit Street</w:t>
            </w:r>
          </w:p>
        </w:tc>
      </w:tr>
      <w:tr>
        <w:trPr/>
        <w:tc>
          <w:tcPr>
            <w:tcW w:w="4082" w:type="dxa"/>
            <w:gridSpan w:val="3"/>
            <w:tcBorders/>
            <w:vAlign w:val="bottom"/>
          </w:tcPr>
          <w:p>
            <w:pPr>
              <w:pStyle w:val="TableContents"/>
              <w:bidi w:val="0"/>
              <w:spacing w:before="0" w:after="283"/>
              <w:jc w:val="left"/>
              <w:rPr/>
            </w:pPr>
            <w:r>
              <w:rPr/>
              <w:t>Denver, CO 80206</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Email: [***];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a copy, which copy shall not constitute notice, to:</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Perkins Coie LLP</w:t>
            </w:r>
          </w:p>
        </w:tc>
      </w:tr>
      <w:tr>
        <w:trPr/>
        <w:tc>
          <w:tcPr>
            <w:tcW w:w="4082" w:type="dxa"/>
            <w:gridSpan w:val="3"/>
            <w:tcBorders/>
            <w:vAlign w:val="bottom"/>
          </w:tcPr>
          <w:p>
            <w:pPr>
              <w:pStyle w:val="TableContents"/>
              <w:bidi w:val="0"/>
              <w:spacing w:before="0" w:after="283"/>
              <w:jc w:val="left"/>
              <w:rPr/>
            </w:pPr>
            <w:r>
              <w:rPr/>
              <w:t>3150 Porter Drive</w:t>
            </w:r>
          </w:p>
        </w:tc>
      </w:tr>
      <w:tr>
        <w:trPr/>
        <w:tc>
          <w:tcPr>
            <w:tcW w:w="4082" w:type="dxa"/>
            <w:gridSpan w:val="3"/>
            <w:tcBorders/>
            <w:vAlign w:val="bottom"/>
          </w:tcPr>
          <w:p>
            <w:pPr>
              <w:pStyle w:val="TableContents"/>
              <w:bidi w:val="0"/>
              <w:spacing w:before="0" w:after="283"/>
              <w:jc w:val="left"/>
              <w:rPr/>
            </w:pPr>
            <w:r>
              <w:rPr/>
              <w:t>Palo Alto, CA 94306</w:t>
            </w:r>
          </w:p>
        </w:tc>
      </w:tr>
      <w:tr>
        <w:trPr/>
        <w:tc>
          <w:tcPr>
            <w:tcW w:w="4082" w:type="dxa"/>
            <w:gridSpan w:val="3"/>
            <w:tcBorders/>
            <w:vAlign w:val="bottom"/>
          </w:tcPr>
          <w:p>
            <w:pPr>
              <w:pStyle w:val="TableContents"/>
              <w:bidi w:val="0"/>
              <w:spacing w:before="0" w:after="283"/>
              <w:jc w:val="left"/>
              <w:rPr/>
            </w:pPr>
            <w:r>
              <w:rPr/>
              <w:t>Attention: Jessica North</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3"/>
        <w:gridCol w:w="60"/>
        <w:gridCol w:w="3129"/>
      </w:tblGrid>
      <w:tr>
        <w:trPr/>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 Menlo Park, CA 94025</w:t>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V-A,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 Menlo Park, CA 94025</w:t>
            </w:r>
          </w:p>
        </w:tc>
      </w:tr>
      <w:tr>
        <w:trPr/>
        <w:tc>
          <w:tcPr>
            <w:tcW w:w="4082" w:type="dxa"/>
            <w:gridSpan w:val="3"/>
            <w:tcBorders/>
            <w:vAlign w:val="bottom"/>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DECHENG CAPITAL GLOBAL LIFE SCIENCES FUND V-B, L.P.</w:t>
            </w:r>
          </w:p>
        </w:tc>
      </w:tr>
      <w:tr>
        <w:trPr/>
        <w:tc>
          <w:tcPr>
            <w:tcW w:w="4082" w:type="dxa"/>
            <w:gridSpan w:val="3"/>
            <w:tcBorders/>
            <w:vAlign w:val="bottom"/>
          </w:tcPr>
          <w:p>
            <w:pPr>
              <w:pStyle w:val="TableContents"/>
              <w:bidi w:val="0"/>
              <w:spacing w:before="0" w:after="283"/>
              <w:jc w:val="left"/>
              <w:rPr/>
            </w:pPr>
            <w:r>
              <w:rPr/>
              <w:t>By: Decheng Capital Management V (Cayman),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9" w:type="dxa"/>
            <w:tcBorders>
              <w:bottom w:val="single" w:sz="2" w:space="0" w:color="000000"/>
            </w:tcBorders>
            <w:tcMar>
              <w:bottom w:w="28" w:type="dxa"/>
            </w:tcMar>
          </w:tcPr>
          <w:p>
            <w:pPr>
              <w:pStyle w:val="TableContents"/>
              <w:bidi w:val="0"/>
              <w:spacing w:before="0" w:after="283"/>
              <w:jc w:val="left"/>
              <w:rPr/>
            </w:pPr>
            <w:r>
              <w:rPr/>
              <w:t>/s/ Xiangmin Cui</w:t>
            </w:r>
          </w:p>
        </w:tc>
      </w:tr>
      <w:tr>
        <w:trPr/>
        <w:tc>
          <w:tcPr>
            <w:tcW w:w="8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Xiangmin Cui</w:t>
            </w:r>
          </w:p>
        </w:tc>
      </w:tr>
      <w:tr>
        <w:trPr/>
        <w:tc>
          <w:tcPr>
            <w:tcW w:w="8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Managing Director</w:t>
            </w:r>
          </w:p>
        </w:tc>
      </w:tr>
      <w:tr>
        <w:trPr/>
        <w:tc>
          <w:tcPr>
            <w:tcW w:w="893" w:type="dxa"/>
            <w:tcBorders/>
            <w:vAlign w:val="bottom"/>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3000 Sand Hill Road, Building 2, Suite 110</w:t>
            </w:r>
          </w:p>
        </w:tc>
      </w:tr>
      <w:tr>
        <w:trPr/>
        <w:tc>
          <w:tcPr>
            <w:tcW w:w="8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9" w:type="dxa"/>
            <w:tcBorders/>
            <w:vAlign w:val="bottom"/>
          </w:tcPr>
          <w:p>
            <w:pPr>
              <w:pStyle w:val="TableContents"/>
              <w:bidi w:val="0"/>
              <w:spacing w:before="0" w:after="283"/>
              <w:jc w:val="left"/>
              <w:rPr/>
            </w:pPr>
            <w:r>
              <w:rPr/>
              <w:t>Menlo Park, CA 94025</w:t>
            </w:r>
          </w:p>
        </w:tc>
      </w:tr>
      <w:tr>
        <w:trPr/>
        <w:tc>
          <w:tcPr>
            <w:tcW w:w="4082" w:type="dxa"/>
            <w:gridSpan w:val="3"/>
            <w:tcBorders/>
            <w:vAlign w:val="bottom"/>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OPPORTUNITY FUND HOLDINGS, L.P.</w:t>
            </w:r>
          </w:p>
        </w:tc>
      </w:tr>
      <w:tr>
        <w:trPr/>
        <w:tc>
          <w:tcPr>
            <w:tcW w:w="4082" w:type="dxa"/>
            <w:gridSpan w:val="3"/>
            <w:tcBorders/>
          </w:tcPr>
          <w:p>
            <w:pPr>
              <w:pStyle w:val="TableContents"/>
              <w:bidi w:val="0"/>
              <w:spacing w:before="0" w:after="283"/>
              <w:jc w:val="left"/>
              <w:rPr/>
            </w:pPr>
            <w:r>
              <w:rPr/>
              <w:t>By: Vivo Opportunity,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Dai</w:t>
            </w:r>
          </w:p>
        </w:tc>
      </w:tr>
      <w:tr>
        <w:trPr/>
        <w:tc>
          <w:tcPr>
            <w:tcW w:w="4082" w:type="dxa"/>
            <w:gridSpan w:val="3"/>
            <w:tcBorders/>
          </w:tcPr>
          <w:p>
            <w:pPr>
              <w:pStyle w:val="TableContents"/>
              <w:bidi w:val="0"/>
              <w:spacing w:before="0" w:after="283"/>
              <w:jc w:val="left"/>
              <w:rPr/>
            </w:pPr>
            <w:r>
              <w:rPr/>
              <w:t>Name: Kevin Dai</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OPPORTUNITY CAYMAN FUND, L.P.</w:t>
            </w:r>
          </w:p>
        </w:tc>
      </w:tr>
      <w:tr>
        <w:trPr/>
        <w:tc>
          <w:tcPr>
            <w:tcW w:w="4082" w:type="dxa"/>
            <w:gridSpan w:val="3"/>
            <w:tcBorders/>
          </w:tcPr>
          <w:p>
            <w:pPr>
              <w:pStyle w:val="TableContents"/>
              <w:bidi w:val="0"/>
              <w:spacing w:before="0" w:after="283"/>
              <w:jc w:val="left"/>
              <w:rPr/>
            </w:pPr>
            <w:r>
              <w:rPr/>
              <w:t>By: Vivo Opportunity Cayman,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Dai</w:t>
            </w:r>
          </w:p>
        </w:tc>
      </w:tr>
      <w:tr>
        <w:trPr/>
        <w:tc>
          <w:tcPr>
            <w:tcW w:w="4082" w:type="dxa"/>
            <w:gridSpan w:val="3"/>
            <w:tcBorders/>
          </w:tcPr>
          <w:p>
            <w:pPr>
              <w:pStyle w:val="TableContents"/>
              <w:bidi w:val="0"/>
              <w:spacing w:before="0" w:after="283"/>
              <w:jc w:val="left"/>
              <w:rPr/>
            </w:pPr>
            <w:r>
              <w:rPr/>
              <w:t>Name: Kevin Dai</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VIVO INNOVATION FUND II HOLDINGS, L.P.</w:t>
            </w:r>
          </w:p>
        </w:tc>
      </w:tr>
      <w:tr>
        <w:trPr/>
        <w:tc>
          <w:tcPr>
            <w:tcW w:w="4082" w:type="dxa"/>
            <w:gridSpan w:val="3"/>
            <w:tcBorders/>
          </w:tcPr>
          <w:p>
            <w:pPr>
              <w:pStyle w:val="TableContents"/>
              <w:bidi w:val="0"/>
              <w:spacing w:before="0" w:after="283"/>
              <w:jc w:val="left"/>
              <w:rPr/>
            </w:pPr>
            <w:r>
              <w:rPr/>
              <w:t>By: Vivo Innovation II, LLC, 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Gaurav Aggarwal</w:t>
            </w:r>
          </w:p>
        </w:tc>
      </w:tr>
      <w:tr>
        <w:trPr/>
        <w:tc>
          <w:tcPr>
            <w:tcW w:w="4082" w:type="dxa"/>
            <w:gridSpan w:val="3"/>
            <w:tcBorders/>
          </w:tcPr>
          <w:p>
            <w:pPr>
              <w:pStyle w:val="TableContents"/>
              <w:bidi w:val="0"/>
              <w:spacing w:before="0" w:after="283"/>
              <w:jc w:val="left"/>
              <w:rPr/>
            </w:pPr>
            <w:r>
              <w:rPr/>
              <w:t>Name: Gaurav Aggarwal</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Vivo Capital LLC</w:t>
            </w:r>
          </w:p>
          <w:p>
            <w:pPr>
              <w:pStyle w:val="TableContents"/>
              <w:bidi w:val="0"/>
              <w:spacing w:before="0" w:after="20"/>
              <w:jc w:val="left"/>
              <w:rPr>
                <w:rFonts w:ascii="Times New Roman" w:hAnsi="Times New Roman"/>
                <w:sz w:val="20"/>
              </w:rPr>
            </w:pPr>
            <w:r>
              <w:rPr>
                <w:rFonts w:ascii="Times New Roman" w:hAnsi="Times New Roman"/>
                <w:sz w:val="20"/>
              </w:rPr>
              <w:t>192 Lytton Avenue</w:t>
            </w:r>
          </w:p>
        </w:tc>
      </w:tr>
      <w:tr>
        <w:trPr/>
        <w:tc>
          <w:tcPr>
            <w:tcW w:w="4082" w:type="dxa"/>
            <w:gridSpan w:val="3"/>
            <w:tcBorders/>
          </w:tcPr>
          <w:p>
            <w:pPr>
              <w:pStyle w:val="TableContents"/>
              <w:bidi w:val="0"/>
              <w:spacing w:before="0" w:after="283"/>
              <w:jc w:val="left"/>
              <w:rPr/>
            </w:pPr>
            <w:r>
              <w:rPr/>
              <w:t>Palo Alto, CA 94301</w:t>
            </w:r>
          </w:p>
        </w:tc>
      </w:tr>
      <w:tr>
        <w:trPr/>
        <w:tc>
          <w:tcPr>
            <w:tcW w:w="4082" w:type="dxa"/>
            <w:gridSpan w:val="3"/>
            <w:tcBorders/>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Logos Opportunities Fund V LP</w:t>
            </w:r>
          </w:p>
        </w:tc>
      </w:tr>
      <w:tr>
        <w:trPr/>
        <w:tc>
          <w:tcPr>
            <w:tcW w:w="4082" w:type="dxa"/>
            <w:gridSpan w:val="3"/>
            <w:tcBorders/>
          </w:tcPr>
          <w:p>
            <w:pPr>
              <w:pStyle w:val="TableContents"/>
              <w:bidi w:val="0"/>
              <w:spacing w:before="0" w:after="283"/>
              <w:jc w:val="left"/>
              <w:rPr/>
            </w:pPr>
            <w:r>
              <w:rPr/>
              <w:t>By: Logos Opportunities V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Arsani William</w:t>
            </w:r>
          </w:p>
        </w:tc>
      </w:tr>
      <w:tr>
        <w:trPr/>
        <w:tc>
          <w:tcPr>
            <w:tcW w:w="4082" w:type="dxa"/>
            <w:gridSpan w:val="3"/>
            <w:tcBorders/>
          </w:tcPr>
          <w:p>
            <w:pPr>
              <w:pStyle w:val="TableContents"/>
              <w:bidi w:val="0"/>
              <w:spacing w:before="0" w:after="283"/>
              <w:jc w:val="left"/>
              <w:rPr/>
            </w:pPr>
            <w:r>
              <w:rPr/>
              <w:t>Name: Arsani William</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Graham Walmsley</w:t>
            </w:r>
          </w:p>
        </w:tc>
      </w:tr>
      <w:tr>
        <w:trPr/>
        <w:tc>
          <w:tcPr>
            <w:tcW w:w="4082" w:type="dxa"/>
            <w:gridSpan w:val="3"/>
            <w:tcBorders/>
          </w:tcPr>
          <w:p>
            <w:pPr>
              <w:pStyle w:val="TableContents"/>
              <w:bidi w:val="0"/>
              <w:spacing w:before="0" w:after="283"/>
              <w:jc w:val="left"/>
              <w:rPr/>
            </w:pPr>
            <w:r>
              <w:rPr/>
              <w:t>Name: Graham Walmsley</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1 Letterman Dr., C3-350</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San Francisco, CA 94129</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CASDIN PARTNERS MASTER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Casdin Partners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Giordano</w:t>
            </w:r>
          </w:p>
        </w:tc>
      </w:tr>
      <w:tr>
        <w:trPr/>
        <w:tc>
          <w:tcPr>
            <w:tcW w:w="4082" w:type="dxa"/>
            <w:gridSpan w:val="3"/>
            <w:tcBorders/>
          </w:tcPr>
          <w:p>
            <w:pPr>
              <w:pStyle w:val="TableContents"/>
              <w:bidi w:val="0"/>
              <w:spacing w:before="0" w:after="283"/>
              <w:jc w:val="left"/>
              <w:rPr/>
            </w:pPr>
            <w:r>
              <w:rPr/>
              <w:t>Name: Steven Giordano</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1350 Avenue of the Americas, 26th Floor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York, New York 10019</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LIFESCI VENTURE MASTER,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Yook</w:t>
            </w:r>
          </w:p>
        </w:tc>
      </w:tr>
      <w:tr>
        <w:trPr/>
        <w:tc>
          <w:tcPr>
            <w:tcW w:w="4082" w:type="dxa"/>
            <w:gridSpan w:val="3"/>
            <w:tcBorders/>
          </w:tcPr>
          <w:p>
            <w:pPr>
              <w:pStyle w:val="TableContents"/>
              <w:bidi w:val="0"/>
              <w:spacing w:before="0" w:after="283"/>
              <w:jc w:val="left"/>
              <w:rPr/>
            </w:pPr>
            <w:r>
              <w:rPr/>
              <w:t>Name: Paul Yook</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LifeSci Venture Master, LLC</w:t>
            </w:r>
          </w:p>
        </w:tc>
      </w:tr>
      <w:tr>
        <w:trPr/>
        <w:tc>
          <w:tcPr>
            <w:tcW w:w="4082" w:type="dxa"/>
            <w:gridSpan w:val="3"/>
            <w:tcBorders/>
          </w:tcPr>
          <w:p>
            <w:pPr>
              <w:pStyle w:val="TableContents"/>
              <w:bidi w:val="0"/>
              <w:spacing w:before="0" w:after="283"/>
              <w:jc w:val="left"/>
              <w:rPr/>
            </w:pPr>
            <w:r>
              <w:rPr/>
              <w:t>152 West 57th Street, 32nd Floor</w:t>
            </w:r>
          </w:p>
        </w:tc>
      </w:tr>
      <w:tr>
        <w:trPr/>
        <w:tc>
          <w:tcPr>
            <w:tcW w:w="4082" w:type="dxa"/>
            <w:gridSpan w:val="3"/>
            <w:tcBorders/>
          </w:tcPr>
          <w:p>
            <w:pPr>
              <w:pStyle w:val="TableContents"/>
              <w:bidi w:val="0"/>
              <w:spacing w:before="0" w:after="283"/>
              <w:jc w:val="left"/>
              <w:rPr/>
            </w:pPr>
            <w:r>
              <w:rPr/>
              <w:t>New York, NY 10019</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QM312 LIMITED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LAM, Ho Man</w:t>
            </w:r>
          </w:p>
        </w:tc>
      </w:tr>
      <w:tr>
        <w:trPr/>
        <w:tc>
          <w:tcPr>
            <w:tcW w:w="4082" w:type="dxa"/>
            <w:gridSpan w:val="3"/>
            <w:tcBorders/>
          </w:tcPr>
          <w:p>
            <w:pPr>
              <w:pStyle w:val="TableContents"/>
              <w:bidi w:val="0"/>
              <w:spacing w:before="0" w:after="283"/>
              <w:jc w:val="left"/>
              <w:rPr/>
            </w:pPr>
            <w:r>
              <w:rPr/>
              <w:t>Name: LAM, Ho Man</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Vistra Corporate Services Centre, Wickhams Cay II,</w:t>
            </w:r>
          </w:p>
        </w:tc>
      </w:tr>
      <w:tr>
        <w:trPr/>
        <w:tc>
          <w:tcPr>
            <w:tcW w:w="4082" w:type="dxa"/>
            <w:gridSpan w:val="3"/>
            <w:tcBorders/>
          </w:tcPr>
          <w:p>
            <w:pPr>
              <w:pStyle w:val="TableContents"/>
              <w:bidi w:val="0"/>
              <w:spacing w:before="0" w:after="283"/>
              <w:jc w:val="left"/>
              <w:rPr/>
            </w:pPr>
            <w:r>
              <w:rPr/>
              <w:t>Road Town, Tortola, VG1110, British Virgin Islands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Copy to (which copy shall not constitute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1"/>
        <w:gridCol w:w="66"/>
        <w:gridCol w:w="3495"/>
      </w:tblGrid>
      <w:tr>
        <w:trPr/>
        <w:tc>
          <w:tcPr>
            <w:tcW w:w="521"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EVENTIDE HEALTHCARE INNOVATION FUND I LP</w:t>
            </w:r>
          </w:p>
        </w:tc>
      </w:tr>
      <w:tr>
        <w:trPr>
          <w:trHeight w:val="240" w:hRule="atLeast"/>
        </w:trPr>
        <w:tc>
          <w:tcPr>
            <w:tcW w:w="521" w:type="dxa"/>
            <w:tcBorders/>
            <w:vAlign w:val="center"/>
          </w:tcPr>
          <w:p>
            <w:pPr>
              <w:pStyle w:val="TableContents"/>
              <w:bidi w:val="0"/>
              <w:spacing w:before="0" w:after="283"/>
              <w:jc w:val="left"/>
              <w:rPr>
                <w:sz w:val="4"/>
                <w:szCs w:val="4"/>
              </w:rPr>
            </w:pPr>
            <w:r>
              <w:rPr>
                <w:sz w:val="4"/>
                <w:szCs w:val="4"/>
              </w:rPr>
            </w:r>
          </w:p>
        </w:tc>
        <w:tc>
          <w:tcPr>
            <w:tcW w:w="3561"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4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Finny Kuruvilla</w:t>
            </w:r>
          </w:p>
        </w:tc>
      </w:tr>
      <w:tr>
        <w:trPr/>
        <w:tc>
          <w:tcPr>
            <w:tcW w:w="4082" w:type="dxa"/>
            <w:gridSpan w:val="3"/>
            <w:tcBorders/>
          </w:tcPr>
          <w:p>
            <w:pPr>
              <w:pStyle w:val="TableContents"/>
              <w:bidi w:val="0"/>
              <w:spacing w:before="0" w:after="283"/>
              <w:jc w:val="left"/>
              <w:rPr/>
            </w:pPr>
            <w:r>
              <w:rPr/>
              <w:t>Name: Finny Kuruvilla</w:t>
            </w:r>
          </w:p>
        </w:tc>
      </w:tr>
      <w:tr>
        <w:trPr/>
        <w:tc>
          <w:tcPr>
            <w:tcW w:w="4082" w:type="dxa"/>
            <w:gridSpan w:val="3"/>
            <w:tcBorders/>
          </w:tcPr>
          <w:p>
            <w:pPr>
              <w:pStyle w:val="TableContents"/>
              <w:bidi w:val="0"/>
              <w:spacing w:before="0" w:after="283"/>
              <w:jc w:val="left"/>
              <w:rPr/>
            </w:pPr>
            <w:r>
              <w:rPr/>
              <w:t>Title: Co-CIO, Managing Director and Portfolio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Attn: Eventide Operations; Sean Mathew, CFO; Peter</w:t>
            </w:r>
          </w:p>
        </w:tc>
      </w:tr>
      <w:tr>
        <w:trPr/>
        <w:tc>
          <w:tcPr>
            <w:tcW w:w="4082" w:type="dxa"/>
            <w:gridSpan w:val="3"/>
            <w:tcBorders/>
          </w:tcPr>
          <w:p>
            <w:pPr>
              <w:pStyle w:val="TableContents"/>
              <w:bidi w:val="0"/>
              <w:spacing w:before="0" w:after="283"/>
              <w:jc w:val="left"/>
              <w:rPr/>
            </w:pPr>
            <w:r>
              <w:rPr/>
              <w:t>Luiso, General Counsel</w:t>
            </w:r>
          </w:p>
        </w:tc>
      </w:tr>
      <w:tr>
        <w:trPr/>
        <w:tc>
          <w:tcPr>
            <w:tcW w:w="4082" w:type="dxa"/>
            <w:gridSpan w:val="3"/>
            <w:tcBorders/>
          </w:tcPr>
          <w:p>
            <w:pPr>
              <w:pStyle w:val="TableContents"/>
              <w:bidi w:val="0"/>
              <w:spacing w:before="0" w:after="283"/>
              <w:jc w:val="left"/>
              <w:rPr/>
            </w:pPr>
            <w:r>
              <w:rPr/>
              <w:t>Eventide Healthcare Innovation Fund I LP</w:t>
            </w:r>
          </w:p>
        </w:tc>
      </w:tr>
      <w:tr>
        <w:trPr/>
        <w:tc>
          <w:tcPr>
            <w:tcW w:w="4082" w:type="dxa"/>
            <w:gridSpan w:val="3"/>
            <w:tcBorders/>
          </w:tcPr>
          <w:p>
            <w:pPr>
              <w:pStyle w:val="TableContents"/>
              <w:bidi w:val="0"/>
              <w:spacing w:before="0" w:after="283"/>
              <w:jc w:val="left"/>
              <w:rPr/>
            </w:pPr>
            <w:r>
              <w:rPr/>
              <w:t>c/o Eventide Asset Management, LLC</w:t>
            </w:r>
          </w:p>
        </w:tc>
      </w:tr>
      <w:tr>
        <w:trPr/>
        <w:tc>
          <w:tcPr>
            <w:tcW w:w="4082" w:type="dxa"/>
            <w:gridSpan w:val="3"/>
            <w:tcBorders/>
          </w:tcPr>
          <w:p>
            <w:pPr>
              <w:pStyle w:val="TableContents"/>
              <w:bidi w:val="0"/>
              <w:spacing w:before="0" w:after="283"/>
              <w:jc w:val="left"/>
              <w:rPr/>
            </w:pPr>
            <w:r>
              <w:rPr/>
              <w:t>1 International Place, Suite 4210,</w:t>
            </w:r>
          </w:p>
        </w:tc>
      </w:tr>
      <w:tr>
        <w:trPr/>
        <w:tc>
          <w:tcPr>
            <w:tcW w:w="4082" w:type="dxa"/>
            <w:gridSpan w:val="3"/>
            <w:tcBorders/>
          </w:tcPr>
          <w:p>
            <w:pPr>
              <w:pStyle w:val="TableContents"/>
              <w:bidi w:val="0"/>
              <w:spacing w:before="0" w:after="283"/>
              <w:jc w:val="left"/>
              <w:rPr/>
            </w:pPr>
            <w:r>
              <w:rPr/>
              <w:t>Boston, MA 02110</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MARKED BY </w:t>
      </w:r>
    </w:p>
    <w:p>
      <w:pPr>
        <w:pStyle w:val="TextBody"/>
        <w:bidi w:val="0"/>
        <w:spacing w:before="0" w:after="0"/>
        <w:jc w:val="center"/>
        <w:rPr>
          <w:rFonts w:ascii="Times New Roman" w:hAnsi="Times New Roman"/>
          <w:sz w:val="20"/>
        </w:rPr>
      </w:pPr>
      <w:r>
        <w:rPr>
          <w:rFonts w:ascii="Times New Roman" w:hAnsi="Times New Roman"/>
          <w:sz w:val="20"/>
        </w:rPr>
        <w:t xml:space="preserve">[***], HAS BEEN OMITTED BECAUSE IT IS BOTH (I) NOT MATERIAL AND (II) IS THE TYPE </w:t>
      </w:r>
    </w:p>
    <w:p>
      <w:pPr>
        <w:pStyle w:val="TextBody"/>
        <w:bidi w:val="0"/>
        <w:spacing w:before="0" w:after="0"/>
        <w:jc w:val="center"/>
        <w:rPr>
          <w:rFonts w:ascii="Times New Roman" w:hAnsi="Times New Roman"/>
          <w:sz w:val="20"/>
        </w:rPr>
      </w:pPr>
      <w:r>
        <w:rPr>
          <w:rFonts w:ascii="Times New Roman" w:hAnsi="Times New Roman"/>
          <w:sz w:val="20"/>
        </w:rPr>
        <w:t xml:space="preserve">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ATLAS PRIVATE HOLDINGS VIII, LLC</w:t>
            </w:r>
          </w:p>
        </w:tc>
      </w:tr>
      <w:tr>
        <w:trPr/>
        <w:tc>
          <w:tcPr>
            <w:tcW w:w="4082" w:type="dxa"/>
            <w:gridSpan w:val="3"/>
            <w:tcBorders/>
          </w:tcPr>
          <w:p>
            <w:pPr>
              <w:pStyle w:val="TableContents"/>
              <w:bidi w:val="0"/>
              <w:spacing w:before="0" w:after="283"/>
              <w:jc w:val="left"/>
              <w:rPr/>
            </w:pPr>
            <w:r>
              <w:rPr/>
              <w:t>By: Balyasny Asset Management L.P., its investment adviser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Romis</w:t>
            </w:r>
          </w:p>
        </w:tc>
      </w:tr>
      <w:tr>
        <w:trPr/>
        <w:tc>
          <w:tcPr>
            <w:tcW w:w="4082" w:type="dxa"/>
            <w:gridSpan w:val="3"/>
            <w:tcBorders/>
          </w:tcPr>
          <w:p>
            <w:pPr>
              <w:pStyle w:val="TableContents"/>
              <w:bidi w:val="0"/>
              <w:spacing w:before="0" w:after="283"/>
              <w:jc w:val="left"/>
              <w:rPr/>
            </w:pPr>
            <w:r>
              <w:rPr/>
              <w:t>Name: Mark Romis</w:t>
            </w:r>
          </w:p>
        </w:tc>
      </w:tr>
      <w:tr>
        <w:trPr/>
        <w:tc>
          <w:tcPr>
            <w:tcW w:w="4082" w:type="dxa"/>
            <w:gridSpan w:val="3"/>
            <w:tcBorders/>
          </w:tcPr>
          <w:p>
            <w:pPr>
              <w:pStyle w:val="TableContents"/>
              <w:bidi w:val="0"/>
              <w:spacing w:before="0" w:after="283"/>
              <w:jc w:val="left"/>
              <w:rPr/>
            </w:pPr>
            <w:r>
              <w:rPr/>
              <w:t>Title: Head of Legal, Investment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c/o Balyasny Asset Management L.P.</w:t>
            </w:r>
          </w:p>
        </w:tc>
      </w:tr>
      <w:tr>
        <w:trPr/>
        <w:tc>
          <w:tcPr>
            <w:tcW w:w="4082" w:type="dxa"/>
            <w:gridSpan w:val="3"/>
            <w:tcBorders/>
          </w:tcPr>
          <w:p>
            <w:pPr>
              <w:pStyle w:val="TableContents"/>
              <w:bidi w:val="0"/>
              <w:spacing w:before="0" w:after="283"/>
              <w:jc w:val="left"/>
              <w:rPr/>
            </w:pPr>
            <w:r>
              <w:rPr/>
              <w:t>444 West Lake Street, 50th Floor</w:t>
            </w:r>
          </w:p>
        </w:tc>
      </w:tr>
      <w:tr>
        <w:trPr/>
        <w:tc>
          <w:tcPr>
            <w:tcW w:w="4082" w:type="dxa"/>
            <w:gridSpan w:val="3"/>
            <w:tcBorders/>
          </w:tcPr>
          <w:p>
            <w:pPr>
              <w:pStyle w:val="TableContents"/>
              <w:bidi w:val="0"/>
              <w:spacing w:before="0" w:after="283"/>
              <w:jc w:val="left"/>
              <w:rPr/>
            </w:pPr>
            <w:r>
              <w:rPr/>
              <w:t>Chicago, IL 60606</w:t>
            </w:r>
          </w:p>
        </w:tc>
      </w:tr>
      <w:tr>
        <w:trPr/>
        <w:tc>
          <w:tcPr>
            <w:tcW w:w="4082" w:type="dxa"/>
            <w:gridSpan w:val="3"/>
            <w:tcBorders/>
          </w:tcPr>
          <w:p>
            <w:pPr>
              <w:pStyle w:val="TableContents"/>
              <w:bidi w:val="0"/>
              <w:spacing w:before="0" w:after="283"/>
              <w:jc w:val="left"/>
              <w:rPr/>
            </w:pPr>
            <w:r>
              <w:rPr/>
              <w:t>Attn: Legal Department</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AEF PLUS PRIVATES FUND, LLC</w:t>
            </w:r>
          </w:p>
        </w:tc>
      </w:tr>
      <w:tr>
        <w:trPr/>
        <w:tc>
          <w:tcPr>
            <w:tcW w:w="4082" w:type="dxa"/>
            <w:gridSpan w:val="3"/>
            <w:tcBorders/>
          </w:tcPr>
          <w:p>
            <w:pPr>
              <w:pStyle w:val="TableContents"/>
              <w:bidi w:val="0"/>
              <w:spacing w:before="0" w:after="283"/>
              <w:jc w:val="left"/>
              <w:rPr/>
            </w:pPr>
            <w:r>
              <w:rPr/>
              <w:t>By: Balyasny Asset Management L.P., its investment adviser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Romis</w:t>
            </w:r>
          </w:p>
        </w:tc>
      </w:tr>
      <w:tr>
        <w:trPr/>
        <w:tc>
          <w:tcPr>
            <w:tcW w:w="4082" w:type="dxa"/>
            <w:gridSpan w:val="3"/>
            <w:tcBorders/>
          </w:tcPr>
          <w:p>
            <w:pPr>
              <w:pStyle w:val="TableContents"/>
              <w:bidi w:val="0"/>
              <w:spacing w:before="0" w:after="283"/>
              <w:jc w:val="left"/>
              <w:rPr/>
            </w:pPr>
            <w:r>
              <w:rPr/>
              <w:t>Name: Mark Romis</w:t>
            </w:r>
          </w:p>
        </w:tc>
      </w:tr>
      <w:tr>
        <w:trPr/>
        <w:tc>
          <w:tcPr>
            <w:tcW w:w="4082" w:type="dxa"/>
            <w:gridSpan w:val="3"/>
            <w:tcBorders/>
          </w:tcPr>
          <w:p>
            <w:pPr>
              <w:pStyle w:val="TableContents"/>
              <w:bidi w:val="0"/>
              <w:spacing w:before="0" w:after="283"/>
              <w:jc w:val="left"/>
              <w:rPr/>
            </w:pPr>
            <w:r>
              <w:rPr/>
              <w:t>Title: Head of Legal, Investment Funds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c/o Balyasny Asset Management L.P.</w:t>
            </w:r>
          </w:p>
        </w:tc>
      </w:tr>
      <w:tr>
        <w:trPr/>
        <w:tc>
          <w:tcPr>
            <w:tcW w:w="4082" w:type="dxa"/>
            <w:gridSpan w:val="3"/>
            <w:tcBorders/>
          </w:tcPr>
          <w:p>
            <w:pPr>
              <w:pStyle w:val="TableContents"/>
              <w:bidi w:val="0"/>
              <w:spacing w:before="0" w:after="283"/>
              <w:jc w:val="left"/>
              <w:rPr/>
            </w:pPr>
            <w:r>
              <w:rPr/>
              <w:t>444 West Lake Street, 50th Floor</w:t>
            </w:r>
          </w:p>
        </w:tc>
      </w:tr>
      <w:tr>
        <w:trPr/>
        <w:tc>
          <w:tcPr>
            <w:tcW w:w="4082" w:type="dxa"/>
            <w:gridSpan w:val="3"/>
            <w:tcBorders/>
          </w:tcPr>
          <w:p>
            <w:pPr>
              <w:pStyle w:val="TableContents"/>
              <w:bidi w:val="0"/>
              <w:spacing w:before="0" w:after="283"/>
              <w:jc w:val="left"/>
              <w:rPr/>
            </w:pPr>
            <w:r>
              <w:rPr/>
              <w:t>Chicago, IL 60606</w:t>
            </w:r>
          </w:p>
        </w:tc>
      </w:tr>
      <w:tr>
        <w:trPr/>
        <w:tc>
          <w:tcPr>
            <w:tcW w:w="4082" w:type="dxa"/>
            <w:gridSpan w:val="3"/>
            <w:tcBorders/>
          </w:tcPr>
          <w:p>
            <w:pPr>
              <w:pStyle w:val="TableContents"/>
              <w:bidi w:val="0"/>
              <w:spacing w:before="0" w:after="283"/>
              <w:jc w:val="left"/>
              <w:rPr/>
            </w:pPr>
            <w:r>
              <w:rPr/>
              <w:t>Attn: Legal Department</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8"/>
        <w:gridCol w:w="90"/>
        <w:gridCol w:w="3414"/>
      </w:tblGrid>
      <w:tr>
        <w:trPr/>
        <w:tc>
          <w:tcPr>
            <w:tcW w:w="57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YOLTECH THERAPEUTICS CO., LTD.</w:t>
            </w:r>
          </w:p>
        </w:tc>
      </w:tr>
      <w:tr>
        <w:trPr>
          <w:trHeight w:val="240" w:hRule="atLeast"/>
        </w:trPr>
        <w:tc>
          <w:tcPr>
            <w:tcW w:w="578" w:type="dxa"/>
            <w:tcBorders/>
            <w:vAlign w:val="center"/>
          </w:tcPr>
          <w:p>
            <w:pPr>
              <w:pStyle w:val="TableContents"/>
              <w:bidi w:val="0"/>
              <w:spacing w:before="0" w:after="283"/>
              <w:jc w:val="left"/>
              <w:rPr>
                <w:sz w:val="4"/>
                <w:szCs w:val="4"/>
              </w:rPr>
            </w:pPr>
            <w:r>
              <w:rPr>
                <w:sz w:val="4"/>
                <w:szCs w:val="4"/>
              </w:rPr>
            </w:r>
          </w:p>
        </w:tc>
        <w:tc>
          <w:tcPr>
            <w:tcW w:w="3504"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Yuxuan Wu</w:t>
            </w:r>
          </w:p>
        </w:tc>
      </w:tr>
      <w:tr>
        <w:trPr/>
        <w:tc>
          <w:tcPr>
            <w:tcW w:w="4082" w:type="dxa"/>
            <w:gridSpan w:val="3"/>
            <w:tcBorders/>
          </w:tcPr>
          <w:p>
            <w:pPr>
              <w:pStyle w:val="TableContents"/>
              <w:bidi w:val="0"/>
              <w:spacing w:before="0" w:after="283"/>
              <w:jc w:val="left"/>
              <w:rPr/>
            </w:pPr>
            <w:r>
              <w:rPr/>
              <w:t>Name: Yuxuan Wu</w:t>
            </w:r>
          </w:p>
        </w:tc>
      </w:tr>
      <w:tr>
        <w:trPr/>
        <w:tc>
          <w:tcPr>
            <w:tcW w:w="4082" w:type="dxa"/>
            <w:gridSpan w:val="3"/>
            <w:tcBorders/>
          </w:tcPr>
          <w:p>
            <w:pPr>
              <w:pStyle w:val="TableContents"/>
              <w:bidi w:val="0"/>
              <w:spacing w:before="0" w:after="283"/>
              <w:jc w:val="left"/>
              <w:rPr/>
            </w:pPr>
            <w:r>
              <w:rPr/>
              <w:t>Title: Legal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YolTech Therapeutics Co., Ltd.</w:t>
            </w:r>
          </w:p>
        </w:tc>
      </w:tr>
      <w:tr>
        <w:trPr/>
        <w:tc>
          <w:tcPr>
            <w:tcW w:w="4082" w:type="dxa"/>
            <w:gridSpan w:val="3"/>
            <w:tcBorders/>
          </w:tcPr>
          <w:p>
            <w:pPr>
              <w:pStyle w:val="TableContents"/>
              <w:bidi w:val="0"/>
              <w:spacing w:before="0" w:after="283"/>
              <w:jc w:val="left"/>
              <w:rPr/>
            </w:pPr>
            <w:r>
              <w:rPr/>
              <w:t>12F, Building A, 58 Tanzhu Rd.,</w:t>
            </w:r>
          </w:p>
        </w:tc>
      </w:tr>
      <w:tr>
        <w:trPr/>
        <w:tc>
          <w:tcPr>
            <w:tcW w:w="4082" w:type="dxa"/>
            <w:gridSpan w:val="3"/>
            <w:tcBorders/>
          </w:tcPr>
          <w:p>
            <w:pPr>
              <w:pStyle w:val="TableContents"/>
              <w:bidi w:val="0"/>
              <w:spacing w:before="0" w:after="283"/>
              <w:jc w:val="left"/>
              <w:rPr/>
            </w:pPr>
            <w:r>
              <w:rPr/>
              <w:t>Minhang District, Shanghai</w:t>
            </w:r>
          </w:p>
        </w:tc>
      </w:tr>
      <w:tr>
        <w:trPr/>
        <w:tc>
          <w:tcPr>
            <w:tcW w:w="4082" w:type="dxa"/>
            <w:gridSpan w:val="3"/>
            <w:tcBorders/>
          </w:tcPr>
          <w:p>
            <w:pPr>
              <w:pStyle w:val="TableContents"/>
              <w:bidi w:val="0"/>
              <w:spacing w:before="0" w:after="283"/>
              <w:jc w:val="left"/>
              <w:rPr/>
            </w:pPr>
            <w:r>
              <w:rPr/>
              <w:t>People’s Republic of China</w:t>
            </w:r>
          </w:p>
        </w:tc>
      </w:tr>
    </w:tbl>
    <w:p>
      <w:pPr>
        <w:pStyle w:val="TextBody"/>
        <w:bidi w:val="0"/>
        <w:spacing w:before="0" w:after="0"/>
        <w:jc w:val="left"/>
        <w:rPr/>
      </w:pPr>
      <w:r>
        <w:rPr/>
        <w:t> </w:t>
      </w:r>
    </w:p>
    <w:p>
      <w:pPr>
        <w:pStyle w:val="TextBody"/>
        <w:bidi w:val="0"/>
        <w:spacing w:before="3600" w:after="0"/>
        <w:jc w:val="center"/>
        <w:rPr>
          <w:rFonts w:ascii="Times New Roman" w:hAnsi="Times New Roman"/>
          <w:sz w:val="20"/>
        </w:rPr>
      </w:pPr>
      <w:r>
        <w:rPr>
          <w:rFonts w:ascii="Times New Roman" w:hAnsi="Times New Roman"/>
          <w:sz w:val="20"/>
        </w:rPr>
        <w:t xml:space="preserve">SIGNATURE PAGE TO INVESTORS’ RIGHTS AGREEMENT </w:t>
      </w:r>
    </w:p>
    <w:p>
      <w:pPr>
        <w:pStyle w:val="TextBody"/>
        <w:bidi w:val="0"/>
        <w:spacing w:before="0" w:after="0"/>
        <w:jc w:val="right"/>
        <w:rPr>
          <w:rFonts w:ascii="Times New Roman" w:hAnsi="Times New Roman"/>
          <w:b/>
          <w:sz w:val="20"/>
        </w:rPr>
      </w:pPr>
      <w:bookmarkStart w:id="257" w:name="d108148dex105.htm"/>
      <w:bookmarkStart w:id="258" w:name="ksd108148dex105"/>
      <w:bookmarkEnd w:id="257"/>
      <w:bookmarkEnd w:id="258"/>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EXCLUSIVE LICENSE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YolTech Therapeutics Co.,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w:t>
      </w:r>
    </w:p>
    <w:p>
      <w:pPr>
        <w:pStyle w:val="TextBody"/>
        <w:bidi w:val="0"/>
        <w:spacing w:before="240" w:after="0"/>
        <w:jc w:val="center"/>
        <w:rPr>
          <w:rFonts w:ascii="Times New Roman" w:hAnsi="Times New Roman"/>
          <w:b/>
          <w:sz w:val="20"/>
        </w:rPr>
      </w:pPr>
      <w:r>
        <w:rPr>
          <w:rFonts w:ascii="Times New Roman" w:hAnsi="Times New Roman"/>
          <w:b/>
          <w:sz w:val="20"/>
        </w:rPr>
        <w:t xml:space="preserve">June 12,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
        <w:gridCol w:w="79"/>
        <w:gridCol w:w="8973"/>
        <w:gridCol w:w="136"/>
        <w:gridCol w:w="96"/>
        <w:gridCol w:w="419"/>
        <w:gridCol w:w="63"/>
      </w:tblGrid>
      <w:tr>
        <w:trPr/>
        <w:tc>
          <w:tcPr>
            <w:tcW w:w="43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97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LICENSE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License Grants to Company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Sublicenses to Third Parties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Right to Subcontract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Disclosure of the Licensed Technology and Transfer of Licensed Know-How</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License Grants to Licensor</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Sublicensing in Retained Territory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Non-Compete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 Implied Licenses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GOVERNANCE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Joint Steering Committee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JSC Decision-Making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DEVELOPMENT AND REGULATORY MATTERS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Company Development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Licensor Development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Development Updates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Regulatory Activities in the Licensed Territory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Right of Reference and Use of Data</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Transfer of IND</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Adverse Events and Safety Data Reporting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Notice of Regulatory Action</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MANUFACTURE AND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Company Manufacturing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Clinical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Commercial Supply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Manufacturing Technology Transfer</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05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79" w:type="dxa"/>
            <w:tcBorders/>
            <w:vAlign w:val="bottom"/>
          </w:tcPr>
          <w:p>
            <w:pPr>
              <w:pStyle w:val="TableContents"/>
              <w:bidi w:val="0"/>
              <w:spacing w:before="0" w:after="283"/>
              <w:jc w:val="left"/>
              <w:rPr/>
            </w:pPr>
            <w:r>
              <w:rPr/>
              <w:t> </w:t>
            </w:r>
          </w:p>
        </w:tc>
        <w:tc>
          <w:tcPr>
            <w:tcW w:w="8973" w:type="dxa"/>
            <w:tcBorders/>
            <w:vAlign w:val="bottom"/>
          </w:tcPr>
          <w:p>
            <w:pPr>
              <w:pStyle w:val="TableContents"/>
              <w:bidi w:val="0"/>
              <w:spacing w:before="0" w:after="283"/>
              <w:jc w:val="left"/>
              <w:rPr/>
            </w:pPr>
            <w:r>
              <w:rPr/>
              <w:t>Cooperation and Assistance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
        <w:gridCol w:w="104"/>
        <w:gridCol w:w="8616"/>
        <w:gridCol w:w="157"/>
        <w:gridCol w:w="96"/>
        <w:gridCol w:w="421"/>
        <w:gridCol w:w="64"/>
      </w:tblGrid>
      <w:tr>
        <w:trPr/>
        <w:tc>
          <w:tcPr>
            <w:tcW w:w="74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861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COMMERCIALIZATION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Commercialization Activities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Diversion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Upfront Payment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Equity Investment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Development and Regulatory Milestones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Sales Milestones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Royalty Payments to Licensor</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Royalty Reports and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Third Party Payments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Floor on Royalty Reductions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Downstream Transaction Revenue Share</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Payment Method, Currency, and Exchange Rate</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Disputed Amounts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Taxes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Financial Audits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Interest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CONFIDENTIALITY; PUBLICATION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Confidential Information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Non-Disclosure and Non-Use Obligation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Exemption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Permitted Disclosures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Disclosure of Agreement</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Publicity; Use of Name and Logo</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Publications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Survival; Return of Confidential Information</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REPRESENTATIONS, WARRANTIES, AND COVENANTS</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Representations, Warranties of Each Party</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747" w:type="dxa"/>
            <w:tcBorders/>
            <w:vAlign w:val="center"/>
          </w:tcPr>
          <w:p>
            <w:pPr>
              <w:pStyle w:val="TableContents"/>
              <w:bidi w:val="0"/>
              <w:spacing w:before="0" w:after="283"/>
              <w:jc w:val="left"/>
              <w:rPr>
                <w:sz w:val="4"/>
                <w:szCs w:val="4"/>
              </w:rPr>
            </w:pPr>
            <w:r>
              <w:rPr>
                <w:sz w:val="4"/>
                <w:szCs w:val="4"/>
              </w:rPr>
            </w:r>
          </w:p>
        </w:tc>
        <w:tc>
          <w:tcPr>
            <w:tcW w:w="8720"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747"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04" w:type="dxa"/>
            <w:tcBorders/>
            <w:vAlign w:val="bottom"/>
          </w:tcPr>
          <w:p>
            <w:pPr>
              <w:pStyle w:val="TableContents"/>
              <w:bidi w:val="0"/>
              <w:spacing w:before="0" w:after="283"/>
              <w:jc w:val="left"/>
              <w:rPr/>
            </w:pPr>
            <w:r>
              <w:rPr/>
              <w:t> </w:t>
            </w:r>
          </w:p>
        </w:tc>
        <w:tc>
          <w:tcPr>
            <w:tcW w:w="8616" w:type="dxa"/>
            <w:tcBorders/>
            <w:vAlign w:val="bottom"/>
          </w:tcPr>
          <w:p>
            <w:pPr>
              <w:pStyle w:val="TableContents"/>
              <w:bidi w:val="0"/>
              <w:spacing w:before="0" w:after="283"/>
              <w:jc w:val="left"/>
              <w:rPr/>
            </w:pPr>
            <w:r>
              <w:rPr/>
              <w:t>Representations and Warranties of Licensor</w:t>
            </w:r>
          </w:p>
        </w:tc>
        <w:tc>
          <w:tcPr>
            <w:tcW w:w="1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9"/>
        <w:gridCol w:w="115"/>
        <w:gridCol w:w="8502"/>
        <w:gridCol w:w="167"/>
        <w:gridCol w:w="96"/>
        <w:gridCol w:w="422"/>
        <w:gridCol w:w="64"/>
      </w:tblGrid>
      <w:tr>
        <w:trPr/>
        <w:tc>
          <w:tcPr>
            <w:tcW w:w="839"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5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Covenant of Each Party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Covenant of Licensor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Compliance with Law</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Data Transfer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NO OTHER WARRANTIES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INDEMNIFICATION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By Company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By Licensor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Indemnification Procedure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Mitigation of Loss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Limitation of Liability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Insurance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INTELLECTUAL PROPERTY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Ownership</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Patent Prosecution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Patent Enforcement</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Infringement of Third Party Rights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TERMS AND 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Term</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Effect of Termination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Rights in Insolvency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Accrued Rights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12.6</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Survival</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9456" w:type="dxa"/>
            <w:gridSpan w:val="3"/>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Force Majeure</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Export Control</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13.3</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Assignment</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13.4</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Severability</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0"/>
              <w:jc w:val="left"/>
              <w:rPr>
                <w:rFonts w:ascii="Times New Roman" w:hAnsi="Times New Roman"/>
                <w:sz w:val="20"/>
              </w:rPr>
            </w:pPr>
            <w:r>
              <w:rPr>
                <w:rFonts w:ascii="Times New Roman" w:hAnsi="Times New Roman"/>
                <w:sz w:val="20"/>
              </w:rPr>
              <w:t>13.5</w:t>
            </w:r>
          </w:p>
        </w:tc>
        <w:tc>
          <w:tcPr>
            <w:tcW w:w="115"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pPr>
            <w:r>
              <w:rPr/>
              <w:t>Notices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
        <w:gridCol w:w="116"/>
        <w:gridCol w:w="8405"/>
        <w:gridCol w:w="167"/>
        <w:gridCol w:w="96"/>
        <w:gridCol w:w="420"/>
        <w:gridCol w:w="65"/>
      </w:tblGrid>
      <w:tr>
        <w:trPr/>
        <w:tc>
          <w:tcPr>
            <w:tcW w:w="93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840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3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13.6</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Governing Law</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13.7</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Dispute Resolution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13.8</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Entire Agreement; Amendments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13.9</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Headings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13.10</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Independent Contractors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13.11</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Waiver</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13.12</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Waiver of Rule of Construction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13.13</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Cumulative Remedies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13.14</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Business Day Requirements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13.15</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Further Actions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13.16</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Construction</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rHeight w:val="120" w:hRule="atLeast"/>
        </w:trPr>
        <w:tc>
          <w:tcPr>
            <w:tcW w:w="936"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748" w:type="dxa"/>
            <w:gridSpan w:val="4"/>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0"/>
              <w:jc w:val="left"/>
              <w:rPr>
                <w:rFonts w:ascii="Times New Roman" w:hAnsi="Times New Roman"/>
                <w:sz w:val="20"/>
              </w:rPr>
            </w:pPr>
            <w:r>
              <w:rPr>
                <w:rFonts w:ascii="Times New Roman" w:hAnsi="Times New Roman"/>
                <w:sz w:val="20"/>
              </w:rPr>
              <w:t>13.17</w:t>
            </w:r>
          </w:p>
        </w:tc>
        <w:tc>
          <w:tcPr>
            <w:tcW w:w="116" w:type="dxa"/>
            <w:tcBorders/>
            <w:vAlign w:val="bottom"/>
          </w:tcPr>
          <w:p>
            <w:pPr>
              <w:pStyle w:val="TableContents"/>
              <w:bidi w:val="0"/>
              <w:spacing w:before="0" w:after="283"/>
              <w:jc w:val="left"/>
              <w:rPr/>
            </w:pPr>
            <w:r>
              <w:rPr/>
              <w:t> </w:t>
            </w:r>
          </w:p>
        </w:tc>
        <w:tc>
          <w:tcPr>
            <w:tcW w:w="8405" w:type="dxa"/>
            <w:tcBorders/>
            <w:vAlign w:val="bottom"/>
          </w:tcPr>
          <w:p>
            <w:pPr>
              <w:pStyle w:val="TableContents"/>
              <w:bidi w:val="0"/>
              <w:spacing w:before="0" w:after="283"/>
              <w:jc w:val="left"/>
              <w:rPr/>
            </w:pPr>
            <w:r>
              <w:rPr/>
              <w:t>Counterparts</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EXCLUSIVE LICENSE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is made as of June 12, 2026 (the “</w:t>
      </w:r>
      <w:r>
        <w:rPr>
          <w:rFonts w:ascii="Times New Roman" w:hAnsi="Times New Roman"/>
          <w:b/>
          <w:i/>
          <w:sz w:val="20"/>
        </w:rPr>
        <w:t>Effective Date</w:t>
      </w:r>
      <w:r>
        <w:rPr>
          <w:rFonts w:ascii="Times New Roman" w:hAnsi="Times New Roman"/>
          <w:sz w:val="20"/>
        </w:rPr>
        <w:t xml:space="preserve">”), by and between </w:t>
      </w:r>
      <w:r>
        <w:rPr>
          <w:rFonts w:ascii="Times New Roman" w:hAnsi="Times New Roman"/>
          <w:b/>
          <w:sz w:val="20"/>
        </w:rPr>
        <w:t>RTW NEWCO10, INC.</w:t>
      </w:r>
      <w:r>
        <w:rPr>
          <w:rFonts w:ascii="Times New Roman" w:hAnsi="Times New Roman"/>
          <w:sz w:val="20"/>
        </w:rPr>
        <w:t>, a Delaware corporation (“</w:t>
      </w:r>
      <w:r>
        <w:rPr>
          <w:rFonts w:ascii="Times New Roman" w:hAnsi="Times New Roman"/>
          <w:b/>
          <w:i/>
          <w:sz w:val="20"/>
        </w:rPr>
        <w:t>Company</w:t>
      </w:r>
      <w:r>
        <w:rPr>
          <w:rFonts w:ascii="Times New Roman" w:hAnsi="Times New Roman"/>
          <w:sz w:val="20"/>
        </w:rPr>
        <w:t xml:space="preserve">”), having a place of business at c/o RTW Investments, LP, 40 10th Avenue, Floor 7, New York, NY 10014, USA, and </w:t>
      </w:r>
      <w:r>
        <w:rPr>
          <w:rFonts w:ascii="Times New Roman" w:hAnsi="Times New Roman"/>
          <w:b/>
          <w:sz w:val="20"/>
        </w:rPr>
        <w:t>YOLTECH THERAPEUTICS CO., LTD</w:t>
      </w:r>
      <w:r>
        <w:rPr>
          <w:rFonts w:ascii="Times New Roman" w:hAnsi="Times New Roman"/>
          <w:sz w:val="20"/>
        </w:rPr>
        <w:t>, a company incorporated under the laws of the People’s Republic of China (“</w:t>
      </w:r>
      <w:r>
        <w:rPr>
          <w:rFonts w:ascii="Times New Roman" w:hAnsi="Times New Roman"/>
          <w:b/>
          <w:i/>
          <w:sz w:val="20"/>
        </w:rPr>
        <w:t>Licensor</w:t>
      </w:r>
      <w:r>
        <w:rPr>
          <w:rFonts w:ascii="Times New Roman" w:hAnsi="Times New Roman"/>
          <w:sz w:val="20"/>
        </w:rPr>
        <w:t>”), having a place of business at Room 605, Building 5, No. 799 Dangui Road, China (Shanghai) Pilot Free Trade Zone, Pudong New Area, Shanghai 201203, the People’s Republic of China. Licensor and Company are referred to in this Agreement individually as a “</w:t>
      </w:r>
      <w:r>
        <w:rPr>
          <w:rFonts w:ascii="Times New Roman" w:hAnsi="Times New Roman"/>
          <w:b/>
          <w:i/>
          <w:sz w:val="20"/>
        </w:rPr>
        <w:t>Party</w:t>
      </w:r>
      <w:r>
        <w:rPr>
          <w:rFonts w:ascii="Times New Roman" w:hAnsi="Times New Roman"/>
          <w:sz w:val="20"/>
        </w:rPr>
        <w:t>” and collectively as the “</w:t>
      </w:r>
      <w:r>
        <w:rPr>
          <w:rFonts w:ascii="Times New Roman" w:hAnsi="Times New Roman"/>
          <w:b/>
          <w:i/>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Licensor is a gene editing company that Controls (as defined below) the intellectual property and other rights related to YOLT-202, Licensor’s investigational in vivo base-editing therapeutic;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Company is a biotech company focusing on the development and commercialization of biopharmaceutical products;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Company is interested in obtaining an exclusive license under such intellectual property and other rights Controlled by Licensor to Develop and Commercialize Licensed Product in the Field in the Licensed Territory (each capitalized term as defined below), and Licensor is willing to grant such an exclusive license to Company, subject to the terms and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premises and the covenants contained herein,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specifically set forth to the contrary herein, the following terms, whether used in the singular or plural, shall have the respective meanings set forth below: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i/>
          <w:sz w:val="20"/>
        </w:rPr>
        <w:t>AATD</w:t>
      </w:r>
      <w:r>
        <w:rPr>
          <w:rFonts w:ascii="Times New Roman" w:hAnsi="Times New Roman"/>
          <w:sz w:val="20"/>
        </w:rPr>
        <w:t xml:space="preserve">” means Alpha-1 Antitrypsin Deficiency.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i/>
          <w:sz w:val="20"/>
        </w:rPr>
        <w:t>Acquiror</w:t>
      </w:r>
      <w:r>
        <w:rPr>
          <w:rFonts w:ascii="Times New Roman" w:hAnsi="Times New Roman"/>
          <w:sz w:val="20"/>
        </w:rPr>
        <w:t xml:space="preserve">” means, collectively, (a) a Third Party that acquires a Party (and is therefore deemed to be an Affiliate of such Party) through a Change of Control of such Party (or its controlling Affiliate), and (b) any Affiliate of such Third Party acquiror described in (a), other than the acquired Party and any of the acquired Party’s Affiliates existing immediately prior to the consummation of such Change of Control.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with respect to an entity, any corporation, firm, partnership or other entity which directly or indirectly through one or more intermediaries controls, is controlled by or is under common control with such entity, in each case, for so long as such control exists. An entity will be deemed to control another entity if it (a) owns, directly or indirectly, more than fifty percent (50%) of the outstanding voting securities (or such lesser percentage which is the maximum allowed to be owned by a foreign corporation in a particular jurisdiction) of such other entity, or has other comparable ownership interest with respect to any entity other than a corporation; or (b) has the power, whether pursuant to contract, ownership of securities or otherwise, to direct the management and policies of the entity. Notwithstanding the foregoing, Affiliates of Company do not include [***], or any portfolio company of any such entity, except for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i/>
          <w:sz w:val="20"/>
        </w:rPr>
        <w:t>Anti-Corruption Laws</w:t>
      </w:r>
      <w:r>
        <w:rPr>
          <w:rFonts w:ascii="Times New Roman" w:hAnsi="Times New Roman"/>
          <w:sz w:val="20"/>
        </w:rPr>
        <w:t xml:space="preserve">” means the Criminal Law and the Anti-unfair Competition Law in mainland China, the U.S. Foreign Corrupt Practices Act, as amended, and any other applicable anti-corruption laws and laws for the prevention of fraud, racketeering, money laundering or terrorism.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i/>
          <w:sz w:val="20"/>
        </w:rPr>
        <w:t>Applicable Laws</w:t>
      </w:r>
      <w:r>
        <w:rPr>
          <w:rFonts w:ascii="Times New Roman" w:hAnsi="Times New Roman"/>
          <w:sz w:val="20"/>
        </w:rPr>
        <w:t xml:space="preserve">” means collectively all laws, regulations, ordinances, decrees, judicial and administrative orders (and any license, franchise, permit or similar right granted under any of the foregoing) and any policies and other requirements of any applicable Governmental Authority that govern or otherwise apply to a Party’s activities in connection with this Agreement.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i/>
          <w:sz w:val="20"/>
        </w:rPr>
        <w:t>Applicable Territory</w:t>
      </w:r>
      <w:r>
        <w:rPr>
          <w:rFonts w:ascii="Times New Roman" w:hAnsi="Times New Roman"/>
          <w:sz w:val="20"/>
        </w:rPr>
        <w:t xml:space="preserve">” means (a) with respect to Company, the Licensed Territory, and (b) with respect to Licensor, the Retained Territory.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i/>
          <w:sz w:val="20"/>
        </w:rPr>
        <w:t>Biosimilar Product</w:t>
      </w:r>
      <w:r>
        <w:rPr>
          <w:rFonts w:ascii="Times New Roman" w:hAnsi="Times New Roman"/>
          <w:sz w:val="20"/>
        </w:rPr>
        <w:t>” means, with respect to a Licensed Product in a country, any generic, biosimilar or interchangeable product sold by a Third Party that is authorized for sale by the applicable Regulatory Authority in such country and that (a) received marketing approval for administration to humans based on an application that cited the Licensed Product as the reference product under Section 351(k) of the United States Public Health Service Act, as may be amended, or any subsequent or superseding law, statute or regulation (“</w:t>
      </w:r>
      <w:r>
        <w:rPr>
          <w:rFonts w:ascii="Times New Roman" w:hAnsi="Times New Roman"/>
          <w:b/>
          <w:i/>
          <w:sz w:val="20"/>
        </w:rPr>
        <w:t>PHSA</w:t>
      </w:r>
      <w:r>
        <w:rPr>
          <w:rFonts w:ascii="Times New Roman" w:hAnsi="Times New Roman"/>
          <w:sz w:val="20"/>
        </w:rPr>
        <w:t xml:space="preserve">”) and is “biosimilar” (as defined in Section 351(i)(2) of the PHSA) or “interchangeable” (as defined in Section 351(i)(3) of the PHSA) with the Licensed Product; (b) has been licensed as a similar biological medicinal product using such Licensed Product as the reference product pursuant to Article 10 of Directive 2001/83/EC, as may be amended, or any subsequent or superseding law, statute or regulation; or (c) has otherwise received Regulatory Approval as a generic, biosimilar or interchangeable product from another applicable Regulatory Authority in such country by referencing Regulatory Approvals (or data therein) of such Licensed Product. Any product (including any Licensed Product) licensed, marketed, or sold by or on behalf of Company, its Affiliates or Sublicensees will not constitute a Biosimilar Product for purposes of the royalty reduction pursuant to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i/>
          <w:sz w:val="20"/>
        </w:rPr>
        <w:t>Business Day</w:t>
      </w:r>
      <w:r>
        <w:rPr>
          <w:rFonts w:ascii="Times New Roman" w:hAnsi="Times New Roman"/>
          <w:sz w:val="20"/>
        </w:rPr>
        <w:t xml:space="preserve">” means a day other than a Saturday, Sunday or a day on which banking institutions in the state of New York, USA or Shanghai, China are required by Applicable Laws to remain closed.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i/>
          <w:sz w:val="20"/>
        </w:rPr>
        <w:t>Calendar Quarter</w:t>
      </w:r>
      <w:r>
        <w:rPr>
          <w:rFonts w:ascii="Times New Roman" w:hAnsi="Times New Roman"/>
          <w:sz w:val="20"/>
        </w:rPr>
        <w:t xml:space="preserve">” means the respective periods of three (3) consecutive calendar months ending on March 31, June 30, September 30 and December 31, except that the first Calendar Quarter shall commence on the Effective Date and end on the first to occur of March 31, June 30, September 30 and December 31 after the Effective Date, and the last Calendar Quarter shall end on the last day of the Term.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i/>
          <w:sz w:val="20"/>
        </w:rPr>
        <w:t>Calendar Year</w:t>
      </w:r>
      <w:r>
        <w:rPr>
          <w:rFonts w:ascii="Times New Roman" w:hAnsi="Times New Roman"/>
          <w:sz w:val="20"/>
        </w:rPr>
        <w:t xml:space="preserve">” means each twelve (12) month period commencing on January 1, except that the first Calendar Year shall commence on the Effective Date and end on the first December 31 to occur after the Effective Date, and the last Calendar Year shall end on the last day of the Term. </w:t>
      </w:r>
    </w:p>
    <w:p>
      <w:pPr>
        <w:pStyle w:val="TextBody"/>
        <w:bidi w:val="0"/>
        <w:spacing w:before="24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i/>
          <w:sz w:val="20"/>
        </w:rPr>
        <w:t>cGMP</w:t>
      </w:r>
      <w:r>
        <w:rPr>
          <w:rFonts w:ascii="Times New Roman" w:hAnsi="Times New Roman"/>
          <w:sz w:val="20"/>
        </w:rPr>
        <w:t xml:space="preserve">” means all applicable current Good Manufacturing Practices, including, as applicable, (a) the principles detailed in the U.S. Current Good Manufacturing Practices, 21 C.F.R. Parts 4, 210, 211, 601, 610 and 820, (b) European Directive 2003/94/EC and Eudralex 4, (c) the principles detailed in the ICH Q7 of ICH Guidelines, and (d) the equivalent Applicable Laws in any relevant country or jurisdiction, each as may be amended and applicable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i/>
          <w:sz w:val="20"/>
        </w:rPr>
        <w:t>Change of Control</w:t>
      </w:r>
      <w:r>
        <w:rPr>
          <w:rFonts w:ascii="Times New Roman" w:hAnsi="Times New Roman"/>
          <w:sz w:val="20"/>
        </w:rPr>
        <w:t xml:space="preserve">” means, with respect to a Party, any of the following: (a) the sale or disposition of all or substantially all of the assets of such Party or its direct or indirect controlling Affiliate to a Third Party, other than to a Person of which more than fifty percent (50%) of the voting capital stock are owned after such sale or disposition by the Persons that were shareholders of such Party or its direct or indirect controlling Affiliate (in either case, whether directly or indirectly through any other Person) immediately prior to such transaction; or (b) (i) the acquisition by a Third Party, alone or together with any of its Affiliates, other than an employee benefit plan (or related trust) sponsored or maintained by such Party or any of its Affiliates, of more than fifty percent (50%) of the outstanding shares of voting capital stock of such Party or its direct or indirect controlling Affiliate, or (ii) the acquisition, merger or consolidation of such Party or its direct or indirect controlling Affiliate with or into another Person, other than, in the case of this clause (b), an acquisition or a merger or consolidation of such Party or its controlling Affiliate in which the holders of shares of voting capital stock of such Party or its controlling Affiliate,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Change of Control shall not include any transaction or series of transactions for bona fide financing purposes (including public offering and reverse merger) or tax purposes (including the change of place of incorporation or domicile).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i/>
          <w:sz w:val="20"/>
        </w:rPr>
        <w:t>Clinical Trial</w:t>
      </w:r>
      <w:r>
        <w:rPr>
          <w:rFonts w:ascii="Times New Roman" w:hAnsi="Times New Roman"/>
          <w:sz w:val="20"/>
        </w:rPr>
        <w:t xml:space="preserve">” means any clinical trial in humans of a pharmaceutical compound or product.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i/>
          <w:sz w:val="20"/>
        </w:rPr>
        <w:t>CMO</w:t>
      </w:r>
      <w:r>
        <w:rPr>
          <w:rFonts w:ascii="Times New Roman" w:hAnsi="Times New Roman"/>
          <w:sz w:val="20"/>
        </w:rPr>
        <w:t xml:space="preserve">” means a contract manufacturing organization. </w:t>
      </w:r>
    </w:p>
    <w:p>
      <w:pPr>
        <w:pStyle w:val="TextBody"/>
        <w:bidi w:val="0"/>
        <w:spacing w:before="24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i/>
          <w:sz w:val="20"/>
        </w:rPr>
        <w:t>COGS</w:t>
      </w:r>
      <w:r>
        <w:rPr>
          <w:rFonts w:ascii="Times New Roman" w:hAnsi="Times New Roman"/>
          <w:sz w:val="20"/>
        </w:rPr>
        <w:t xml:space="preserve">” means, with respect to the Licensed Therapeutic or Licensed Product supplied by or on behalf of Licensor to Company: </w:t>
      </w:r>
    </w:p>
    <w:p>
      <w:pPr>
        <w:pStyle w:val="TextBody"/>
        <w:bidi w:val="0"/>
        <w:spacing w:before="120" w:after="0"/>
        <w:jc w:val="left"/>
        <w:rPr>
          <w:rFonts w:ascii="Times New Roman" w:hAnsi="Times New Roman"/>
          <w:sz w:val="20"/>
        </w:rPr>
      </w:pPr>
      <w:r>
        <w:rPr>
          <w:rFonts w:ascii="Times New Roman" w:hAnsi="Times New Roman"/>
          <w:sz w:val="20"/>
        </w:rPr>
        <w:t xml:space="preserve">(a) [***]; and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i/>
          <w:sz w:val="20"/>
        </w:rPr>
        <w:t>Commercialize</w:t>
      </w:r>
      <w:r>
        <w:rPr>
          <w:rFonts w:ascii="Times New Roman" w:hAnsi="Times New Roman"/>
          <w:sz w:val="20"/>
        </w:rPr>
        <w:t>” or “</w:t>
      </w:r>
      <w:r>
        <w:rPr>
          <w:rFonts w:ascii="Times New Roman" w:hAnsi="Times New Roman"/>
          <w:b/>
          <w:i/>
          <w:sz w:val="20"/>
        </w:rPr>
        <w:t>Commercialization</w:t>
      </w:r>
      <w:r>
        <w:rPr>
          <w:rFonts w:ascii="Times New Roman" w:hAnsi="Times New Roman"/>
          <w:sz w:val="20"/>
        </w:rPr>
        <w:t xml:space="preserve">” means to market, promote, advertise, exhibit, distribute (including storage for distribution or inventory), detail, sell (including to offer for sale or contract to sell) or otherwise commercially exploit (including to conduct pricing and reimbursement activities) a pharmaceutical compound or product, or to conduct any activities directed to any of the foregoing (including importing and exporting activities in connection therewith).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i/>
          <w:sz w:val="20"/>
        </w:rPr>
        <w:t>Commercially Reasonable Efforts</w:t>
      </w:r>
      <w:r>
        <w:rPr>
          <w:rFonts w:ascii="Times New Roman" w:hAnsi="Times New Roman"/>
          <w:sz w:val="20"/>
        </w:rPr>
        <w:t xml:space="preserve">” means, with respect to a Party and the performance of an obligation under this Agreement, that level of efforts and resources consistent with the commercially reasonable practices normally devoted by a similarly situated company, as part of an active and continuing program of development and commercialization of a pharmaceutical product of similar market potential, at a similar stage in research, Development or Commercialization, as applicable, and at a similar stage of product life, taking into account all relevant factors, including the product’s advantages and disadvantages, efficacy, safety, Regulatory Authority-approved labeling and pricing (including any actual or anticipated changes in price or any limit on maximum reimbursement or price amount based on international reference pricing (including any “most favored nation” pricing limitation)), the competitiveness in the marketplace and other market conditions, the patent coverage and proprietary position of the product, the likelihood of Development success or Regulatory Approval, the regulatory structure involved, the anticipated profitability of the product, and all other factors or circumstances that may impact the Exploitation of a product, without taking into consideration the expected and actual milestones, royalties, and other payments to Licensor or to Third Parties under this Agreement or otherwise. Commercially Reasonable Efforts are expected to change over time, reflecting changes in the status of such product and the markets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i/>
          <w:sz w:val="20"/>
        </w:rPr>
        <w:t>Company IP</w:t>
      </w:r>
      <w:r>
        <w:rPr>
          <w:rFonts w:ascii="Times New Roman" w:hAnsi="Times New Roman"/>
          <w:sz w:val="20"/>
        </w:rPr>
        <w:t xml:space="preserve">” means all Know-How and Patents Rights that are Controlled by Company or any of its Affiliates during the Term that (a) are generated from the Exploitation of any Licensed Therapeutics or Licensed Products by or on behalf of Company, its Affiliates or Sublicensees, and are necessary to Develop, Manufacture or Commercialize any Licensed Therapeutics or any Licensed Products, or (b) are used in the Exploitation of any Licensed Therapeutics or Licensed Products by or on behalf of Company, its Affiliates or Sublicensees, but in each case (of (a) and (b)) excluding any Joint Foreground Know-How or Joint Foreground Patents. </w:t>
      </w:r>
    </w:p>
    <w:p>
      <w:pPr>
        <w:pStyle w:val="TextBody"/>
        <w:bidi w:val="0"/>
        <w:spacing w:before="24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i/>
          <w:sz w:val="20"/>
        </w:rPr>
        <w:t>Competing Product</w:t>
      </w:r>
      <w:r>
        <w:rPr>
          <w:rFonts w:ascii="Times New Roman" w:hAnsi="Times New Roman"/>
          <w:sz w:val="20"/>
        </w:rPr>
        <w:t xml:space="preserve">” means any [***] therapy that [***] in patients. </w:t>
      </w:r>
    </w:p>
    <w:p>
      <w:pPr>
        <w:pStyle w:val="TextBody"/>
        <w:bidi w:val="0"/>
        <w:spacing w:before="240" w:after="0"/>
        <w:jc w:val="left"/>
        <w:rPr>
          <w:rFonts w:ascii="Times New Roman" w:hAnsi="Times New Roman"/>
          <w:sz w:val="20"/>
        </w:rPr>
      </w:pPr>
      <w:r>
        <w:rPr>
          <w:rFonts w:ascii="Times New Roman" w:hAnsi="Times New Roman"/>
          <w:b/>
          <w:sz w:val="20"/>
        </w:rPr>
        <w:t>1.20</w:t>
      </w:r>
      <w:r>
        <w:rPr>
          <w:rFonts w:ascii="Times New Roman" w:hAnsi="Times New Roman"/>
          <w:sz w:val="20"/>
        </w:rPr>
        <w:t xml:space="preserve"> “</w:t>
      </w:r>
      <w:r>
        <w:rPr>
          <w:rFonts w:ascii="Times New Roman" w:hAnsi="Times New Roman"/>
          <w:b/>
          <w:i/>
          <w:sz w:val="20"/>
        </w:rPr>
        <w:t>Control</w:t>
      </w:r>
      <w:r>
        <w:rPr>
          <w:rFonts w:ascii="Times New Roman" w:hAnsi="Times New Roman"/>
          <w:sz w:val="20"/>
        </w:rPr>
        <w:t>” or “</w:t>
      </w:r>
      <w:r>
        <w:rPr>
          <w:rFonts w:ascii="Times New Roman" w:hAnsi="Times New Roman"/>
          <w:b/>
          <w:i/>
          <w:sz w:val="20"/>
        </w:rPr>
        <w:t>Controlled</w:t>
      </w:r>
      <w:r>
        <w:rPr>
          <w:rFonts w:ascii="Times New Roman" w:hAnsi="Times New Roman"/>
          <w:sz w:val="20"/>
        </w:rPr>
        <w:t xml:space="preserve">” means the possession by a Party or its Affiliates (whether by ownership, license or otherwise) of, (a) with respect to any tangible Know-How or materials, the legal authority or right to physical possession of such tangible Know-How or materials, with the right to grant the other Party rights or access to such tangible Know-How or materials on the terms and conditions set forth herein, or (b) with respect to Patent Rights, intangible Know-How or other intellectual property rights, the legal authority or right to grant a license, sublicense, access or right to use (as applicable) under such Patent Rights, intangible Know-How or other intellectual property rights to the other Party on the terms and conditions set forth herein, in each case of (a) and (b), without breaching the terms of any agreement with a Third Party in existence as of the time such Party or its Affiliates would first be required hereunder to grant the other Party such access, right to use or (sub)license. Notwithstanding the foregoing, if any Patent Rights, Know-How or other intellectual property rights are in-licensed or acquired by a Party (or its Affiliates) after the Effective Date from a Third Party, then such items shall be excluded from the items Controlled by such Party (or its Affiliates) unless the other Party agrees to (i) comply with the applicable terms and conditions of the agreement under which such Party (or its Affiliates) in-licensed or acquired such item; (ii) pay all upfronts, license maintenance fees, regulatory or development milestone amounts, and similar payments that such Party (or its Affiliates) would be obligated to pay in connection with the grant, maintenance or exercise of a (sub)license to the other Party under such item; and (iii) pay all royalties with respect to net sales of such Party’s Products and a pro rata portion of commercial or sales milestone amounts that such Party (or its Affiliates) would be obligated to pay in connection with such in-licensed or acquired intellectual property rights, where such pro rata portion shall be calculated based on the relative weight of the applicable net sales generated by the other Party under such (sub)license granted hereunder as compared to the total applicable net sales giving rise to such payment obligation. The definition of “Control” is further subject to the terms and conditions set forth in </w:t>
      </w:r>
      <w:r>
        <w:rPr>
          <w:rFonts w:ascii="Times New Roman" w:hAnsi="Times New Roman"/>
          <w:sz w:val="20"/>
          <w:u w:val="single"/>
        </w:rPr>
        <w:t>Section 13.3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i/>
          <w:sz w:val="20"/>
        </w:rPr>
        <w:t>Cover</w:t>
      </w:r>
      <w:r>
        <w:rPr>
          <w:rFonts w:ascii="Times New Roman" w:hAnsi="Times New Roman"/>
          <w:sz w:val="20"/>
        </w:rPr>
        <w:t xml:space="preserve">” means, with respect to a product, technology, process, method or mode of administration that, in the absence of ownership of or a license granted under a particular Patent Right, the use, manufacture, offer for sale, sale or importation of such product or composition of matter or the practice of such technology, process, method or mode of administration would infringe a claim of such Patent Right or, in the case of a claim of a Patent Right that has not yet issued, would infringe such claim if it were to issue without change.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i/>
          <w:sz w:val="20"/>
        </w:rPr>
        <w:t>CRO</w:t>
      </w:r>
      <w:r>
        <w:rPr>
          <w:rFonts w:ascii="Times New Roman" w:hAnsi="Times New Roman"/>
          <w:sz w:val="20"/>
        </w:rPr>
        <w:t xml:space="preserve">” means a contract research organization. </w:t>
      </w:r>
    </w:p>
    <w:p>
      <w:pPr>
        <w:pStyle w:val="TextBody"/>
        <w:bidi w:val="0"/>
        <w:spacing w:before="24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w:t>
      </w:r>
      <w:r>
        <w:rPr>
          <w:rFonts w:ascii="Times New Roman" w:hAnsi="Times New Roman"/>
          <w:b/>
          <w:i/>
          <w:sz w:val="20"/>
        </w:rPr>
        <w:t>Data</w:t>
      </w:r>
      <w:r>
        <w:rPr>
          <w:rFonts w:ascii="Times New Roman" w:hAnsi="Times New Roman"/>
          <w:sz w:val="20"/>
        </w:rPr>
        <w:t xml:space="preserve">” means all CMC information, non-clinical data, clinical data and safety data, in each case generated by or on behalf of a Party, or its Affiliates or their Sublicensees (with respect to Company) or Third Party Licensees (with respect to Licensor) in connection with the Development or Manufacture of the Licensed Products. For clarity, Data does not include any patentable Foreground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i/>
          <w:sz w:val="20"/>
        </w:rPr>
        <w:t>Data Security and Protection Laws</w:t>
      </w:r>
      <w:r>
        <w:rPr>
          <w:rFonts w:ascii="Times New Roman" w:hAnsi="Times New Roman"/>
          <w:sz w:val="20"/>
        </w:rPr>
        <w:t xml:space="preserve">” means all applicable data security and protection laws governing the Processing of the relevant Personal Data under this Agreement. </w:t>
      </w:r>
    </w:p>
    <w:p>
      <w:pPr>
        <w:pStyle w:val="TextBody"/>
        <w:bidi w:val="0"/>
        <w:spacing w:before="24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i/>
          <w:sz w:val="20"/>
        </w:rPr>
        <w:t>Develop</w:t>
      </w:r>
      <w:r>
        <w:rPr>
          <w:rFonts w:ascii="Times New Roman" w:hAnsi="Times New Roman"/>
          <w:sz w:val="20"/>
        </w:rPr>
        <w:t>” or “</w:t>
      </w:r>
      <w:r>
        <w:rPr>
          <w:rFonts w:ascii="Times New Roman" w:hAnsi="Times New Roman"/>
          <w:b/>
          <w:i/>
          <w:sz w:val="20"/>
        </w:rPr>
        <w:t>Development</w:t>
      </w:r>
      <w:r>
        <w:rPr>
          <w:rFonts w:ascii="Times New Roman" w:hAnsi="Times New Roman"/>
          <w:sz w:val="20"/>
        </w:rPr>
        <w:t xml:space="preserve">” means to conduct any non-clinical or clinical drug research or development activities,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Trials, regulatory affairs, the preparation and submission of regulatory filings, Clinical Trial regulatory activities, or any other activities directed towards obtaining or maintaining Regulatory Approval of any pharmaceutical compound or product. Development includes use and importation of the relevant compound or product to conduct such Development activities. Development does not include Commercialization activities.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i/>
          <w:sz w:val="20"/>
        </w:rPr>
        <w:t>Dollar</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U.S. dollar, and “$” shall be interpreted accordingly.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i/>
          <w:sz w:val="20"/>
        </w:rPr>
        <w:t>EMA</w:t>
      </w:r>
      <w:r>
        <w:rPr>
          <w:rFonts w:ascii="Times New Roman" w:hAnsi="Times New Roman"/>
          <w:sz w:val="20"/>
        </w:rPr>
        <w:t xml:space="preserve">” means the European Medicines Agency and any successor agency thereto.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i/>
          <w:sz w:val="20"/>
        </w:rPr>
        <w:t>Equity Documents</w:t>
      </w:r>
      <w:r>
        <w:rPr>
          <w:rFonts w:ascii="Times New Roman" w:hAnsi="Times New Roman"/>
          <w:sz w:val="20"/>
        </w:rPr>
        <w:t>” means (a) that certain Warrant Subscription Agreement by and between Company and Licensor, dated on or around the date hereof (the “</w:t>
      </w:r>
      <w:r>
        <w:rPr>
          <w:rFonts w:ascii="Times New Roman" w:hAnsi="Times New Roman"/>
          <w:b/>
          <w:i/>
          <w:sz w:val="20"/>
        </w:rPr>
        <w:t>Subscription Agreement</w:t>
      </w:r>
      <w:r>
        <w:rPr>
          <w:rFonts w:ascii="Times New Roman" w:hAnsi="Times New Roman"/>
          <w:sz w:val="20"/>
        </w:rPr>
        <w:t xml:space="preserve">”), (b) that certain Warrants issued by Company to Licensor pursuant to the Subscription Agreement and (c) any other related documents necessary to effect the issuance of equity contemplated therein. </w:t>
      </w:r>
    </w:p>
    <w:p>
      <w:pPr>
        <w:pStyle w:val="TextBody"/>
        <w:bidi w:val="0"/>
        <w:spacing w:before="24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i/>
          <w:sz w:val="20"/>
        </w:rPr>
        <w:t>EU</w:t>
      </w:r>
      <w:r>
        <w:rPr>
          <w:rFonts w:ascii="Times New Roman" w:hAnsi="Times New Roman"/>
          <w:sz w:val="20"/>
        </w:rPr>
        <w:t xml:space="preserve">” means the Major European Countries, all of the European Union member states as of the applicable time during the Term, and all of the European Economic Area member states. </w:t>
      </w:r>
    </w:p>
    <w:p>
      <w:pPr>
        <w:pStyle w:val="TextBody"/>
        <w:bidi w:val="0"/>
        <w:spacing w:before="240" w:after="0"/>
        <w:jc w:val="left"/>
        <w:rPr>
          <w:rFonts w:ascii="Times New Roman" w:hAnsi="Times New Roman"/>
          <w:sz w:val="20"/>
        </w:rPr>
      </w:pPr>
      <w:r>
        <w:rPr>
          <w:rFonts w:ascii="Times New Roman" w:hAnsi="Times New Roman"/>
          <w:b/>
          <w:sz w:val="20"/>
        </w:rPr>
        <w:t>1.30</w:t>
      </w:r>
      <w:r>
        <w:rPr>
          <w:rFonts w:ascii="Times New Roman" w:hAnsi="Times New Roman"/>
          <w:sz w:val="20"/>
        </w:rPr>
        <w:t xml:space="preserve"> “</w:t>
      </w:r>
      <w:r>
        <w:rPr>
          <w:rFonts w:ascii="Times New Roman" w:hAnsi="Times New Roman"/>
          <w:b/>
          <w:i/>
          <w:sz w:val="20"/>
        </w:rPr>
        <w:t>Executive Officers</w:t>
      </w:r>
      <w:r>
        <w:rPr>
          <w:rFonts w:ascii="Times New Roman" w:hAnsi="Times New Roman"/>
          <w:sz w:val="20"/>
        </w:rPr>
        <w:t xml:space="preserve">” means the Chief Executive Officer of Licensor and the Chief Executive Officer of Company, or such other senior executive whom such Person may designate in writing.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i/>
          <w:sz w:val="20"/>
        </w:rPr>
        <w:t>Existing IND</w:t>
      </w:r>
      <w:r>
        <w:rPr>
          <w:rFonts w:ascii="Times New Roman" w:hAnsi="Times New Roman"/>
          <w:sz w:val="20"/>
        </w:rPr>
        <w:t xml:space="preserve">” means Licensor’s current IND (IND# [***]) for the Licensed Product in the U.S.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i/>
          <w:sz w:val="20"/>
        </w:rPr>
        <w:t>Exploit</w:t>
      </w:r>
      <w:r>
        <w:rPr>
          <w:rFonts w:ascii="Times New Roman" w:hAnsi="Times New Roman"/>
          <w:sz w:val="20"/>
        </w:rPr>
        <w:t>” or “</w:t>
      </w:r>
      <w:r>
        <w:rPr>
          <w:rFonts w:ascii="Times New Roman" w:hAnsi="Times New Roman"/>
          <w:b/>
          <w:i/>
          <w:sz w:val="20"/>
        </w:rPr>
        <w:t>Exploitation</w:t>
      </w:r>
      <w:r>
        <w:rPr>
          <w:rFonts w:ascii="Times New Roman" w:hAnsi="Times New Roman"/>
          <w:sz w:val="20"/>
        </w:rPr>
        <w:t xml:space="preserve">” means, with respect to any pharmaceutical compound or product, to research, Develop, have Developed, Manufacture, have Manufactured, use, Commercialize, have Commercialized, import, export, obtain and maintain Regulatory Approvals and applicable pricing or reimbursement approvals, and otherwise exploit or have exploited such pharmaceutical compound or product.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i/>
          <w:sz w:val="20"/>
        </w:rPr>
        <w:t>FDA</w:t>
      </w:r>
      <w:r>
        <w:rPr>
          <w:rFonts w:ascii="Times New Roman" w:hAnsi="Times New Roman"/>
          <w:sz w:val="20"/>
        </w:rPr>
        <w:t xml:space="preserve">” means the United States Food and Drug Administration or any successor agency(ies) or authority thereto having substantially the same function.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i/>
          <w:sz w:val="20"/>
        </w:rPr>
        <w:t>Field</w:t>
      </w:r>
      <w:r>
        <w:rPr>
          <w:rFonts w:ascii="Times New Roman" w:hAnsi="Times New Roman"/>
          <w:sz w:val="20"/>
        </w:rPr>
        <w:t xml:space="preserve">” means all uses, including prophylactic, therapeutic or diagnostic uses, in humans and animals.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i/>
          <w:sz w:val="20"/>
        </w:rPr>
        <w:t>First Commercial Sale</w:t>
      </w:r>
      <w:r>
        <w:rPr>
          <w:rFonts w:ascii="Times New Roman" w:hAnsi="Times New Roman"/>
          <w:sz w:val="20"/>
        </w:rPr>
        <w:t xml:space="preserve">” means, with respect to a given Licensed Product in the Licensed Territory, the first sale by Company, its Affiliates or Sublicensees in an arm’s length transaction of such Licensed Product to a Third Party other than a Sublicensee in such country in exchange for cash (or some equivalent to which value can be assigned) after Regulatory Approval for such Licensed Product has been granted in the Licensed Territory. For the avoidance of doubt, supply of Licensed Product as samples or to patients for compassionate use, named patient use, Clinical Trials or other similar purposes shall not be considered a First Commercial Sale.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i/>
          <w:sz w:val="20"/>
        </w:rPr>
        <w:t>Foreground Know-How</w:t>
      </w:r>
      <w:r>
        <w:rPr>
          <w:rFonts w:ascii="Times New Roman" w:hAnsi="Times New Roman"/>
          <w:sz w:val="20"/>
        </w:rPr>
        <w:t xml:space="preserve">” means any and all Know-How, whether or not patentable, that is generated, created, developed, conceived or otherwise made during the Term (a) solely by or on behalf of a Party or any of its Affiliates or (b) jointly by or on behalf of both Parties or any of its Affiliates, in each case ((a) and (b)), in the course of performing activities or exercising rights under this Agreement.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i/>
          <w:sz w:val="20"/>
        </w:rPr>
        <w:t>Foreground Patent Rights</w:t>
      </w:r>
      <w:r>
        <w:rPr>
          <w:rFonts w:ascii="Times New Roman" w:hAnsi="Times New Roman"/>
          <w:sz w:val="20"/>
        </w:rPr>
        <w:t xml:space="preserve">” means any and all Patent Rights claiming the Foreground Know-How. </w:t>
      </w:r>
    </w:p>
    <w:p>
      <w:pPr>
        <w:pStyle w:val="TextBody"/>
        <w:bidi w:val="0"/>
        <w:spacing w:before="240" w:after="0"/>
        <w:jc w:val="left"/>
        <w:rPr>
          <w:rFonts w:ascii="Times New Roman" w:hAnsi="Times New Roman"/>
          <w:sz w:val="20"/>
        </w:rPr>
      </w:pPr>
      <w:r>
        <w:rPr>
          <w:rFonts w:ascii="Times New Roman" w:hAnsi="Times New Roman"/>
          <w:b/>
          <w:sz w:val="20"/>
        </w:rPr>
        <w:t>1.38</w:t>
      </w:r>
      <w:r>
        <w:rPr>
          <w:rFonts w:ascii="Times New Roman" w:hAnsi="Times New Roman"/>
          <w:sz w:val="20"/>
        </w:rPr>
        <w:t xml:space="preserve"> “</w:t>
      </w:r>
      <w:r>
        <w:rPr>
          <w:rFonts w:ascii="Times New Roman" w:hAnsi="Times New Roman"/>
          <w:b/>
          <w:i/>
          <w:sz w:val="20"/>
        </w:rPr>
        <w:t>FTE</w:t>
      </w:r>
      <w:r>
        <w:rPr>
          <w:rFonts w:ascii="Times New Roman" w:hAnsi="Times New Roman"/>
          <w:sz w:val="20"/>
        </w:rPr>
        <w:t xml:space="preserve">” means a full-time, dedicated, non-executive officer, non-administrative person year or, in the case of less than a full-time, dedicated, non-executive officer, non-administrative person year, a full-time equivalent person year, in each case, based upon a total of [***] of work per year. In the case that any full-time person works partially on activities under this Agreement and partially on other work in a given year, then the full-time equivalent to be attributed to such person’s work hereunder shall be equal to the percentage of such person’s total work time in such year or portion thereof that such person spent working on such activities under this Agreement. In no event shall any one (1) person be counted as more than one (1) FTE.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i/>
          <w:sz w:val="20"/>
        </w:rPr>
        <w:t>FTE Costs</w:t>
      </w:r>
      <w:r>
        <w:rPr>
          <w:rFonts w:ascii="Times New Roman" w:hAnsi="Times New Roman"/>
          <w:sz w:val="20"/>
        </w:rPr>
        <w:t xml:space="preserve">” shall mean the product of: (a) [***]; and (b) the FTE Rate. </w:t>
      </w:r>
    </w:p>
    <w:p>
      <w:pPr>
        <w:pStyle w:val="TextBody"/>
        <w:bidi w:val="0"/>
        <w:spacing w:before="240" w:after="0"/>
        <w:jc w:val="left"/>
        <w:rPr>
          <w:rFonts w:ascii="Times New Roman" w:hAnsi="Times New Roman"/>
          <w:sz w:val="20"/>
        </w:rPr>
      </w:pPr>
      <w:r>
        <w:rPr>
          <w:rFonts w:ascii="Times New Roman" w:hAnsi="Times New Roman"/>
          <w:b/>
          <w:sz w:val="20"/>
        </w:rPr>
        <w:t>1.40</w:t>
      </w:r>
      <w:r>
        <w:rPr>
          <w:rFonts w:ascii="Times New Roman" w:hAnsi="Times New Roman"/>
          <w:sz w:val="20"/>
        </w:rPr>
        <w:t xml:space="preserve"> “</w:t>
      </w:r>
      <w:r>
        <w:rPr>
          <w:rFonts w:ascii="Times New Roman" w:hAnsi="Times New Roman"/>
          <w:b/>
          <w:i/>
          <w:sz w:val="20"/>
        </w:rPr>
        <w:t>FTE Rate</w:t>
      </w:r>
      <w:r>
        <w:rPr>
          <w:rFonts w:ascii="Times New Roman" w:hAnsi="Times New Roman"/>
          <w:sz w:val="20"/>
        </w:rPr>
        <w:t xml:space="preserve">” means the rate of [***] per FTE per Calendar Year, such amount to be adjusted as of [***] and [***] thereafter by the percentage increase or decrease, if any, in the Consumer Price Index for All Urban Consumers (CPI-U); U.S. City Average calculated by the Bureau of Labor Statistics during the immediately preceding Calendar Year. For the avoidance of doubt, such rate is intended to cover the cost of salaries, benefits, infrastructure costs, travel, general laboratory or office supplies, postage, insurance, training and all other general expenses and overhead items. </w:t>
      </w:r>
    </w:p>
    <w:p>
      <w:pPr>
        <w:pStyle w:val="TextBody"/>
        <w:bidi w:val="0"/>
        <w:spacing w:before="240" w:after="0"/>
        <w:jc w:val="left"/>
        <w:rPr>
          <w:rFonts w:ascii="Times New Roman" w:hAnsi="Times New Roman"/>
          <w:sz w:val="20"/>
        </w:rPr>
      </w:pPr>
      <w:r>
        <w:rPr>
          <w:rFonts w:ascii="Times New Roman" w:hAnsi="Times New Roman"/>
          <w:b/>
          <w:sz w:val="20"/>
        </w:rPr>
        <w:t>1.41</w:t>
      </w:r>
      <w:r>
        <w:rPr>
          <w:rFonts w:ascii="Times New Roman" w:hAnsi="Times New Roman"/>
          <w:sz w:val="20"/>
        </w:rPr>
        <w:t xml:space="preserve"> “</w:t>
      </w:r>
      <w:r>
        <w:rPr>
          <w:rFonts w:ascii="Times New Roman" w:hAnsi="Times New Roman"/>
          <w:b/>
          <w:i/>
          <w:sz w:val="20"/>
        </w:rPr>
        <w:t>GAAP</w:t>
      </w:r>
      <w:r>
        <w:rPr>
          <w:rFonts w:ascii="Times New Roman" w:hAnsi="Times New Roman"/>
          <w:sz w:val="20"/>
        </w:rPr>
        <w:t xml:space="preserve">” means generally accepted accounting principles in the United States, consistently applied. </w:t>
      </w:r>
    </w:p>
    <w:p>
      <w:pPr>
        <w:pStyle w:val="TextBody"/>
        <w:bidi w:val="0"/>
        <w:spacing w:before="240" w:after="0"/>
        <w:jc w:val="left"/>
        <w:rPr>
          <w:rFonts w:ascii="Times New Roman" w:hAnsi="Times New Roman"/>
          <w:sz w:val="20"/>
        </w:rPr>
      </w:pPr>
      <w:r>
        <w:rPr>
          <w:rFonts w:ascii="Times New Roman" w:hAnsi="Times New Roman"/>
          <w:b/>
          <w:sz w:val="20"/>
        </w:rPr>
        <w:t>1.42</w:t>
      </w:r>
      <w:r>
        <w:rPr>
          <w:rFonts w:ascii="Times New Roman" w:hAnsi="Times New Roman"/>
          <w:sz w:val="20"/>
        </w:rPr>
        <w:t xml:space="preserve"> “</w:t>
      </w:r>
      <w:r>
        <w:rPr>
          <w:rFonts w:ascii="Times New Roman" w:hAnsi="Times New Roman"/>
          <w:b/>
          <w:i/>
          <w:sz w:val="20"/>
        </w:rPr>
        <w:t>GCP</w:t>
      </w:r>
      <w:r>
        <w:rPr>
          <w:rFonts w:ascii="Times New Roman" w:hAnsi="Times New Roman"/>
          <w:sz w:val="20"/>
        </w:rPr>
        <w:t xml:space="preserve">” means all applicable Good Clinical Practice standards for the design, conduct, performance, monitoring, auditing, recording, analyses and reporting of Clinical Trials, including, as applicable (a) as set forth in the ICH E6 of the ICH Guidelines and any other guidelines for good clinical practice for clinical trials on medicinal products in any relevant country or jurisdiction, (b) the Declaration of Helsinki (2004) as last amended at the 64th World Medical Association in October 2013 and any further amendments or clarifications thereto, (c) U.S. Code of Federal Regulations Title 21, Parts 50 (Protection of Human Subjects), 56 (Institutional Review Boards) and 312 (Investigational New Drug Application), and (d) the equivalent Applicable Laws in any relevant country or jurisdiction, each as may be amended and applicable from time to time and in each case, that provide for, among other things, assurance that the clinical data and reported results are credible and accurate and protect the rights, integrity, and confidentiality of trial subjects. </w:t>
      </w:r>
    </w:p>
    <w:p>
      <w:pPr>
        <w:pStyle w:val="TextBody"/>
        <w:bidi w:val="0"/>
        <w:spacing w:before="240" w:after="0"/>
        <w:jc w:val="left"/>
        <w:rPr>
          <w:rFonts w:ascii="Times New Roman" w:hAnsi="Times New Roman"/>
          <w:sz w:val="20"/>
        </w:rPr>
      </w:pPr>
      <w:r>
        <w:rPr>
          <w:rFonts w:ascii="Times New Roman" w:hAnsi="Times New Roman"/>
          <w:b/>
          <w:sz w:val="20"/>
        </w:rPr>
        <w:t>1.43</w:t>
      </w:r>
      <w:r>
        <w:rPr>
          <w:rFonts w:ascii="Times New Roman" w:hAnsi="Times New Roman"/>
          <w:sz w:val="20"/>
        </w:rPr>
        <w:t xml:space="preserve"> “</w:t>
      </w:r>
      <w:r>
        <w:rPr>
          <w:rFonts w:ascii="Times New Roman" w:hAnsi="Times New Roman"/>
          <w:b/>
          <w:i/>
          <w:sz w:val="20"/>
        </w:rPr>
        <w:t>GLP</w:t>
      </w:r>
      <w:r>
        <w:rPr>
          <w:rFonts w:ascii="Times New Roman" w:hAnsi="Times New Roman"/>
          <w:sz w:val="20"/>
        </w:rPr>
        <w:t xml:space="preserve">” means all applicable Good Laboratory Practice standards, including, as applicable, as set forth in the then-current good laboratory practice standards promulgated or endorsed by the FDA, as defined in 21 C.F.R. Part 58, and the equivalent Applicable Laws in any relevant country or jurisdiction, each as may be amended and applicable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1.44</w:t>
      </w:r>
      <w:r>
        <w:rPr>
          <w:rFonts w:ascii="Times New Roman" w:hAnsi="Times New Roman"/>
          <w:sz w:val="20"/>
        </w:rPr>
        <w:t xml:space="preserve"> “</w:t>
      </w:r>
      <w:r>
        <w:rPr>
          <w:rFonts w:ascii="Times New Roman" w:hAnsi="Times New Roman"/>
          <w:b/>
          <w:i/>
          <w:sz w:val="20"/>
        </w:rPr>
        <w:t>Governmental Authority</w:t>
      </w:r>
      <w:r>
        <w:rPr>
          <w:rFonts w:ascii="Times New Roman" w:hAnsi="Times New Roman"/>
          <w:sz w:val="20"/>
        </w:rPr>
        <w:t xml:space="preserve">” means any federal, state, national,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 </w:t>
      </w:r>
    </w:p>
    <w:p>
      <w:pPr>
        <w:pStyle w:val="TextBody"/>
        <w:bidi w:val="0"/>
        <w:spacing w:before="240" w:after="0"/>
        <w:jc w:val="left"/>
        <w:rPr>
          <w:rFonts w:ascii="Times New Roman" w:hAnsi="Times New Roman"/>
          <w:sz w:val="20"/>
        </w:rPr>
      </w:pPr>
      <w:r>
        <w:rPr>
          <w:rFonts w:ascii="Times New Roman" w:hAnsi="Times New Roman"/>
          <w:b/>
          <w:sz w:val="20"/>
        </w:rPr>
        <w:t>1.45</w:t>
      </w:r>
      <w:r>
        <w:rPr>
          <w:rFonts w:ascii="Times New Roman" w:hAnsi="Times New Roman"/>
          <w:sz w:val="20"/>
        </w:rPr>
        <w:t xml:space="preserve"> “</w:t>
      </w:r>
      <w:r>
        <w:rPr>
          <w:rFonts w:ascii="Times New Roman" w:hAnsi="Times New Roman"/>
          <w:b/>
          <w:i/>
          <w:sz w:val="20"/>
        </w:rPr>
        <w:t>ICH Guidelines</w:t>
      </w:r>
      <w:r>
        <w:rPr>
          <w:rFonts w:ascii="Times New Roman" w:hAnsi="Times New Roman"/>
          <w:sz w:val="20"/>
        </w:rPr>
        <w:t xml:space="preserve">” mean the International Conference on Harmonization of Technical Requirements for Registration of Pharmaceuticals for Human Use Harmonized Tripartite Guideline. </w:t>
      </w:r>
    </w:p>
    <w:p>
      <w:pPr>
        <w:pStyle w:val="TextBody"/>
        <w:bidi w:val="0"/>
        <w:spacing w:before="240" w:after="0"/>
        <w:jc w:val="left"/>
        <w:rPr>
          <w:rFonts w:ascii="Times New Roman" w:hAnsi="Times New Roman"/>
          <w:sz w:val="20"/>
        </w:rPr>
      </w:pPr>
      <w:r>
        <w:rPr>
          <w:rFonts w:ascii="Times New Roman" w:hAnsi="Times New Roman"/>
          <w:b/>
          <w:sz w:val="20"/>
        </w:rPr>
        <w:t>1.46</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1.47</w:t>
      </w:r>
      <w:r>
        <w:rPr>
          <w:rFonts w:ascii="Times New Roman" w:hAnsi="Times New Roman"/>
          <w:sz w:val="20"/>
        </w:rPr>
        <w:t xml:space="preserve"> “</w:t>
      </w:r>
      <w:r>
        <w:rPr>
          <w:rFonts w:ascii="Times New Roman" w:hAnsi="Times New Roman"/>
          <w:b/>
          <w:i/>
          <w:sz w:val="20"/>
        </w:rPr>
        <w:t>IND</w:t>
      </w:r>
      <w:r>
        <w:rPr>
          <w:rFonts w:ascii="Times New Roman" w:hAnsi="Times New Roman"/>
          <w:sz w:val="20"/>
        </w:rPr>
        <w:t xml:space="preserve">” means an Investigational New Drug application in the U.S. filed with the FDA or the corresponding application for the clinical investigation of pharmaceutical or biological products in any other country or group of countries (including Clinical Trial applications), as defined in the Applicable Laws and filed with the Regulatory Authority of such country or group of countries, and any amendments or supplements thereto. </w:t>
      </w:r>
    </w:p>
    <w:p>
      <w:pPr>
        <w:pStyle w:val="TextBody"/>
        <w:bidi w:val="0"/>
        <w:spacing w:before="240" w:after="0"/>
        <w:jc w:val="left"/>
        <w:rPr>
          <w:rFonts w:ascii="Times New Roman" w:hAnsi="Times New Roman"/>
          <w:sz w:val="20"/>
        </w:rPr>
      </w:pPr>
      <w:r>
        <w:rPr>
          <w:rFonts w:ascii="Times New Roman" w:hAnsi="Times New Roman"/>
          <w:b/>
          <w:sz w:val="20"/>
        </w:rPr>
        <w:t>1.48</w:t>
      </w:r>
      <w:r>
        <w:rPr>
          <w:rFonts w:ascii="Times New Roman" w:hAnsi="Times New Roman"/>
          <w:sz w:val="20"/>
        </w:rPr>
        <w:t xml:space="preserve"> “</w:t>
      </w:r>
      <w:r>
        <w:rPr>
          <w:rFonts w:ascii="Times New Roman" w:hAnsi="Times New Roman"/>
          <w:b/>
          <w:i/>
          <w:sz w:val="20"/>
        </w:rPr>
        <w:t>Indication</w:t>
      </w:r>
      <w:r>
        <w:rPr>
          <w:rFonts w:ascii="Times New Roman" w:hAnsi="Times New Roman"/>
          <w:sz w:val="20"/>
        </w:rPr>
        <w:t xml:space="preserve">” means a separate and distinct disease, disorder or medical condition for which a Licensed Product can be used to diagnose, treat or prevent, which use is the subject of a separate Regulatory Approval for a distinct label. For clarity, subpopulations of patients with a primary disease, disorder or medical condition, however stratified, shall not be deemed to be separate “Indications” for the purposes of this Agreement, including stratification by stages or progression (including precursor condition), particular combinations of symptoms associated with the primary disease, disorder, or condition, prior treatment courses, response to prior treatment, different lines of treatment, family history, clinical history, phenotype, age (e.g., adult vs. pediatric) or other stratification. </w:t>
      </w:r>
    </w:p>
    <w:p>
      <w:pPr>
        <w:pStyle w:val="TextBody"/>
        <w:bidi w:val="0"/>
        <w:spacing w:before="240" w:after="0"/>
        <w:jc w:val="left"/>
        <w:rPr>
          <w:rFonts w:ascii="Times New Roman" w:hAnsi="Times New Roman"/>
          <w:sz w:val="20"/>
        </w:rPr>
      </w:pPr>
      <w:r>
        <w:rPr>
          <w:rFonts w:ascii="Times New Roman" w:hAnsi="Times New Roman"/>
          <w:b/>
          <w:sz w:val="20"/>
        </w:rPr>
        <w:t>1.49</w:t>
      </w:r>
      <w:r>
        <w:rPr>
          <w:rFonts w:ascii="Times New Roman" w:hAnsi="Times New Roman"/>
          <w:sz w:val="20"/>
        </w:rPr>
        <w:t xml:space="preserve"> “</w:t>
      </w:r>
      <w:r>
        <w:rPr>
          <w:rFonts w:ascii="Times New Roman" w:hAnsi="Times New Roman"/>
          <w:b/>
          <w:i/>
          <w:sz w:val="20"/>
        </w:rPr>
        <w:t>Initiate</w:t>
      </w:r>
      <w:r>
        <w:rPr>
          <w:rFonts w:ascii="Times New Roman" w:hAnsi="Times New Roman"/>
          <w:sz w:val="20"/>
        </w:rPr>
        <w:t>” or “</w:t>
      </w:r>
      <w:r>
        <w:rPr>
          <w:rFonts w:ascii="Times New Roman" w:hAnsi="Times New Roman"/>
          <w:b/>
          <w:i/>
          <w:sz w:val="20"/>
        </w:rPr>
        <w:t>Initiation</w:t>
      </w:r>
      <w:r>
        <w:rPr>
          <w:rFonts w:ascii="Times New Roman" w:hAnsi="Times New Roman"/>
          <w:sz w:val="20"/>
        </w:rPr>
        <w:t xml:space="preserve">” means, with respect to a Clinical Trial of a Licensed Product, the first dosing of the first human subject in such Clinical Trial. </w:t>
      </w:r>
    </w:p>
    <w:p>
      <w:pPr>
        <w:pStyle w:val="TextBody"/>
        <w:bidi w:val="0"/>
        <w:spacing w:before="240" w:after="0"/>
        <w:jc w:val="left"/>
        <w:rPr>
          <w:rFonts w:ascii="Times New Roman" w:hAnsi="Times New Roman"/>
          <w:sz w:val="20"/>
        </w:rPr>
      </w:pPr>
      <w:r>
        <w:rPr>
          <w:rFonts w:ascii="Times New Roman" w:hAnsi="Times New Roman"/>
          <w:b/>
          <w:sz w:val="20"/>
        </w:rPr>
        <w:t>1.50</w:t>
      </w:r>
      <w:r>
        <w:rPr>
          <w:rFonts w:ascii="Times New Roman" w:hAnsi="Times New Roman"/>
          <w:sz w:val="20"/>
        </w:rPr>
        <w:t xml:space="preserve"> “</w:t>
      </w:r>
      <w:r>
        <w:rPr>
          <w:rFonts w:ascii="Times New Roman" w:hAnsi="Times New Roman"/>
          <w:b/>
          <w:i/>
          <w:sz w:val="20"/>
        </w:rPr>
        <w:t>IPO</w:t>
      </w:r>
      <w:r>
        <w:rPr>
          <w:rFonts w:ascii="Times New Roman" w:hAnsi="Times New Roman"/>
          <w:sz w:val="20"/>
        </w:rPr>
        <w:t xml:space="preserve">” means a public offering event of the Company, including an initial public offering. </w:t>
      </w:r>
    </w:p>
    <w:p>
      <w:pPr>
        <w:pStyle w:val="TextBody"/>
        <w:bidi w:val="0"/>
        <w:spacing w:before="240" w:after="0"/>
        <w:jc w:val="left"/>
        <w:rPr>
          <w:rFonts w:ascii="Times New Roman" w:hAnsi="Times New Roman"/>
          <w:sz w:val="20"/>
        </w:rPr>
      </w:pPr>
      <w:r>
        <w:rPr>
          <w:rFonts w:ascii="Times New Roman" w:hAnsi="Times New Roman"/>
          <w:b/>
          <w:sz w:val="20"/>
        </w:rPr>
        <w:t>1.51</w:t>
      </w:r>
      <w:r>
        <w:rPr>
          <w:rFonts w:ascii="Times New Roman" w:hAnsi="Times New Roman"/>
          <w:sz w:val="20"/>
        </w:rPr>
        <w:t xml:space="preserve"> “</w:t>
      </w:r>
      <w:r>
        <w:rPr>
          <w:rFonts w:ascii="Times New Roman" w:hAnsi="Times New Roman"/>
          <w:b/>
          <w:i/>
          <w:sz w:val="20"/>
        </w:rPr>
        <w:t>Joint Foreground Know-How</w:t>
      </w:r>
      <w:r>
        <w:rPr>
          <w:rFonts w:ascii="Times New Roman" w:hAnsi="Times New Roman"/>
          <w:sz w:val="20"/>
        </w:rPr>
        <w:t xml:space="preserve">” means any and all Foreground Know-How that is generated, created, developed, conceived or otherwise made jointly by or on behalf of both (a) Licensor or any of its Affiliates and (b) Company or any of its Affiliates, but excluding any Foreground Know-How that is solely owned by a Party pursuant to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1.52</w:t>
      </w:r>
      <w:r>
        <w:rPr>
          <w:rFonts w:ascii="Times New Roman" w:hAnsi="Times New Roman"/>
          <w:sz w:val="20"/>
        </w:rPr>
        <w:t xml:space="preserve"> “</w:t>
      </w:r>
      <w:r>
        <w:rPr>
          <w:rFonts w:ascii="Times New Roman" w:hAnsi="Times New Roman"/>
          <w:b/>
          <w:i/>
          <w:sz w:val="20"/>
        </w:rPr>
        <w:t>Joint Foreground Patents</w:t>
      </w:r>
      <w:r>
        <w:rPr>
          <w:rFonts w:ascii="Times New Roman" w:hAnsi="Times New Roman"/>
          <w:sz w:val="20"/>
        </w:rPr>
        <w:t xml:space="preserve">” means any and all Patent Rights claiming Joint Foreground Know-How. </w:t>
      </w:r>
    </w:p>
    <w:p>
      <w:pPr>
        <w:pStyle w:val="TextBody"/>
        <w:bidi w:val="0"/>
        <w:spacing w:before="240" w:after="0"/>
        <w:jc w:val="left"/>
        <w:rPr>
          <w:rFonts w:ascii="Times New Roman" w:hAnsi="Times New Roman"/>
          <w:sz w:val="20"/>
        </w:rPr>
      </w:pPr>
      <w:r>
        <w:rPr>
          <w:rFonts w:ascii="Times New Roman" w:hAnsi="Times New Roman"/>
          <w:b/>
          <w:sz w:val="20"/>
        </w:rPr>
        <w:t>1.53</w:t>
      </w:r>
      <w:r>
        <w:rPr>
          <w:rFonts w:ascii="Times New Roman" w:hAnsi="Times New Roman"/>
          <w:sz w:val="20"/>
        </w:rPr>
        <w:t xml:space="preserve"> “</w:t>
      </w:r>
      <w:r>
        <w:rPr>
          <w:rFonts w:ascii="Times New Roman" w:hAnsi="Times New Roman"/>
          <w:b/>
          <w:i/>
          <w:sz w:val="20"/>
        </w:rPr>
        <w:t>Know-How</w:t>
      </w:r>
      <w:r>
        <w:rPr>
          <w:rFonts w:ascii="Times New Roman" w:hAnsi="Times New Roman"/>
          <w:sz w:val="20"/>
        </w:rPr>
        <w:t xml:space="preserve">” means any and all proprietary and confidential information or materials, including discoveries, improvements, modifications, processes, methods, assays, designs, protocols (including Clinical Trial protocols), formulas, data, inventions, algorithms, forecasts, profiles, strategies, plans, results, know-how and trade secrets (in each case, regardless of whether patentable, copyrightable or otherwise), but excluding any Patent Rights. For the avoidance of doubt, “Know-How” shall include Data and Regulatory Documents. </w:t>
      </w:r>
    </w:p>
    <w:p>
      <w:pPr>
        <w:pStyle w:val="TextBody"/>
        <w:bidi w:val="0"/>
        <w:spacing w:before="240" w:after="0"/>
        <w:jc w:val="left"/>
        <w:rPr>
          <w:rFonts w:ascii="Times New Roman" w:hAnsi="Times New Roman"/>
          <w:sz w:val="20"/>
        </w:rPr>
      </w:pPr>
      <w:r>
        <w:rPr>
          <w:rFonts w:ascii="Times New Roman" w:hAnsi="Times New Roman"/>
          <w:b/>
          <w:sz w:val="20"/>
        </w:rPr>
        <w:t>1.54</w:t>
      </w:r>
      <w:r>
        <w:rPr>
          <w:rFonts w:ascii="Times New Roman" w:hAnsi="Times New Roman"/>
          <w:sz w:val="20"/>
        </w:rPr>
        <w:t xml:space="preserve"> “</w:t>
      </w:r>
      <w:r>
        <w:rPr>
          <w:rFonts w:ascii="Times New Roman" w:hAnsi="Times New Roman"/>
          <w:b/>
          <w:i/>
          <w:sz w:val="20"/>
        </w:rPr>
        <w:t>Knowledge</w:t>
      </w:r>
      <w:r>
        <w:rPr>
          <w:rFonts w:ascii="Times New Roman" w:hAnsi="Times New Roman"/>
          <w:sz w:val="20"/>
        </w:rPr>
        <w:t xml:space="preserve">” means the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1.55</w:t>
      </w:r>
      <w:r>
        <w:rPr>
          <w:rFonts w:ascii="Times New Roman" w:hAnsi="Times New Roman"/>
          <w:sz w:val="20"/>
        </w:rPr>
        <w:t xml:space="preserve"> “</w:t>
      </w:r>
      <w:r>
        <w:rPr>
          <w:rFonts w:ascii="Times New Roman" w:hAnsi="Times New Roman"/>
          <w:b/>
          <w:i/>
          <w:sz w:val="20"/>
        </w:rPr>
        <w:t>Licensed Know-How</w:t>
      </w:r>
      <w:r>
        <w:rPr>
          <w:rFonts w:ascii="Times New Roman" w:hAnsi="Times New Roman"/>
          <w:sz w:val="20"/>
        </w:rPr>
        <w:t xml:space="preserve">” means any and all Know-How Controlled by Licensor or any of its Affiliates as of the Effective Date or during the Term that is necessary or reasonably useful to Develop, Manufacture or otherwise Exploit the Licensed Therapeutic or any Licensed Product in the Field in the Licensed Territory, including any Foreground Know-How solely owned by Licensor pursuant to </w:t>
      </w:r>
      <w:r>
        <w:rPr>
          <w:rFonts w:ascii="Times New Roman" w:hAnsi="Times New Roman"/>
          <w:sz w:val="20"/>
          <w:u w:val="single"/>
        </w:rPr>
        <w:t>Section 11.1(a)</w:t>
      </w:r>
      <w:r>
        <w:rPr>
          <w:rFonts w:ascii="Times New Roman" w:hAnsi="Times New Roman"/>
          <w:sz w:val="20"/>
        </w:rPr>
        <w:t xml:space="preserve">, but excluding any Joint Foreground Know-How. The Licensed Know-How as of the Effective Date are set forth in </w:t>
      </w:r>
      <w:r>
        <w:rPr>
          <w:rFonts w:ascii="Times New Roman" w:hAnsi="Times New Roman"/>
          <w:sz w:val="20"/>
          <w:u w:val="single"/>
        </w:rPr>
        <w:t>Schedule 1.55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Know-How that satisfies this definition shall constitute Licensed Know-How notwithstanding any failure to list such Know-How on </w:t>
      </w:r>
      <w:r>
        <w:rPr>
          <w:rFonts w:ascii="Times New Roman" w:hAnsi="Times New Roman"/>
          <w:sz w:val="20"/>
          <w:u w:val="single"/>
        </w:rPr>
        <w:t>Schedule 1.55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1.56</w:t>
      </w:r>
      <w:r>
        <w:rPr>
          <w:rFonts w:ascii="Times New Roman" w:hAnsi="Times New Roman"/>
          <w:sz w:val="20"/>
        </w:rPr>
        <w:t xml:space="preserve"> “</w:t>
      </w:r>
      <w:r>
        <w:rPr>
          <w:rFonts w:ascii="Times New Roman" w:hAnsi="Times New Roman"/>
          <w:b/>
          <w:i/>
          <w:sz w:val="20"/>
        </w:rPr>
        <w:t>Licensed Patents</w:t>
      </w:r>
      <w:r>
        <w:rPr>
          <w:rFonts w:ascii="Times New Roman" w:hAnsi="Times New Roman"/>
          <w:sz w:val="20"/>
        </w:rPr>
        <w:t xml:space="preserve">” means any and all Patent Rights Controlled by Licensor or any of its Affiliates as of the Effective Date or during the Term that are necessary or reasonably useful, as practiced by or on behalf of Licensor or any of its Affiliates, to Develop, Manufacture or Commercialize any Licensed Therapeutics or any Licensed Products in the Field in the Licensed Territory, including any Foreground Patent Rights solely owned by Licensor pursuant to </w:t>
      </w:r>
      <w:r>
        <w:rPr>
          <w:rFonts w:ascii="Times New Roman" w:hAnsi="Times New Roman"/>
          <w:sz w:val="20"/>
          <w:u w:val="single"/>
        </w:rPr>
        <w:t>Section 11.1(a)</w:t>
      </w:r>
      <w:r>
        <w:rPr>
          <w:rFonts w:ascii="Times New Roman" w:hAnsi="Times New Roman"/>
          <w:sz w:val="20"/>
        </w:rPr>
        <w:t xml:space="preserve">, but excluding any Joint Foreground Patents. The Licensed Patents as of the Effective Date are set forth in </w:t>
      </w:r>
      <w:r>
        <w:rPr>
          <w:rFonts w:ascii="Times New Roman" w:hAnsi="Times New Roman"/>
          <w:sz w:val="20"/>
          <w:u w:val="single"/>
        </w:rPr>
        <w:t>Schedule 1.56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Patent Right that satisfies this definition shall constitute a Licensed Patent notwithstanding any failure to list such Patent Right on </w:t>
      </w:r>
      <w:r>
        <w:rPr>
          <w:rFonts w:ascii="Times New Roman" w:hAnsi="Times New Roman"/>
          <w:sz w:val="20"/>
          <w:u w:val="single"/>
        </w:rPr>
        <w:t>Schedule 1.56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1.57</w:t>
      </w:r>
      <w:r>
        <w:rPr>
          <w:rFonts w:ascii="Times New Roman" w:hAnsi="Times New Roman"/>
          <w:sz w:val="20"/>
        </w:rPr>
        <w:t xml:space="preserve"> “</w:t>
      </w:r>
      <w:r>
        <w:rPr>
          <w:rFonts w:ascii="Times New Roman" w:hAnsi="Times New Roman"/>
          <w:b/>
          <w:i/>
          <w:sz w:val="20"/>
        </w:rPr>
        <w:t>Licensed Product</w:t>
      </w:r>
      <w:r>
        <w:rPr>
          <w:rFonts w:ascii="Times New Roman" w:hAnsi="Times New Roman"/>
          <w:sz w:val="20"/>
        </w:rPr>
        <w:t xml:space="preserve">” means any pharmaceutical product containing the Licensed Therapeutic as an active ingredient in all forms, formulations, and presentation, whether alone or in combination with one or more other active ingredients, including for any and all routes of administration, including but not limited to, intravenous and subcutaneous injection administration. </w:t>
      </w:r>
    </w:p>
    <w:p>
      <w:pPr>
        <w:pStyle w:val="TextBody"/>
        <w:bidi w:val="0"/>
        <w:spacing w:before="240" w:after="0"/>
        <w:jc w:val="left"/>
        <w:rPr>
          <w:rFonts w:ascii="Times New Roman" w:hAnsi="Times New Roman"/>
          <w:sz w:val="20"/>
        </w:rPr>
      </w:pPr>
      <w:r>
        <w:rPr>
          <w:rFonts w:ascii="Times New Roman" w:hAnsi="Times New Roman"/>
          <w:b/>
          <w:sz w:val="20"/>
        </w:rPr>
        <w:t>1.58</w:t>
      </w:r>
      <w:r>
        <w:rPr>
          <w:rFonts w:ascii="Times New Roman" w:hAnsi="Times New Roman"/>
          <w:sz w:val="20"/>
        </w:rPr>
        <w:t xml:space="preserve"> “</w:t>
      </w:r>
      <w:r>
        <w:rPr>
          <w:rFonts w:ascii="Times New Roman" w:hAnsi="Times New Roman"/>
          <w:b/>
          <w:i/>
          <w:sz w:val="20"/>
        </w:rPr>
        <w:t>Licensed Technology</w:t>
      </w:r>
      <w:r>
        <w:rPr>
          <w:rFonts w:ascii="Times New Roman" w:hAnsi="Times New Roman"/>
          <w:sz w:val="20"/>
        </w:rPr>
        <w:t xml:space="preserve">” means, collectively, the Licensed Patents and the Licensed Know-How. </w:t>
      </w:r>
    </w:p>
    <w:p>
      <w:pPr>
        <w:pStyle w:val="TextBody"/>
        <w:bidi w:val="0"/>
        <w:spacing w:before="240" w:after="0"/>
        <w:jc w:val="left"/>
        <w:rPr>
          <w:rFonts w:ascii="Times New Roman" w:hAnsi="Times New Roman"/>
          <w:sz w:val="20"/>
        </w:rPr>
      </w:pPr>
      <w:r>
        <w:rPr>
          <w:rFonts w:ascii="Times New Roman" w:hAnsi="Times New Roman"/>
          <w:b/>
          <w:sz w:val="20"/>
        </w:rPr>
        <w:t>1.59</w:t>
      </w:r>
      <w:r>
        <w:rPr>
          <w:rFonts w:ascii="Times New Roman" w:hAnsi="Times New Roman"/>
          <w:sz w:val="20"/>
        </w:rPr>
        <w:t xml:space="preserve"> “</w:t>
      </w:r>
      <w:r>
        <w:rPr>
          <w:rFonts w:ascii="Times New Roman" w:hAnsi="Times New Roman"/>
          <w:b/>
          <w:i/>
          <w:sz w:val="20"/>
        </w:rPr>
        <w:t>Licensed Territory</w:t>
      </w:r>
      <w:r>
        <w:rPr>
          <w:rFonts w:ascii="Times New Roman" w:hAnsi="Times New Roman"/>
          <w:sz w:val="20"/>
        </w:rPr>
        <w:t xml:space="preserve">” means the entire world other than the Retained Territory. </w:t>
      </w:r>
    </w:p>
    <w:p>
      <w:pPr>
        <w:pStyle w:val="TextBody"/>
        <w:bidi w:val="0"/>
        <w:spacing w:before="240" w:after="0"/>
        <w:jc w:val="left"/>
        <w:rPr>
          <w:rFonts w:ascii="Times New Roman" w:hAnsi="Times New Roman"/>
          <w:sz w:val="20"/>
        </w:rPr>
      </w:pPr>
      <w:r>
        <w:rPr>
          <w:rFonts w:ascii="Times New Roman" w:hAnsi="Times New Roman"/>
          <w:b/>
          <w:sz w:val="20"/>
        </w:rPr>
        <w:t>1.60</w:t>
      </w:r>
      <w:r>
        <w:rPr>
          <w:rFonts w:ascii="Times New Roman" w:hAnsi="Times New Roman"/>
          <w:sz w:val="20"/>
        </w:rPr>
        <w:t xml:space="preserve"> “</w:t>
      </w:r>
      <w:r>
        <w:rPr>
          <w:rFonts w:ascii="Times New Roman" w:hAnsi="Times New Roman"/>
          <w:b/>
          <w:i/>
          <w:sz w:val="20"/>
        </w:rPr>
        <w:t>Licensed Therapeutic</w:t>
      </w:r>
      <w:r>
        <w:rPr>
          <w:rFonts w:ascii="Times New Roman" w:hAnsi="Times New Roman"/>
          <w:sz w:val="20"/>
        </w:rPr>
        <w:t>” means (a) YOLT-202, Licensor’s investigational in vivo base-editing therapeutic (the “</w:t>
      </w:r>
      <w:r>
        <w:rPr>
          <w:rFonts w:ascii="Times New Roman" w:hAnsi="Times New Roman"/>
          <w:b/>
          <w:i/>
          <w:sz w:val="20"/>
        </w:rPr>
        <w:t>Lead Licensed Therapeutic</w:t>
      </w:r>
      <w:r>
        <w:rPr>
          <w:rFonts w:ascii="Times New Roman" w:hAnsi="Times New Roman"/>
          <w:sz w:val="20"/>
        </w:rPr>
        <w:t xml:space="preserve">”), (b) any other composition or therapeutic that is developed, generated or Controlled by Licensor or any of its Affiliates and that is designed to edit, modify, correct, replace, or otherwise directly regulate the expression of the SERPINA1 gene or locus, including any such composition comprising a base editor or other gene editing technology and incorporating one or more guide nucleic acid sequences directed to the SERPINA1 gene or locus, and (c) any improvements, modifications, derivatives, or back-up compounds to any of the foregoing. The sequence of the Lead Licensed Therapeutic is set forth in </w:t>
      </w:r>
      <w:r>
        <w:rPr>
          <w:rFonts w:ascii="Times New Roman" w:hAnsi="Times New Roman"/>
          <w:sz w:val="20"/>
          <w:u w:val="single"/>
        </w:rPr>
        <w:t>Schedule 1.60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1.61</w:t>
      </w:r>
      <w:r>
        <w:rPr>
          <w:rFonts w:ascii="Times New Roman" w:hAnsi="Times New Roman"/>
          <w:sz w:val="20"/>
        </w:rPr>
        <w:t xml:space="preserve"> “</w:t>
      </w:r>
      <w:r>
        <w:rPr>
          <w:rFonts w:ascii="Times New Roman" w:hAnsi="Times New Roman"/>
          <w:b/>
          <w:i/>
          <w:sz w:val="20"/>
        </w:rPr>
        <w:t>Licensor Platform</w:t>
      </w:r>
      <w:r>
        <w:rPr>
          <w:rFonts w:ascii="Times New Roman" w:hAnsi="Times New Roman"/>
          <w:sz w:val="20"/>
        </w:rPr>
        <w:t xml:space="preserve">” means Licensor’s technology or Know-How that are generally applicable to the research, design or Development of base-editing therapies and Licensor’s products, including (a) Licensor’s proprietary adenine base editor known as YolBETM, (b) Licensor’s High-Throughput Evolution Platform for Discovery and Optimization of Novel Editors known as HOPDONETM, and (c) Licensor’s proprietary LNP delivery platform. </w:t>
      </w:r>
    </w:p>
    <w:p>
      <w:pPr>
        <w:pStyle w:val="TextBody"/>
        <w:bidi w:val="0"/>
        <w:spacing w:before="240" w:after="0"/>
        <w:jc w:val="left"/>
        <w:rPr>
          <w:rFonts w:ascii="Times New Roman" w:hAnsi="Times New Roman"/>
          <w:sz w:val="20"/>
        </w:rPr>
      </w:pPr>
      <w:r>
        <w:rPr>
          <w:rFonts w:ascii="Times New Roman" w:hAnsi="Times New Roman"/>
          <w:b/>
          <w:sz w:val="20"/>
        </w:rPr>
        <w:t>1.62</w:t>
      </w:r>
      <w:r>
        <w:rPr>
          <w:rFonts w:ascii="Times New Roman" w:hAnsi="Times New Roman"/>
          <w:sz w:val="20"/>
        </w:rPr>
        <w:t xml:space="preserve"> “</w:t>
      </w:r>
      <w:r>
        <w:rPr>
          <w:rFonts w:ascii="Times New Roman" w:hAnsi="Times New Roman"/>
          <w:b/>
          <w:i/>
          <w:sz w:val="20"/>
        </w:rPr>
        <w:t>Major European Countries</w:t>
      </w:r>
      <w:r>
        <w:rPr>
          <w:rFonts w:ascii="Times New Roman" w:hAnsi="Times New Roman"/>
          <w:sz w:val="20"/>
        </w:rPr>
        <w:t xml:space="preserve">” means France, Germany, Italy, Spain and the United Kingdom. </w:t>
      </w:r>
    </w:p>
    <w:p>
      <w:pPr>
        <w:pStyle w:val="TextBody"/>
        <w:bidi w:val="0"/>
        <w:spacing w:before="240" w:after="0"/>
        <w:jc w:val="left"/>
        <w:rPr>
          <w:rFonts w:ascii="Times New Roman" w:hAnsi="Times New Roman"/>
          <w:sz w:val="20"/>
        </w:rPr>
      </w:pPr>
      <w:r>
        <w:rPr>
          <w:rFonts w:ascii="Times New Roman" w:hAnsi="Times New Roman"/>
          <w:b/>
          <w:sz w:val="20"/>
        </w:rPr>
        <w:t>1.63</w:t>
      </w:r>
      <w:r>
        <w:rPr>
          <w:rFonts w:ascii="Times New Roman" w:hAnsi="Times New Roman"/>
          <w:sz w:val="20"/>
        </w:rPr>
        <w:t xml:space="preserve"> “</w:t>
      </w:r>
      <w:r>
        <w:rPr>
          <w:rFonts w:ascii="Times New Roman" w:hAnsi="Times New Roman"/>
          <w:b/>
          <w:i/>
          <w:sz w:val="20"/>
        </w:rPr>
        <w:t>Manufacture</w:t>
      </w:r>
      <w:r>
        <w:rPr>
          <w:rFonts w:ascii="Times New Roman" w:hAnsi="Times New Roman"/>
          <w:sz w:val="20"/>
        </w:rPr>
        <w:t>” or “</w:t>
      </w:r>
      <w:r>
        <w:rPr>
          <w:rFonts w:ascii="Times New Roman" w:hAnsi="Times New Roman"/>
          <w:b/>
          <w:i/>
          <w:sz w:val="20"/>
        </w:rPr>
        <w:t>Manufacturing</w:t>
      </w:r>
      <w:r>
        <w:rPr>
          <w:rFonts w:ascii="Times New Roman" w:hAnsi="Times New Roman"/>
          <w:sz w:val="20"/>
        </w:rPr>
        <w:t xml:space="preserve">” means to conduct or have conducted any activities directed to producing, manufacturing, scaling up, processing, filling, finishing, packaging, labeling, quality assurance testing and release, shipping, and storage at manufacturing facilities of any pharmaceutical compound or product, or any component thereof (including production of drug substance and drug product, in bulk form, whether for Development or Commercialization). </w:t>
      </w:r>
    </w:p>
    <w:p>
      <w:pPr>
        <w:pStyle w:val="TextBody"/>
        <w:bidi w:val="0"/>
        <w:spacing w:before="240" w:after="0"/>
        <w:jc w:val="left"/>
        <w:rPr>
          <w:rFonts w:ascii="Times New Roman" w:hAnsi="Times New Roman"/>
          <w:sz w:val="20"/>
        </w:rPr>
      </w:pPr>
      <w:r>
        <w:rPr>
          <w:rFonts w:ascii="Times New Roman" w:hAnsi="Times New Roman"/>
          <w:b/>
          <w:sz w:val="20"/>
        </w:rPr>
        <w:t>1.64</w:t>
      </w:r>
      <w:r>
        <w:rPr>
          <w:rFonts w:ascii="Times New Roman" w:hAnsi="Times New Roman"/>
          <w:sz w:val="20"/>
        </w:rPr>
        <w:t xml:space="preserve"> “</w:t>
      </w:r>
      <w:r>
        <w:rPr>
          <w:rFonts w:ascii="Times New Roman" w:hAnsi="Times New Roman"/>
          <w:b/>
          <w:i/>
          <w:sz w:val="20"/>
        </w:rPr>
        <w:t>Net Sales</w:t>
      </w:r>
      <w:r>
        <w:rPr>
          <w:rFonts w:ascii="Times New Roman" w:hAnsi="Times New Roman"/>
          <w:sz w:val="20"/>
        </w:rPr>
        <w:t xml:space="preserve">” means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sz w:val="20"/>
        </w:rPr>
        <w:t xml:space="preserve">(c) [***]; </w:t>
      </w:r>
    </w:p>
    <w:p>
      <w:pPr>
        <w:pStyle w:val="TextBody"/>
        <w:bidi w:val="0"/>
        <w:spacing w:before="240" w:after="0"/>
        <w:jc w:val="left"/>
        <w:rPr>
          <w:rFonts w:ascii="Times New Roman" w:hAnsi="Times New Roman"/>
          <w:sz w:val="20"/>
        </w:rPr>
      </w:pPr>
      <w:r>
        <w:rPr>
          <w:rFonts w:ascii="Times New Roman" w:hAnsi="Times New Roman"/>
          <w:sz w:val="20"/>
        </w:rPr>
        <w:t xml:space="preserve">(d) [***]; </w:t>
      </w:r>
    </w:p>
    <w:p>
      <w:pPr>
        <w:pStyle w:val="TextBody"/>
        <w:bidi w:val="0"/>
        <w:spacing w:before="240" w:after="0"/>
        <w:jc w:val="left"/>
        <w:rPr>
          <w:rFonts w:ascii="Times New Roman" w:hAnsi="Times New Roman"/>
          <w:sz w:val="20"/>
        </w:rPr>
      </w:pPr>
      <w:r>
        <w:rPr>
          <w:rFonts w:ascii="Times New Roman" w:hAnsi="Times New Roman"/>
          <w:sz w:val="20"/>
        </w:rPr>
        <w:t xml:space="preserve">(e) [***]; </w:t>
      </w:r>
    </w:p>
    <w:p>
      <w:pPr>
        <w:pStyle w:val="TextBody"/>
        <w:bidi w:val="0"/>
        <w:spacing w:before="240" w:after="0"/>
        <w:jc w:val="left"/>
        <w:rPr>
          <w:rFonts w:ascii="Times New Roman" w:hAnsi="Times New Roman"/>
          <w:sz w:val="20"/>
        </w:rPr>
      </w:pPr>
      <w:r>
        <w:rPr>
          <w:rFonts w:ascii="Times New Roman" w:hAnsi="Times New Roman"/>
          <w:sz w:val="20"/>
        </w:rPr>
        <w:t xml:space="preserve">(f) [***]; and </w:t>
      </w:r>
    </w:p>
    <w:p>
      <w:pPr>
        <w:pStyle w:val="TextBody"/>
        <w:bidi w:val="0"/>
        <w:spacing w:before="240" w:after="0"/>
        <w:jc w:val="left"/>
        <w:rPr>
          <w:rFonts w:ascii="Times New Roman" w:hAnsi="Times New Roman"/>
          <w:sz w:val="20"/>
        </w:rPr>
      </w:pPr>
      <w:r>
        <w:rPr>
          <w:rFonts w:ascii="Times New Roman" w:hAnsi="Times New Roman"/>
          <w:sz w:val="20"/>
        </w:rPr>
        <w:t xml:space="preserve">(g) [***].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1.65</w:t>
      </w:r>
      <w:r>
        <w:rPr>
          <w:rFonts w:ascii="Times New Roman" w:hAnsi="Times New Roman"/>
          <w:sz w:val="20"/>
        </w:rPr>
        <w:t xml:space="preserve"> “</w:t>
      </w:r>
      <w:r>
        <w:rPr>
          <w:rFonts w:ascii="Times New Roman" w:hAnsi="Times New Roman"/>
          <w:b/>
          <w:i/>
          <w:sz w:val="20"/>
        </w:rPr>
        <w:t>NMPA</w:t>
      </w:r>
      <w:r>
        <w:rPr>
          <w:rFonts w:ascii="Times New Roman" w:hAnsi="Times New Roman"/>
          <w:sz w:val="20"/>
        </w:rPr>
        <w:t xml:space="preserve">” means China National Medical Products Administration and its divisions (including Center for Drug Evaluation) and successors. </w:t>
      </w:r>
    </w:p>
    <w:p>
      <w:pPr>
        <w:pStyle w:val="TextBody"/>
        <w:bidi w:val="0"/>
        <w:spacing w:before="240" w:after="0"/>
        <w:jc w:val="left"/>
        <w:rPr>
          <w:rFonts w:ascii="Times New Roman" w:hAnsi="Times New Roman"/>
          <w:sz w:val="20"/>
        </w:rPr>
      </w:pPr>
      <w:r>
        <w:rPr>
          <w:rFonts w:ascii="Times New Roman" w:hAnsi="Times New Roman"/>
          <w:b/>
          <w:sz w:val="20"/>
        </w:rPr>
        <w:t>1.66</w:t>
      </w:r>
      <w:r>
        <w:rPr>
          <w:rFonts w:ascii="Times New Roman" w:hAnsi="Times New Roman"/>
          <w:sz w:val="20"/>
        </w:rPr>
        <w:t xml:space="preserve"> “</w:t>
      </w:r>
      <w:r>
        <w:rPr>
          <w:rFonts w:ascii="Times New Roman" w:hAnsi="Times New Roman"/>
          <w:b/>
          <w:i/>
          <w:sz w:val="20"/>
        </w:rPr>
        <w:t>Out-of-Pocket Costs</w:t>
      </w:r>
      <w:r>
        <w:rPr>
          <w:rFonts w:ascii="Times New Roman" w:hAnsi="Times New Roman"/>
          <w:sz w:val="20"/>
        </w:rPr>
        <w:t xml:space="preserve">” means reasonable amounts paid by a Party or any of its Affiliates to Third Party subcontractors (without mark-up by such Party or any of its Affiliates) under arm’s length arrangements for services or material provided by such subcontractors in performance of activities under this Agreement. </w:t>
      </w:r>
    </w:p>
    <w:p>
      <w:pPr>
        <w:pStyle w:val="TextBody"/>
        <w:bidi w:val="0"/>
        <w:spacing w:before="240" w:after="0"/>
        <w:jc w:val="left"/>
        <w:rPr>
          <w:rFonts w:ascii="Times New Roman" w:hAnsi="Times New Roman"/>
          <w:sz w:val="20"/>
        </w:rPr>
      </w:pPr>
      <w:r>
        <w:rPr>
          <w:rFonts w:ascii="Times New Roman" w:hAnsi="Times New Roman"/>
          <w:b/>
          <w:sz w:val="20"/>
        </w:rPr>
        <w:t>1.67</w:t>
      </w:r>
      <w:r>
        <w:rPr>
          <w:rFonts w:ascii="Times New Roman" w:hAnsi="Times New Roman"/>
          <w:sz w:val="20"/>
        </w:rPr>
        <w:t xml:space="preserve"> “</w:t>
      </w:r>
      <w:r>
        <w:rPr>
          <w:rFonts w:ascii="Times New Roman" w:hAnsi="Times New Roman"/>
          <w:b/>
          <w:i/>
          <w:sz w:val="20"/>
        </w:rPr>
        <w:t>Patent Prosecution</w:t>
      </w:r>
      <w:r>
        <w:rPr>
          <w:rFonts w:ascii="Times New Roman" w:hAnsi="Times New Roman"/>
          <w:sz w:val="20"/>
        </w:rPr>
        <w:t xml:space="preserve">” means activities directed to (a) preparing, filing and prosecuting applications (of all types) for any Patent Right, (b) managing any interference, opposition, re-issue, reexamination, supplemental examination, invalidation proceedings (including </w:t>
      </w:r>
      <w:r>
        <w:rPr>
          <w:rFonts w:ascii="Times New Roman" w:hAnsi="Times New Roman"/>
          <w:i/>
          <w:sz w:val="20"/>
        </w:rPr>
        <w:t>inter partes</w:t>
      </w:r>
      <w:r>
        <w:rPr>
          <w:rFonts w:ascii="Times New Roman" w:hAnsi="Times New Roman"/>
          <w:sz w:val="20"/>
        </w:rPr>
        <w:t xml:space="preserve"> or post-grant review proceedings), revocation, nullification, or cancellation proceeding relating to the foregoing Patent Rights, (c) maintaining issued Patent Right(s), (d) listing in regulatory publications such as the Purple Book and its equivalents (as applicable), (e) obtaining patent term extensions, supplementary protection certificates and the like for issued Patent Right(s), and maintenance thereof, and (f) managing, including settling, any interference, opposition, reexamination, invalidation, revocation, nullification or cancellation proceeding relating to issued Patent Right(s), but excluding the defense of challenges to Patent Rights as a declaratory judgment action or as a counterclaim in an infringement proceeding. </w:t>
      </w:r>
    </w:p>
    <w:p>
      <w:pPr>
        <w:pStyle w:val="TextBody"/>
        <w:bidi w:val="0"/>
        <w:spacing w:before="240" w:after="0"/>
        <w:jc w:val="left"/>
        <w:rPr>
          <w:rFonts w:ascii="Times New Roman" w:hAnsi="Times New Roman"/>
          <w:sz w:val="20"/>
        </w:rPr>
      </w:pPr>
      <w:r>
        <w:rPr>
          <w:rFonts w:ascii="Times New Roman" w:hAnsi="Times New Roman"/>
          <w:b/>
          <w:sz w:val="20"/>
        </w:rPr>
        <w:t>1.68</w:t>
      </w:r>
      <w:r>
        <w:rPr>
          <w:rFonts w:ascii="Times New Roman" w:hAnsi="Times New Roman"/>
          <w:sz w:val="20"/>
        </w:rPr>
        <w:t xml:space="preserve"> “</w:t>
      </w:r>
      <w:r>
        <w:rPr>
          <w:rFonts w:ascii="Times New Roman" w:hAnsi="Times New Roman"/>
          <w:b/>
          <w:i/>
          <w:sz w:val="20"/>
        </w:rPr>
        <w:t>Patent Right</w:t>
      </w:r>
      <w:r>
        <w:rPr>
          <w:rFonts w:ascii="Times New Roman" w:hAnsi="Times New Roman"/>
          <w:sz w:val="20"/>
        </w:rPr>
        <w:t xml:space="preserve">” means (a) all patents and patent applications in any country or supranational jurisdiction, (b) any substitutions, divisionals, continuations, continuations-in-part, provisional applications, reissues, renewals, registrations, confirmations, re-examinations, extensions, supplementary protection certificates and the like of any such patents or patent applications, (c) foreign counterparts of any of the foregoing, (d) all applications claiming priority to any of the foregoing and (e) any patents issuing on any patent application identified in clauses (a) through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1.69</w:t>
      </w:r>
      <w:r>
        <w:rPr>
          <w:rFonts w:ascii="Times New Roman" w:hAnsi="Times New Roman"/>
          <w:sz w:val="20"/>
        </w:rPr>
        <w:t xml:space="preserve"> “</w:t>
      </w:r>
      <w:r>
        <w:rPr>
          <w:rFonts w:ascii="Times New Roman" w:hAnsi="Times New Roman"/>
          <w:b/>
          <w:i/>
          <w:sz w:val="20"/>
        </w:rPr>
        <w:t>Person</w:t>
      </w:r>
      <w:r>
        <w:rPr>
          <w:rFonts w:ascii="Times New Roman" w:hAnsi="Times New Roman"/>
          <w:sz w:val="20"/>
        </w:rPr>
        <w:t xml:space="preserve">” means any individual, partnership, limited partnership, limited liability partnership, corporation, limited liability company, business trust, joint stock company, trust, incorporated association, joint venture, unincorporated organization or association, or Governmental Authority. </w:t>
      </w:r>
    </w:p>
    <w:p>
      <w:pPr>
        <w:pStyle w:val="TextBody"/>
        <w:bidi w:val="0"/>
        <w:spacing w:before="240" w:after="0"/>
        <w:jc w:val="left"/>
        <w:rPr>
          <w:rFonts w:ascii="Times New Roman" w:hAnsi="Times New Roman"/>
          <w:sz w:val="20"/>
        </w:rPr>
      </w:pPr>
      <w:r>
        <w:rPr>
          <w:rFonts w:ascii="Times New Roman" w:hAnsi="Times New Roman"/>
          <w:b/>
          <w:sz w:val="20"/>
        </w:rPr>
        <w:t>1.70</w:t>
      </w:r>
      <w:r>
        <w:rPr>
          <w:rFonts w:ascii="Times New Roman" w:hAnsi="Times New Roman"/>
          <w:sz w:val="20"/>
        </w:rPr>
        <w:t xml:space="preserve"> “</w:t>
      </w:r>
      <w:r>
        <w:rPr>
          <w:rFonts w:ascii="Times New Roman" w:hAnsi="Times New Roman"/>
          <w:b/>
          <w:i/>
          <w:sz w:val="20"/>
        </w:rPr>
        <w:t>Personal Data</w:t>
      </w:r>
      <w:r>
        <w:rPr>
          <w:rFonts w:ascii="Times New Roman" w:hAnsi="Times New Roman"/>
          <w:sz w:val="20"/>
        </w:rPr>
        <w:t xml:space="preserve">” means, to the extent arising out of or related to this Agreement, (a) all information relating to an identified or identifiable individual, including pseudonymized (key-coded) data arising out of or related to any Clinical Trials containing such information; and (b) any other information that constitutes “personal data,” “personal information,” or a similar term under applicable Data Security and Protection Laws. </w:t>
      </w:r>
    </w:p>
    <w:p>
      <w:pPr>
        <w:pStyle w:val="TextBody"/>
        <w:bidi w:val="0"/>
        <w:spacing w:before="240" w:after="0"/>
        <w:jc w:val="left"/>
        <w:rPr>
          <w:rFonts w:ascii="Times New Roman" w:hAnsi="Times New Roman"/>
          <w:sz w:val="20"/>
        </w:rPr>
      </w:pPr>
      <w:r>
        <w:rPr>
          <w:rFonts w:ascii="Times New Roman" w:hAnsi="Times New Roman"/>
          <w:b/>
          <w:sz w:val="20"/>
        </w:rPr>
        <w:t>1.71</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1.72</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1.73</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1.74</w:t>
      </w:r>
      <w:r>
        <w:rPr>
          <w:rFonts w:ascii="Times New Roman" w:hAnsi="Times New Roman"/>
          <w:sz w:val="20"/>
        </w:rPr>
        <w:t xml:space="preserve"> “</w:t>
      </w:r>
      <w:r>
        <w:rPr>
          <w:rFonts w:ascii="Times New Roman" w:hAnsi="Times New Roman"/>
          <w:b/>
          <w:i/>
          <w:sz w:val="20"/>
        </w:rPr>
        <w:t>Process</w:t>
      </w:r>
      <w:r>
        <w:rPr>
          <w:rFonts w:ascii="Times New Roman" w:hAnsi="Times New Roman"/>
          <w:sz w:val="20"/>
        </w:rPr>
        <w:t>” or “</w:t>
      </w:r>
      <w:r>
        <w:rPr>
          <w:rFonts w:ascii="Times New Roman" w:hAnsi="Times New Roman"/>
          <w:b/>
          <w:i/>
          <w:sz w:val="20"/>
        </w:rPr>
        <w:t>Processing</w:t>
      </w:r>
      <w:r>
        <w:rPr>
          <w:rFonts w:ascii="Times New Roman" w:hAnsi="Times New Roman"/>
          <w:sz w:val="20"/>
        </w:rPr>
        <w:t xml:space="preserve">” (and any inflection thereof) means any operation or set of operations performed on data (including Personal Data), whether or not by automatic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rFonts w:ascii="Times New Roman" w:hAnsi="Times New Roman"/>
          <w:sz w:val="20"/>
        </w:rPr>
      </w:pPr>
      <w:r>
        <w:rPr>
          <w:rFonts w:ascii="Times New Roman" w:hAnsi="Times New Roman"/>
          <w:b/>
          <w:sz w:val="20"/>
        </w:rPr>
        <w:t>1.75</w:t>
      </w:r>
      <w:r>
        <w:rPr>
          <w:rFonts w:ascii="Times New Roman" w:hAnsi="Times New Roman"/>
          <w:sz w:val="20"/>
        </w:rPr>
        <w:t xml:space="preserve"> “</w:t>
      </w:r>
      <w:r>
        <w:rPr>
          <w:rFonts w:ascii="Times New Roman" w:hAnsi="Times New Roman"/>
          <w:b/>
          <w:i/>
          <w:sz w:val="20"/>
        </w:rPr>
        <w:t>Registrational Clinical Trial</w:t>
      </w:r>
      <w:r>
        <w:rPr>
          <w:rFonts w:ascii="Times New Roman" w:hAnsi="Times New Roman"/>
          <w:sz w:val="20"/>
        </w:rPr>
        <w:t xml:space="preserve">” means, with respect to a Licensed Product, a Clinical Trial that is prospectively designed to demonstrate with statistical significance that such Licensed Product is safe and effective for its intended use and that satisfies the following criteria, as confirmed by the applicable Regulatory Authority through written feedback, a special protocol assessment, or other official written guidance provided prior to or at the initiation of such trial: (a) it would satisfy the requirements of 21 C.F.R. § 312.21(c) or corresponding foreign regulations; or (b) it is otherwise intended, at the time of Initiation, to form the primary basis for an application for marketing approval of such Licensed Product (or a new indication or expanded use for an already approved Licensed Product). </w:t>
      </w:r>
    </w:p>
    <w:p>
      <w:pPr>
        <w:pStyle w:val="TextBody"/>
        <w:bidi w:val="0"/>
        <w:spacing w:before="240" w:after="0"/>
        <w:jc w:val="left"/>
        <w:rPr>
          <w:rFonts w:ascii="Times New Roman" w:hAnsi="Times New Roman"/>
          <w:sz w:val="20"/>
        </w:rPr>
      </w:pPr>
      <w:r>
        <w:rPr>
          <w:rFonts w:ascii="Times New Roman" w:hAnsi="Times New Roman"/>
          <w:b/>
          <w:sz w:val="20"/>
        </w:rPr>
        <w:t>1.76</w:t>
      </w:r>
      <w:r>
        <w:rPr>
          <w:rFonts w:ascii="Times New Roman" w:hAnsi="Times New Roman"/>
          <w:sz w:val="20"/>
        </w:rPr>
        <w:t xml:space="preserve"> “</w:t>
      </w:r>
      <w:r>
        <w:rPr>
          <w:rFonts w:ascii="Times New Roman" w:hAnsi="Times New Roman"/>
          <w:b/>
          <w:i/>
          <w:sz w:val="20"/>
        </w:rPr>
        <w:t>Regulatory Approval</w:t>
      </w:r>
      <w:r>
        <w:rPr>
          <w:rFonts w:ascii="Times New Roman" w:hAnsi="Times New Roman"/>
          <w:sz w:val="20"/>
        </w:rPr>
        <w:t xml:space="preserve">” means, with respect to a pharmaceutical or biological product in a country, any and all licenses, registrations, authorizations and approvals of the applicable Governmental Authority, including a Biologics License Application (BLA) in the United States or any foreign equivalent thereof, as applicable, that are necessary to Commercialize such product in such country, but which shall exclude any pricing or reimbursement authorizations and approvals. </w:t>
      </w:r>
    </w:p>
    <w:p>
      <w:pPr>
        <w:pStyle w:val="TextBody"/>
        <w:bidi w:val="0"/>
        <w:spacing w:before="240" w:after="0"/>
        <w:jc w:val="left"/>
        <w:rPr>
          <w:rFonts w:ascii="Times New Roman" w:hAnsi="Times New Roman"/>
          <w:sz w:val="20"/>
        </w:rPr>
      </w:pPr>
      <w:r>
        <w:rPr>
          <w:rFonts w:ascii="Times New Roman" w:hAnsi="Times New Roman"/>
          <w:b/>
          <w:sz w:val="20"/>
        </w:rPr>
        <w:t>1.77</w:t>
      </w:r>
      <w:r>
        <w:rPr>
          <w:rFonts w:ascii="Times New Roman" w:hAnsi="Times New Roman"/>
          <w:sz w:val="20"/>
        </w:rPr>
        <w:t xml:space="preserve"> “</w:t>
      </w:r>
      <w:r>
        <w:rPr>
          <w:rFonts w:ascii="Times New Roman" w:hAnsi="Times New Roman"/>
          <w:b/>
          <w:i/>
          <w:sz w:val="20"/>
        </w:rPr>
        <w:t>Regulatory Authority</w:t>
      </w:r>
      <w:r>
        <w:rPr>
          <w:rFonts w:ascii="Times New Roman" w:hAnsi="Times New Roman"/>
          <w:sz w:val="20"/>
        </w:rPr>
        <w:t xml:space="preserve">” means any Governmental Authority responsible for granting Regulatory Approvals. “Regulatory Authority” includes the FDA, NMPA and any corresponding national or regional regulatory authorities, and any successor agency of the foregoing. </w:t>
      </w:r>
    </w:p>
    <w:p>
      <w:pPr>
        <w:pStyle w:val="TextBody"/>
        <w:bidi w:val="0"/>
        <w:spacing w:before="240" w:after="0"/>
        <w:jc w:val="left"/>
        <w:rPr>
          <w:rFonts w:ascii="Times New Roman" w:hAnsi="Times New Roman"/>
          <w:sz w:val="20"/>
        </w:rPr>
      </w:pPr>
      <w:r>
        <w:rPr>
          <w:rFonts w:ascii="Times New Roman" w:hAnsi="Times New Roman"/>
          <w:b/>
          <w:sz w:val="20"/>
        </w:rPr>
        <w:t>1.78</w:t>
      </w:r>
      <w:r>
        <w:rPr>
          <w:rFonts w:ascii="Times New Roman" w:hAnsi="Times New Roman"/>
          <w:sz w:val="20"/>
        </w:rPr>
        <w:t xml:space="preserve"> “</w:t>
      </w:r>
      <w:r>
        <w:rPr>
          <w:rFonts w:ascii="Times New Roman" w:hAnsi="Times New Roman"/>
          <w:b/>
          <w:i/>
          <w:sz w:val="20"/>
        </w:rPr>
        <w:t>Regulatory Documents</w:t>
      </w:r>
      <w:r>
        <w:rPr>
          <w:rFonts w:ascii="Times New Roman" w:hAnsi="Times New Roman"/>
          <w:sz w:val="20"/>
        </w:rPr>
        <w:t xml:space="preserve">” means any filing, application or submission with any Regulatory Authority, including authorizations, approvals or clearances arising from the foregoing, including Regulatory Approvals, and all written correspondence or written communication with or from the relevant Regulatory Authority, as well as minutes of any material meetings, telephone conferences or discussions with the relevant Regulatory Authority, in each case, with respect to the Licensed Therapeutic or the Licensed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1.79</w:t>
      </w:r>
      <w:r>
        <w:rPr>
          <w:rFonts w:ascii="Times New Roman" w:hAnsi="Times New Roman"/>
          <w:sz w:val="20"/>
        </w:rPr>
        <w:t xml:space="preserve"> “</w:t>
      </w:r>
      <w:r>
        <w:rPr>
          <w:rFonts w:ascii="Times New Roman" w:hAnsi="Times New Roman"/>
          <w:b/>
          <w:i/>
          <w:sz w:val="20"/>
        </w:rPr>
        <w:t>Regulatory Exclusivity</w:t>
      </w:r>
      <w:r>
        <w:rPr>
          <w:rFonts w:ascii="Times New Roman" w:hAnsi="Times New Roman"/>
          <w:sz w:val="20"/>
        </w:rPr>
        <w:t xml:space="preserve">” means any exclusive marketing rights or data exclusivity rights (other than Patent Rights) conferred by any Regulatory Authority with respect to a pharmaceutical or medical product, including pediatric exclusivity and orphan drug exclusivity. </w:t>
      </w:r>
    </w:p>
    <w:p>
      <w:pPr>
        <w:pStyle w:val="TextBody"/>
        <w:bidi w:val="0"/>
        <w:spacing w:before="240" w:after="0"/>
        <w:jc w:val="left"/>
        <w:rPr>
          <w:rFonts w:ascii="Times New Roman" w:hAnsi="Times New Roman"/>
          <w:sz w:val="20"/>
        </w:rPr>
      </w:pPr>
      <w:r>
        <w:rPr>
          <w:rFonts w:ascii="Times New Roman" w:hAnsi="Times New Roman"/>
          <w:b/>
          <w:sz w:val="20"/>
        </w:rPr>
        <w:t>1.80</w:t>
      </w:r>
      <w:r>
        <w:rPr>
          <w:rFonts w:ascii="Times New Roman" w:hAnsi="Times New Roman"/>
          <w:sz w:val="20"/>
        </w:rPr>
        <w:t xml:space="preserve"> “</w:t>
      </w:r>
      <w:r>
        <w:rPr>
          <w:rFonts w:ascii="Times New Roman" w:hAnsi="Times New Roman"/>
          <w:b/>
          <w:i/>
          <w:sz w:val="20"/>
        </w:rPr>
        <w:t>Retained Territory</w:t>
      </w:r>
      <w:r>
        <w:rPr>
          <w:rFonts w:ascii="Times New Roman" w:hAnsi="Times New Roman"/>
          <w:sz w:val="20"/>
        </w:rPr>
        <w:t xml:space="preserve">” means greater China (which, for the purposes of clarity, means mainland China, Hong Kong, Macau, and Taiwan). </w:t>
      </w:r>
    </w:p>
    <w:p>
      <w:pPr>
        <w:pStyle w:val="TextBody"/>
        <w:bidi w:val="0"/>
        <w:spacing w:before="240" w:after="0"/>
        <w:jc w:val="left"/>
        <w:rPr>
          <w:rFonts w:ascii="Times New Roman" w:hAnsi="Times New Roman"/>
          <w:sz w:val="20"/>
        </w:rPr>
      </w:pPr>
      <w:r>
        <w:rPr>
          <w:rFonts w:ascii="Times New Roman" w:hAnsi="Times New Roman"/>
          <w:b/>
          <w:sz w:val="20"/>
        </w:rPr>
        <w:t>1.81</w:t>
      </w:r>
      <w:r>
        <w:rPr>
          <w:rFonts w:ascii="Times New Roman" w:hAnsi="Times New Roman"/>
          <w:sz w:val="20"/>
        </w:rPr>
        <w:t xml:space="preserve"> “</w:t>
      </w:r>
      <w:r>
        <w:rPr>
          <w:rFonts w:ascii="Times New Roman" w:hAnsi="Times New Roman"/>
          <w:b/>
          <w:i/>
          <w:sz w:val="20"/>
        </w:rPr>
        <w:t>Royalty Term</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b/>
          <w:sz w:val="20"/>
        </w:rPr>
        <w:t>1.82</w:t>
      </w:r>
      <w:r>
        <w:rPr>
          <w:rFonts w:ascii="Times New Roman" w:hAnsi="Times New Roman"/>
          <w:sz w:val="20"/>
        </w:rPr>
        <w:t xml:space="preserve"> “</w:t>
      </w:r>
      <w:r>
        <w:rPr>
          <w:rFonts w:ascii="Times New Roman" w:hAnsi="Times New Roman"/>
          <w:b/>
          <w:i/>
          <w:sz w:val="20"/>
        </w:rPr>
        <w:t>Sublicensee</w:t>
      </w:r>
      <w:r>
        <w:rPr>
          <w:rFonts w:ascii="Times New Roman" w:hAnsi="Times New Roman"/>
          <w:sz w:val="20"/>
        </w:rPr>
        <w:t xml:space="preserve">” means any Third Party, including a co-development, co-promotion or co-marketing partner, to whom Company or any of its Affiliates grants a sublicense of the license(s) pursuant to </w:t>
      </w:r>
      <w:r>
        <w:rPr>
          <w:rFonts w:ascii="Times New Roman" w:hAnsi="Times New Roman"/>
          <w:sz w:val="20"/>
          <w:u w:val="single"/>
        </w:rPr>
        <w:t>Section 2.2</w:t>
      </w:r>
      <w:r>
        <w:rPr>
          <w:rFonts w:ascii="Times New Roman" w:hAnsi="Times New Roman"/>
          <w:sz w:val="20"/>
        </w:rPr>
        <w:t xml:space="preserve">, but excluding service providers, CROs, CMOs, wholesalers, distributors or other Subcontractors. </w:t>
      </w:r>
    </w:p>
    <w:p>
      <w:pPr>
        <w:pStyle w:val="TextBody"/>
        <w:bidi w:val="0"/>
        <w:spacing w:before="240" w:after="0"/>
        <w:jc w:val="left"/>
        <w:rPr/>
      </w:pPr>
      <w:r>
        <w:rPr>
          <w:rFonts w:ascii="Times New Roman" w:hAnsi="Times New Roman"/>
          <w:b/>
          <w:sz w:val="20"/>
        </w:rPr>
        <w:t>1.83</w:t>
      </w:r>
      <w:r>
        <w:rPr>
          <w:rFonts w:ascii="Times New Roman" w:hAnsi="Times New Roman"/>
          <w:sz w:val="20"/>
        </w:rPr>
        <w:t xml:space="preserve"> “</w:t>
      </w:r>
      <w:r>
        <w:rPr>
          <w:rFonts w:ascii="Times New Roman" w:hAnsi="Times New Roman"/>
          <w:b/>
          <w:i/>
          <w:sz w:val="20"/>
        </w:rPr>
        <w:t>TAR Regulations</w:t>
      </w:r>
      <w:r>
        <w:rPr>
          <w:rFonts w:ascii="Times New Roman" w:hAnsi="Times New Roman"/>
          <w:sz w:val="20"/>
        </w:rPr>
        <w:t>” shall mean the Administrative Regulations of the People’s Republic of China on Technology Agreement Recognition and Registration (</w:t>
      </w:r>
      <w:r>
        <w:rPr>
          <w:rFonts w:eastAsia="PMingLiU"/>
          <w:sz w:val="20"/>
        </w:rPr>
        <w:t>《技术合同认定登记管理办法》</w:t>
      </w:r>
      <w:r>
        <w:rPr>
          <w:rFonts w:ascii="Times New Roman" w:hAnsi="Times New Roman"/>
          <w:sz w:val="20"/>
        </w:rPr>
        <w:t>) that were issued on February 16, 2000, as well as associated regulations, including the Technology Agreement Recognition Rules (</w:t>
      </w:r>
      <w:r>
        <w:rPr>
          <w:rFonts w:eastAsia="PMingLiU"/>
          <w:sz w:val="20"/>
        </w:rPr>
        <w:t>《技术合同认定规则》</w:t>
      </w:r>
      <w:r>
        <w:rPr>
          <w:rFonts w:ascii="Times New Roman" w:hAnsi="Times New Roman"/>
          <w:sz w:val="20"/>
        </w:rPr>
        <w:t xml:space="preserve">) issued on July 18, 2001, as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1.84</w:t>
      </w:r>
      <w:r>
        <w:rPr>
          <w:rFonts w:ascii="Times New Roman" w:hAnsi="Times New Roman"/>
          <w:sz w:val="20"/>
        </w:rPr>
        <w:t xml:space="preserve"> “</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all forms of preliminary or finally imposed taxation, domestic and foreign taxes, fees, levies, duties and other assessments or charges of whatever kind (including sales, use, excise, stamp, transfer, property, value added, goods and services, withholding and franchise taxes) together with any interest, penalties or additions payable in connection with such taxes, fees, levies duties and other assessments or charges. </w:t>
      </w:r>
    </w:p>
    <w:p>
      <w:pPr>
        <w:pStyle w:val="TextBody"/>
        <w:bidi w:val="0"/>
        <w:spacing w:before="240" w:after="0"/>
        <w:jc w:val="left"/>
        <w:rPr>
          <w:rFonts w:ascii="Times New Roman" w:hAnsi="Times New Roman"/>
          <w:sz w:val="20"/>
        </w:rPr>
      </w:pPr>
      <w:r>
        <w:rPr>
          <w:rFonts w:ascii="Times New Roman" w:hAnsi="Times New Roman"/>
          <w:b/>
          <w:sz w:val="20"/>
        </w:rPr>
        <w:t>1.85</w:t>
      </w:r>
      <w:r>
        <w:rPr>
          <w:rFonts w:ascii="Times New Roman" w:hAnsi="Times New Roman"/>
          <w:sz w:val="20"/>
        </w:rPr>
        <w:t xml:space="preserve"> “</w:t>
      </w:r>
      <w:r>
        <w:rPr>
          <w:rFonts w:ascii="Times New Roman" w:hAnsi="Times New Roman"/>
          <w:b/>
          <w:i/>
          <w:sz w:val="20"/>
        </w:rPr>
        <w:t>Third Party</w:t>
      </w:r>
      <w:r>
        <w:rPr>
          <w:rFonts w:ascii="Times New Roman" w:hAnsi="Times New Roman"/>
          <w:sz w:val="20"/>
        </w:rPr>
        <w:t xml:space="preserve">” means any Person other than a Party or an Affiliate of a Party. </w:t>
      </w:r>
    </w:p>
    <w:p>
      <w:pPr>
        <w:pStyle w:val="TextBody"/>
        <w:bidi w:val="0"/>
        <w:spacing w:before="240" w:after="0"/>
        <w:jc w:val="left"/>
        <w:rPr>
          <w:rFonts w:ascii="Times New Roman" w:hAnsi="Times New Roman"/>
          <w:sz w:val="20"/>
        </w:rPr>
      </w:pPr>
      <w:r>
        <w:rPr>
          <w:rFonts w:ascii="Times New Roman" w:hAnsi="Times New Roman"/>
          <w:b/>
          <w:sz w:val="20"/>
        </w:rPr>
        <w:t>1.86</w:t>
      </w:r>
      <w:r>
        <w:rPr>
          <w:rFonts w:ascii="Times New Roman" w:hAnsi="Times New Roman"/>
          <w:sz w:val="20"/>
        </w:rPr>
        <w:t xml:space="preserve"> “</w:t>
      </w:r>
      <w:r>
        <w:rPr>
          <w:rFonts w:ascii="Times New Roman" w:hAnsi="Times New Roman"/>
          <w:b/>
          <w:i/>
          <w:sz w:val="20"/>
        </w:rPr>
        <w:t>Third Party Licensee</w:t>
      </w:r>
      <w:r>
        <w:rPr>
          <w:rFonts w:ascii="Times New Roman" w:hAnsi="Times New Roman"/>
          <w:sz w:val="20"/>
        </w:rPr>
        <w:t xml:space="preserve">” means any Third Party holding a license (whether exclusive or non-exclusive) under the Licensed Technology in the Field in the Retained Territory, but excluding service providers, CROs, CMOs, wholesalers, distributors or other subcontractors. </w:t>
      </w:r>
    </w:p>
    <w:p>
      <w:pPr>
        <w:pStyle w:val="TextBody"/>
        <w:bidi w:val="0"/>
        <w:spacing w:before="240" w:after="0"/>
        <w:jc w:val="left"/>
        <w:rPr/>
      </w:pPr>
      <w:r>
        <w:rPr>
          <w:rFonts w:ascii="Times New Roman" w:hAnsi="Times New Roman"/>
          <w:b/>
          <w:sz w:val="20"/>
        </w:rPr>
        <w:t>1.87</w:t>
      </w:r>
      <w:r>
        <w:rPr>
          <w:rFonts w:ascii="Times New Roman" w:hAnsi="Times New Roman"/>
          <w:sz w:val="20"/>
        </w:rPr>
        <w:t xml:space="preserve"> “</w:t>
      </w:r>
      <w:r>
        <w:rPr>
          <w:rFonts w:ascii="Times New Roman" w:hAnsi="Times New Roman"/>
          <w:b/>
          <w:i/>
          <w:sz w:val="20"/>
        </w:rPr>
        <w:t>TIELR Regulations</w:t>
      </w:r>
      <w:r>
        <w:rPr>
          <w:rFonts w:ascii="Times New Roman" w:hAnsi="Times New Roman"/>
          <w:sz w:val="20"/>
        </w:rPr>
        <w:t>” means the Administrative Regulations of the People’s Republic of China on Technology Import and Export (</w:t>
      </w:r>
      <w:r>
        <w:rPr>
          <w:rFonts w:eastAsia="PMingLiU"/>
          <w:sz w:val="20"/>
        </w:rPr>
        <w:t>《中华人民共和国技术进出口管理条例》</w:t>
      </w:r>
      <w:r>
        <w:rPr>
          <w:rFonts w:ascii="Times New Roman" w:hAnsi="Times New Roman"/>
          <w:sz w:val="20"/>
        </w:rPr>
        <w:t xml:space="preserve">) (Revised in 2020), as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1.88</w:t>
      </w:r>
      <w:r>
        <w:rPr>
          <w:rFonts w:ascii="Times New Roman" w:hAnsi="Times New Roman"/>
          <w:sz w:val="20"/>
        </w:rPr>
        <w:t xml:space="preserve"> “</w:t>
      </w:r>
      <w:r>
        <w:rPr>
          <w:rFonts w:ascii="Times New Roman" w:hAnsi="Times New Roman"/>
          <w:b/>
          <w:i/>
          <w:sz w:val="20"/>
        </w:rPr>
        <w:t>Transaction Revenue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 For the avoidance of doubt, in the event this Agreement is terminated prior to a Change of Control transaction, no payments received by Company in connection with such Change of Control transaction shall constitute Transaction Revenue. To the extent Company is Developing or Commercializing more than one program at the time of a Change of Control transaction, the portion of the total consideration received in such Change of Control transaction that is attributable or reasonably allocable to the Licensed Product shall be determined by the Parties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1.89</w:t>
      </w:r>
      <w:r>
        <w:rPr>
          <w:rFonts w:ascii="Times New Roman" w:hAnsi="Times New Roman"/>
          <w:sz w:val="20"/>
        </w:rPr>
        <w:t xml:space="preserve"> “</w:t>
      </w:r>
      <w:r>
        <w:rPr>
          <w:rFonts w:ascii="Times New Roman" w:hAnsi="Times New Roman"/>
          <w:b/>
          <w:i/>
          <w:sz w:val="20"/>
        </w:rPr>
        <w:t>United States</w:t>
      </w:r>
      <w:r>
        <w:rPr>
          <w:rFonts w:ascii="Times New Roman" w:hAnsi="Times New Roman"/>
          <w:sz w:val="20"/>
        </w:rPr>
        <w:t xml:space="preserve">” means the United States of America. </w:t>
      </w:r>
    </w:p>
    <w:p>
      <w:pPr>
        <w:pStyle w:val="TextBody"/>
        <w:bidi w:val="0"/>
        <w:spacing w:before="240" w:after="0"/>
        <w:jc w:val="left"/>
        <w:rPr>
          <w:rFonts w:ascii="Times New Roman" w:hAnsi="Times New Roman"/>
          <w:sz w:val="20"/>
        </w:rPr>
      </w:pPr>
      <w:r>
        <w:rPr>
          <w:rFonts w:ascii="Times New Roman" w:hAnsi="Times New Roman"/>
          <w:b/>
          <w:sz w:val="20"/>
        </w:rPr>
        <w:t>1.90</w:t>
      </w:r>
      <w:r>
        <w:rPr>
          <w:rFonts w:ascii="Times New Roman" w:hAnsi="Times New Roman"/>
          <w:sz w:val="20"/>
        </w:rPr>
        <w:t xml:space="preserve"> “</w:t>
      </w:r>
      <w:r>
        <w:rPr>
          <w:rFonts w:ascii="Times New Roman" w:hAnsi="Times New Roman"/>
          <w:b/>
          <w:i/>
          <w:sz w:val="20"/>
        </w:rPr>
        <w:t>U.S. Bulk Data Final Rule</w:t>
      </w:r>
      <w:r>
        <w:rPr>
          <w:rFonts w:ascii="Times New Roman" w:hAnsi="Times New Roman"/>
          <w:sz w:val="20"/>
        </w:rPr>
        <w:t xml:space="preserve">” means the Final Rule Implementing Executive Order 14117 of February 28, 2024 (Preventing Access to Americans’ Bulk Sensitive Personal Data and United States Government-Related Data by Countries of Concern), 90 Fed. Reg. 1636. </w:t>
      </w:r>
    </w:p>
    <w:p>
      <w:pPr>
        <w:pStyle w:val="TextBody"/>
        <w:bidi w:val="0"/>
        <w:spacing w:before="240" w:after="0"/>
        <w:jc w:val="left"/>
        <w:rPr>
          <w:rFonts w:ascii="Times New Roman" w:hAnsi="Times New Roman"/>
          <w:sz w:val="20"/>
        </w:rPr>
      </w:pPr>
      <w:r>
        <w:rPr>
          <w:rFonts w:ascii="Times New Roman" w:hAnsi="Times New Roman"/>
          <w:b/>
          <w:sz w:val="20"/>
        </w:rPr>
        <w:t>1.91</w:t>
      </w:r>
      <w:r>
        <w:rPr>
          <w:rFonts w:ascii="Times New Roman" w:hAnsi="Times New Roman"/>
          <w:sz w:val="20"/>
        </w:rPr>
        <w:t xml:space="preserve"> “</w:t>
      </w:r>
      <w:r>
        <w:rPr>
          <w:rFonts w:ascii="Times New Roman" w:hAnsi="Times New Roman"/>
          <w:b/>
          <w:i/>
          <w:sz w:val="20"/>
        </w:rPr>
        <w:t>Valid Claim</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 xml:space="preserve">Additional Definitions. The following table identifies the location of additional definitions set forth in various Sections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9"/>
        <w:gridCol w:w="123"/>
        <w:gridCol w:w="4823"/>
      </w:tblGrid>
      <w:tr>
        <w:trPr/>
        <w:tc>
          <w:tcPr>
            <w:tcW w:w="525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123" w:type="dxa"/>
            <w:tcBorders/>
            <w:vAlign w:val="bottom"/>
          </w:tcPr>
          <w:p>
            <w:pPr>
              <w:pStyle w:val="TableContents"/>
              <w:bidi w:val="0"/>
              <w:spacing w:before="0" w:after="283"/>
              <w:jc w:val="left"/>
              <w:rPr/>
            </w:pPr>
            <w:r>
              <w:rPr/>
              <w:t>  </w:t>
            </w:r>
          </w:p>
        </w:tc>
        <w:tc>
          <w:tcPr>
            <w:tcW w:w="48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59" w:type="dxa"/>
            <w:tcBorders/>
          </w:tcPr>
          <w:p>
            <w:pPr>
              <w:pStyle w:val="TableContents"/>
              <w:bidi w:val="0"/>
              <w:spacing w:before="0" w:after="283"/>
              <w:jc w:val="left"/>
              <w:rPr>
                <w:b/>
                <w:i/>
              </w:rPr>
            </w:pPr>
            <w:r>
              <w:rPr>
                <w:b/>
                <w:i/>
              </w:rPr>
              <w:t>Additional Cure Period</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Agreement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Preamble</w:t>
            </w:r>
          </w:p>
        </w:tc>
      </w:tr>
      <w:tr>
        <w:trPr/>
        <w:tc>
          <w:tcPr>
            <w:tcW w:w="5259" w:type="dxa"/>
            <w:tcBorders/>
          </w:tcPr>
          <w:p>
            <w:pPr>
              <w:pStyle w:val="TableContents"/>
              <w:bidi w:val="0"/>
              <w:spacing w:before="0" w:after="283"/>
              <w:jc w:val="left"/>
              <w:rPr>
                <w:b/>
                <w:i/>
              </w:rPr>
            </w:pPr>
            <w:r>
              <w:rPr>
                <w:b/>
                <w:i/>
              </w:rPr>
              <w:t>Auditor</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7.13</w:t>
            </w:r>
          </w:p>
        </w:tc>
      </w:tr>
      <w:tr>
        <w:trPr/>
        <w:tc>
          <w:tcPr>
            <w:tcW w:w="5259" w:type="dxa"/>
            <w:tcBorders/>
          </w:tcPr>
          <w:p>
            <w:pPr>
              <w:pStyle w:val="TableContents"/>
              <w:bidi w:val="0"/>
              <w:spacing w:before="0" w:after="283"/>
              <w:jc w:val="left"/>
              <w:rPr>
                <w:b/>
                <w:i/>
              </w:rPr>
            </w:pPr>
            <w:r>
              <w:rPr>
                <w:b/>
                <w:i/>
              </w:rPr>
              <w:t>Bankruptcy Code</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12.4</w:t>
            </w:r>
          </w:p>
        </w:tc>
      </w:tr>
      <w:tr>
        <w:trPr/>
        <w:tc>
          <w:tcPr>
            <w:tcW w:w="5259" w:type="dxa"/>
            <w:tcBorders/>
          </w:tcPr>
          <w:p>
            <w:pPr>
              <w:pStyle w:val="TableContents"/>
              <w:bidi w:val="0"/>
              <w:spacing w:before="0" w:after="283"/>
              <w:jc w:val="left"/>
              <w:rPr>
                <w:b/>
                <w:i/>
              </w:rPr>
            </w:pPr>
            <w:r>
              <w:rPr>
                <w:b/>
                <w:i/>
              </w:rPr>
              <w:t>Biosimilar Application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11.3(c)</w:t>
            </w:r>
          </w:p>
        </w:tc>
      </w:tr>
      <w:tr>
        <w:trPr/>
        <w:tc>
          <w:tcPr>
            <w:tcW w:w="5259" w:type="dxa"/>
            <w:tcBorders/>
          </w:tcPr>
          <w:p>
            <w:pPr>
              <w:pStyle w:val="TableContents"/>
              <w:bidi w:val="0"/>
              <w:spacing w:before="0" w:after="283"/>
              <w:jc w:val="left"/>
              <w:rPr>
                <w:b/>
                <w:i/>
              </w:rPr>
            </w:pPr>
            <w:r>
              <w:rPr>
                <w:b/>
                <w:i/>
              </w:rPr>
              <w:t>Combination Product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1.64</w:t>
            </w:r>
          </w:p>
        </w:tc>
      </w:tr>
      <w:tr>
        <w:trPr/>
        <w:tc>
          <w:tcPr>
            <w:tcW w:w="5259" w:type="dxa"/>
            <w:tcBorders/>
          </w:tcPr>
          <w:p>
            <w:pPr>
              <w:pStyle w:val="TableContents"/>
              <w:bidi w:val="0"/>
              <w:spacing w:before="0" w:after="283"/>
              <w:jc w:val="left"/>
              <w:rPr>
                <w:b/>
                <w:i/>
              </w:rPr>
            </w:pPr>
            <w:r>
              <w:rPr>
                <w:b/>
                <w:i/>
              </w:rPr>
              <w:t>Company Indemnitees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10.2</w:t>
            </w:r>
          </w:p>
        </w:tc>
      </w:tr>
      <w:tr>
        <w:trPr/>
        <w:tc>
          <w:tcPr>
            <w:tcW w:w="5259" w:type="dxa"/>
            <w:tcBorders/>
          </w:tcPr>
          <w:p>
            <w:pPr>
              <w:pStyle w:val="TableContents"/>
              <w:bidi w:val="0"/>
              <w:spacing w:before="0" w:after="283"/>
              <w:jc w:val="left"/>
              <w:rPr>
                <w:b/>
                <w:i/>
              </w:rPr>
            </w:pPr>
            <w:r>
              <w:rPr>
                <w:b/>
                <w:i/>
              </w:rPr>
              <w:t>Confidential Information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8.1</w:t>
            </w:r>
          </w:p>
        </w:tc>
      </w:tr>
      <w:tr>
        <w:trPr/>
        <w:tc>
          <w:tcPr>
            <w:tcW w:w="5259" w:type="dxa"/>
            <w:tcBorders/>
          </w:tcPr>
          <w:p>
            <w:pPr>
              <w:pStyle w:val="TableContents"/>
              <w:bidi w:val="0"/>
              <w:spacing w:before="0" w:after="283"/>
              <w:jc w:val="left"/>
              <w:rPr>
                <w:b/>
                <w:i/>
              </w:rPr>
            </w:pPr>
            <w:r>
              <w:rPr>
                <w:b/>
                <w:i/>
              </w:rPr>
              <w:t>Data Breach</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9.6(c)</w:t>
            </w:r>
          </w:p>
        </w:tc>
      </w:tr>
      <w:tr>
        <w:trPr/>
        <w:tc>
          <w:tcPr>
            <w:tcW w:w="5259" w:type="dxa"/>
            <w:tcBorders/>
          </w:tcPr>
          <w:p>
            <w:pPr>
              <w:pStyle w:val="TableContents"/>
              <w:bidi w:val="0"/>
              <w:spacing w:before="0" w:after="283"/>
              <w:jc w:val="left"/>
              <w:rPr>
                <w:b/>
                <w:i/>
              </w:rPr>
            </w:pPr>
            <w:r>
              <w:rPr>
                <w:b/>
                <w:i/>
              </w:rPr>
              <w:t>Defaulting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Development Milestone Event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7.3</w:t>
            </w:r>
          </w:p>
        </w:tc>
      </w:tr>
      <w:tr>
        <w:trPr/>
        <w:tc>
          <w:tcPr>
            <w:tcW w:w="5259" w:type="dxa"/>
            <w:tcBorders/>
          </w:tcPr>
          <w:p>
            <w:pPr>
              <w:pStyle w:val="TableContents"/>
              <w:bidi w:val="0"/>
              <w:spacing w:before="0" w:after="283"/>
              <w:jc w:val="left"/>
              <w:rPr>
                <w:b/>
                <w:i/>
              </w:rPr>
            </w:pPr>
            <w:r>
              <w:rPr>
                <w:b/>
                <w:i/>
              </w:rPr>
              <w:t>Development Milestone Payment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7.3</w:t>
            </w:r>
          </w:p>
        </w:tc>
      </w:tr>
      <w:tr>
        <w:trPr/>
        <w:tc>
          <w:tcPr>
            <w:tcW w:w="5259" w:type="dxa"/>
            <w:tcBorders/>
          </w:tcPr>
          <w:p>
            <w:pPr>
              <w:pStyle w:val="TableContents"/>
              <w:bidi w:val="0"/>
              <w:spacing w:before="0" w:after="283"/>
              <w:jc w:val="left"/>
              <w:rPr>
                <w:b/>
                <w:i/>
              </w:rPr>
            </w:pPr>
            <w:r>
              <w:rPr>
                <w:b/>
                <w:i/>
              </w:rPr>
              <w:t>Disclosing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8.1</w:t>
            </w:r>
          </w:p>
        </w:tc>
      </w:tr>
      <w:tr>
        <w:trPr/>
        <w:tc>
          <w:tcPr>
            <w:tcW w:w="5259" w:type="dxa"/>
            <w:tcBorders/>
          </w:tcPr>
          <w:p>
            <w:pPr>
              <w:pStyle w:val="TableContents"/>
              <w:bidi w:val="0"/>
              <w:spacing w:before="0" w:after="283"/>
              <w:jc w:val="left"/>
              <w:rPr>
                <w:b/>
                <w:i/>
              </w:rPr>
            </w:pPr>
            <w:r>
              <w:rPr>
                <w:b/>
                <w:i/>
              </w:rPr>
              <w:t>Excluded Claims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13.7(e)</w:t>
            </w:r>
          </w:p>
        </w:tc>
      </w:tr>
      <w:tr>
        <w:trPr/>
        <w:tc>
          <w:tcPr>
            <w:tcW w:w="5259" w:type="dxa"/>
            <w:tcBorders/>
          </w:tcPr>
          <w:p>
            <w:pPr>
              <w:pStyle w:val="TableContents"/>
              <w:bidi w:val="0"/>
              <w:spacing w:before="0" w:after="283"/>
              <w:jc w:val="left"/>
              <w:rPr>
                <w:b/>
                <w:i/>
              </w:rPr>
            </w:pPr>
            <w:r>
              <w:rPr>
                <w:b/>
                <w:i/>
              </w:rPr>
              <w:t>Grace Period</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2.7(b)</w:t>
            </w:r>
          </w:p>
        </w:tc>
      </w:tr>
      <w:tr>
        <w:trPr/>
        <w:tc>
          <w:tcPr>
            <w:tcW w:w="5259" w:type="dxa"/>
            <w:tcBorders/>
          </w:tcPr>
          <w:p>
            <w:pPr>
              <w:pStyle w:val="TableContents"/>
              <w:bidi w:val="0"/>
              <w:spacing w:before="0" w:after="283"/>
              <w:jc w:val="left"/>
              <w:rPr>
                <w:b/>
                <w:i/>
              </w:rPr>
            </w:pPr>
            <w:r>
              <w:rPr>
                <w:b/>
                <w:i/>
              </w:rPr>
              <w:t>Indemnification Claim Notice</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Indemnified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Indemnifying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10.3</w:t>
            </w:r>
          </w:p>
        </w:tc>
      </w:tr>
      <w:tr>
        <w:trPr/>
        <w:tc>
          <w:tcPr>
            <w:tcW w:w="5259" w:type="dxa"/>
            <w:tcBorders/>
          </w:tcPr>
          <w:p>
            <w:pPr>
              <w:pStyle w:val="TableContents"/>
              <w:bidi w:val="0"/>
              <w:spacing w:before="0" w:after="283"/>
              <w:jc w:val="left"/>
              <w:rPr>
                <w:b/>
                <w:i/>
              </w:rPr>
            </w:pPr>
            <w:r>
              <w:rPr>
                <w:b/>
                <w:i/>
              </w:rPr>
              <w:t>Initial Technology Transfer Plan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2.4(a)</w:t>
            </w:r>
          </w:p>
        </w:tc>
      </w:tr>
      <w:tr>
        <w:trPr/>
        <w:tc>
          <w:tcPr>
            <w:tcW w:w="5259" w:type="dxa"/>
            <w:tcBorders/>
          </w:tcPr>
          <w:p>
            <w:pPr>
              <w:pStyle w:val="TableContents"/>
              <w:bidi w:val="0"/>
              <w:spacing w:before="0" w:after="283"/>
              <w:jc w:val="left"/>
              <w:rPr>
                <w:b/>
                <w:i/>
              </w:rPr>
            </w:pPr>
            <w:r>
              <w:rPr>
                <w:b/>
                <w:i/>
              </w:rPr>
              <w:t>Insolvency Event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12.2(c)</w:t>
            </w:r>
          </w:p>
        </w:tc>
      </w:tr>
      <w:tr>
        <w:trPr/>
        <w:tc>
          <w:tcPr>
            <w:tcW w:w="5259" w:type="dxa"/>
            <w:tcBorders/>
          </w:tcPr>
          <w:p>
            <w:pPr>
              <w:pStyle w:val="TableContents"/>
              <w:bidi w:val="0"/>
              <w:spacing w:before="0" w:after="283"/>
              <w:jc w:val="left"/>
              <w:rPr>
                <w:b/>
                <w:i/>
              </w:rPr>
            </w:pPr>
            <w:r>
              <w:rPr>
                <w:b/>
                <w:i/>
              </w:rPr>
              <w:t>JSC</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3.1(a)</w:t>
            </w:r>
          </w:p>
        </w:tc>
      </w:tr>
      <w:tr>
        <w:trPr/>
        <w:tc>
          <w:tcPr>
            <w:tcW w:w="5259" w:type="dxa"/>
            <w:tcBorders/>
          </w:tcPr>
          <w:p>
            <w:pPr>
              <w:pStyle w:val="TableContents"/>
              <w:bidi w:val="0"/>
              <w:spacing w:before="0" w:after="283"/>
              <w:jc w:val="left"/>
              <w:rPr>
                <w:b/>
                <w:i/>
              </w:rPr>
            </w:pPr>
            <w:r>
              <w:rPr>
                <w:b/>
                <w:i/>
              </w:rPr>
              <w:t>Lead Licensed Therapeutic</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1.60</w:t>
            </w:r>
          </w:p>
        </w:tc>
      </w:tr>
      <w:tr>
        <w:trPr/>
        <w:tc>
          <w:tcPr>
            <w:tcW w:w="5259" w:type="dxa"/>
            <w:tcBorders/>
          </w:tcPr>
          <w:p>
            <w:pPr>
              <w:pStyle w:val="TableContents"/>
              <w:bidi w:val="0"/>
              <w:spacing w:before="0" w:after="283"/>
              <w:jc w:val="left"/>
              <w:rPr>
                <w:b/>
                <w:i/>
              </w:rPr>
            </w:pPr>
            <w:r>
              <w:rPr>
                <w:b/>
                <w:i/>
              </w:rPr>
              <w:t>Licensor Indemnitees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10.1</w:t>
            </w:r>
          </w:p>
        </w:tc>
      </w:tr>
      <w:tr>
        <w:trPr/>
        <w:tc>
          <w:tcPr>
            <w:tcW w:w="5259" w:type="dxa"/>
            <w:tcBorders/>
          </w:tcPr>
          <w:p>
            <w:pPr>
              <w:pStyle w:val="TableContents"/>
              <w:bidi w:val="0"/>
              <w:spacing w:before="0" w:after="283"/>
              <w:jc w:val="left"/>
              <w:rPr>
                <w:b/>
                <w:i/>
              </w:rPr>
            </w:pPr>
            <w:r>
              <w:rPr>
                <w:b/>
                <w:i/>
              </w:rPr>
              <w:t>Losses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10.1</w:t>
            </w:r>
          </w:p>
        </w:tc>
      </w:tr>
      <w:tr>
        <w:trPr/>
        <w:tc>
          <w:tcPr>
            <w:tcW w:w="5259" w:type="dxa"/>
            <w:tcBorders/>
          </w:tcPr>
          <w:p>
            <w:pPr>
              <w:pStyle w:val="TableContents"/>
              <w:bidi w:val="0"/>
              <w:spacing w:before="0" w:after="283"/>
              <w:jc w:val="left"/>
              <w:rPr>
                <w:b/>
                <w:i/>
              </w:rPr>
            </w:pPr>
            <w:r>
              <w:rPr>
                <w:b/>
                <w:i/>
              </w:rPr>
              <w:t>Manufacturing Technology Transfer</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5.4</w:t>
            </w:r>
          </w:p>
        </w:tc>
      </w:tr>
      <w:tr>
        <w:trPr/>
        <w:tc>
          <w:tcPr>
            <w:tcW w:w="5259" w:type="dxa"/>
            <w:tcBorders/>
          </w:tcPr>
          <w:p>
            <w:pPr>
              <w:pStyle w:val="TableContents"/>
              <w:bidi w:val="0"/>
              <w:spacing w:before="0" w:after="283"/>
              <w:jc w:val="left"/>
              <w:rPr>
                <w:b/>
                <w:i/>
              </w:rPr>
            </w:pPr>
            <w:r>
              <w:rPr>
                <w:b/>
                <w:i/>
              </w:rPr>
              <w:t>Manufacturing Technology Transfer Plan</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5.4</w:t>
            </w:r>
          </w:p>
        </w:tc>
      </w:tr>
      <w:tr>
        <w:trPr/>
        <w:tc>
          <w:tcPr>
            <w:tcW w:w="5259" w:type="dxa"/>
            <w:tcBorders/>
          </w:tcPr>
          <w:p>
            <w:pPr>
              <w:pStyle w:val="TableContents"/>
              <w:bidi w:val="0"/>
              <w:spacing w:before="0" w:after="283"/>
              <w:jc w:val="left"/>
              <w:rPr>
                <w:b/>
                <w:i/>
              </w:rPr>
            </w:pPr>
            <w:r>
              <w:rPr>
                <w:b/>
                <w:i/>
              </w:rPr>
              <w:t>New License Agreement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12.3(b)</w:t>
            </w:r>
          </w:p>
        </w:tc>
      </w:tr>
      <w:tr>
        <w:trPr/>
        <w:tc>
          <w:tcPr>
            <w:tcW w:w="5259" w:type="dxa"/>
            <w:tcBorders/>
          </w:tcPr>
          <w:p>
            <w:pPr>
              <w:pStyle w:val="TableContents"/>
              <w:bidi w:val="0"/>
              <w:spacing w:before="0" w:after="283"/>
              <w:jc w:val="left"/>
              <w:rPr>
                <w:b/>
                <w:i/>
              </w:rPr>
            </w:pPr>
            <w:r>
              <w:rPr>
                <w:b/>
                <w:i/>
              </w:rPr>
              <w:t>Non-Defaulting Party</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12.2(b)(ii)</w:t>
            </w:r>
          </w:p>
        </w:tc>
      </w:tr>
      <w:tr>
        <w:trPr/>
        <w:tc>
          <w:tcPr>
            <w:tcW w:w="5259" w:type="dxa"/>
            <w:tcBorders/>
          </w:tcPr>
          <w:p>
            <w:pPr>
              <w:pStyle w:val="TableContents"/>
              <w:bidi w:val="0"/>
              <w:spacing w:before="0" w:after="283"/>
              <w:jc w:val="left"/>
              <w:rPr>
                <w:b/>
                <w:i/>
              </w:rPr>
            </w:pPr>
            <w:r>
              <w:rPr>
                <w:b/>
                <w:i/>
              </w:rPr>
              <w:t>Other Component</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1.64</w:t>
            </w:r>
          </w:p>
        </w:tc>
      </w:tr>
      <w:tr>
        <w:trPr/>
        <w:tc>
          <w:tcPr>
            <w:tcW w:w="5259" w:type="dxa"/>
            <w:tcBorders/>
          </w:tcPr>
          <w:p>
            <w:pPr>
              <w:pStyle w:val="TableContents"/>
              <w:bidi w:val="0"/>
              <w:spacing w:before="0" w:after="283"/>
              <w:jc w:val="left"/>
              <w:rPr>
                <w:b/>
                <w:i/>
              </w:rPr>
            </w:pPr>
            <w:r>
              <w:rPr>
                <w:b/>
                <w:i/>
              </w:rPr>
              <w:t>Other Program</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2.7(b)</w:t>
            </w:r>
          </w:p>
        </w:tc>
      </w:tr>
      <w:tr>
        <w:trPr/>
        <w:tc>
          <w:tcPr>
            <w:tcW w:w="5259" w:type="dxa"/>
            <w:tcBorders/>
          </w:tcPr>
          <w:p>
            <w:pPr>
              <w:pStyle w:val="TableContents"/>
              <w:bidi w:val="0"/>
              <w:spacing w:before="0" w:after="283"/>
              <w:jc w:val="left"/>
              <w:rPr>
                <w:b/>
                <w:i/>
              </w:rPr>
            </w:pPr>
            <w:r>
              <w:rPr>
                <w:b/>
                <w:i/>
              </w:rPr>
              <w:t>Other Recipients</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left"/>
              <w:rPr/>
            </w:pPr>
            <w:r>
              <w:rPr/>
              <w:t>8.4(d)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4"/>
        <w:gridCol w:w="120"/>
        <w:gridCol w:w="4791"/>
      </w:tblGrid>
      <w:tr>
        <w:trPr/>
        <w:tc>
          <w:tcPr>
            <w:tcW w:w="52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1" w:type="dxa"/>
            <w:tcBorders/>
            <w:vAlign w:val="center"/>
          </w:tcPr>
          <w:p>
            <w:pPr>
              <w:pStyle w:val="TableContents"/>
              <w:bidi w:val="0"/>
              <w:spacing w:before="0" w:after="283"/>
              <w:jc w:val="left"/>
              <w:rPr>
                <w:sz w:val="4"/>
                <w:szCs w:val="4"/>
              </w:rPr>
            </w:pPr>
            <w:r>
              <w:rPr>
                <w:sz w:val="4"/>
                <w:szCs w:val="4"/>
              </w:rPr>
            </w:r>
          </w:p>
        </w:tc>
      </w:tr>
      <w:tr>
        <w:trPr/>
        <w:tc>
          <w:tcPr>
            <w:tcW w:w="52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94" w:type="dxa"/>
            <w:tcBorders/>
          </w:tcPr>
          <w:p>
            <w:pPr>
              <w:pStyle w:val="TableContents"/>
              <w:bidi w:val="0"/>
              <w:spacing w:before="0" w:after="283"/>
              <w:jc w:val="left"/>
              <w:rPr>
                <w:b/>
                <w:i/>
              </w:rPr>
            </w:pPr>
            <w:r>
              <w:rPr>
                <w:b/>
                <w:i/>
              </w:rPr>
              <w:t>Patent Challenge</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12.2(d)</w:t>
            </w:r>
          </w:p>
        </w:tc>
      </w:tr>
      <w:tr>
        <w:trPr/>
        <w:tc>
          <w:tcPr>
            <w:tcW w:w="5294" w:type="dxa"/>
            <w:tcBorders/>
          </w:tcPr>
          <w:p>
            <w:pPr>
              <w:pStyle w:val="TableContents"/>
              <w:bidi w:val="0"/>
              <w:spacing w:before="0" w:after="283"/>
              <w:jc w:val="left"/>
              <w:rPr>
                <w:b/>
                <w:i/>
              </w:rPr>
            </w:pPr>
            <w:r>
              <w:rPr>
                <w:b/>
                <w:i/>
              </w:rPr>
              <w:t>PHSA</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1.6</w:t>
            </w:r>
          </w:p>
        </w:tc>
      </w:tr>
      <w:tr>
        <w:trPr/>
        <w:tc>
          <w:tcPr>
            <w:tcW w:w="5294" w:type="dxa"/>
            <w:tcBorders/>
          </w:tcPr>
          <w:p>
            <w:pPr>
              <w:pStyle w:val="TableContents"/>
              <w:bidi w:val="0"/>
              <w:spacing w:before="0" w:after="283"/>
              <w:jc w:val="left"/>
              <w:rPr>
                <w:b/>
                <w:i/>
              </w:rPr>
            </w:pPr>
            <w:r>
              <w:rPr>
                <w:b/>
                <w:i/>
              </w:rPr>
              <w:t>Product Infringement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11.3(a)</w:t>
            </w:r>
          </w:p>
        </w:tc>
      </w:tr>
      <w:tr>
        <w:trPr/>
        <w:tc>
          <w:tcPr>
            <w:tcW w:w="5294" w:type="dxa"/>
            <w:tcBorders/>
          </w:tcPr>
          <w:p>
            <w:pPr>
              <w:pStyle w:val="TableContents"/>
              <w:bidi w:val="0"/>
              <w:spacing w:before="0" w:after="283"/>
              <w:jc w:val="left"/>
              <w:rPr>
                <w:b/>
                <w:i/>
              </w:rPr>
            </w:pPr>
            <w:r>
              <w:rPr>
                <w:b/>
                <w:i/>
              </w:rPr>
              <w:t>Product-Specific Licensed Patents</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11.2(a)(i)</w:t>
            </w:r>
          </w:p>
        </w:tc>
      </w:tr>
      <w:tr>
        <w:trPr/>
        <w:tc>
          <w:tcPr>
            <w:tcW w:w="5294" w:type="dxa"/>
            <w:tcBorders/>
          </w:tcPr>
          <w:p>
            <w:pPr>
              <w:pStyle w:val="TableContents"/>
              <w:bidi w:val="0"/>
              <w:spacing w:before="0" w:after="283"/>
              <w:jc w:val="left"/>
              <w:rPr>
                <w:b/>
                <w:i/>
              </w:rPr>
            </w:pPr>
            <w:r>
              <w:rPr>
                <w:b/>
                <w:i/>
              </w:rPr>
              <w:t>Proposed Publication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8.7</w:t>
            </w:r>
          </w:p>
        </w:tc>
      </w:tr>
      <w:tr>
        <w:trPr/>
        <w:tc>
          <w:tcPr>
            <w:tcW w:w="5294" w:type="dxa"/>
            <w:tcBorders/>
          </w:tcPr>
          <w:p>
            <w:pPr>
              <w:pStyle w:val="TableContents"/>
              <w:bidi w:val="0"/>
              <w:spacing w:before="0" w:after="283"/>
              <w:jc w:val="left"/>
              <w:rPr>
                <w:b/>
                <w:i/>
              </w:rPr>
            </w:pPr>
            <w:r>
              <w:rPr>
                <w:b/>
                <w:i/>
              </w:rPr>
              <w:t>Receiving Party</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8.1</w:t>
            </w:r>
          </w:p>
        </w:tc>
      </w:tr>
      <w:tr>
        <w:trPr/>
        <w:tc>
          <w:tcPr>
            <w:tcW w:w="5294" w:type="dxa"/>
            <w:tcBorders/>
          </w:tcPr>
          <w:p>
            <w:pPr>
              <w:pStyle w:val="TableContents"/>
              <w:bidi w:val="0"/>
              <w:spacing w:before="0" w:after="283"/>
              <w:jc w:val="left"/>
              <w:rPr>
                <w:b/>
                <w:i/>
              </w:rPr>
            </w:pPr>
            <w:r>
              <w:rPr>
                <w:b/>
                <w:i/>
              </w:rPr>
              <w:t>Royalty Floor</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7.8</w:t>
            </w:r>
          </w:p>
        </w:tc>
      </w:tr>
      <w:tr>
        <w:trPr/>
        <w:tc>
          <w:tcPr>
            <w:tcW w:w="5294" w:type="dxa"/>
            <w:tcBorders/>
          </w:tcPr>
          <w:p>
            <w:pPr>
              <w:pStyle w:val="TableContents"/>
              <w:bidi w:val="0"/>
              <w:spacing w:before="0" w:after="283"/>
              <w:jc w:val="left"/>
              <w:rPr>
                <w:b/>
                <w:i/>
              </w:rPr>
            </w:pPr>
            <w:r>
              <w:rPr>
                <w:b/>
                <w:i/>
              </w:rPr>
              <w:t>Sales Milestone Event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7.4</w:t>
            </w:r>
          </w:p>
        </w:tc>
      </w:tr>
      <w:tr>
        <w:trPr/>
        <w:tc>
          <w:tcPr>
            <w:tcW w:w="5294" w:type="dxa"/>
            <w:tcBorders/>
          </w:tcPr>
          <w:p>
            <w:pPr>
              <w:pStyle w:val="TableContents"/>
              <w:bidi w:val="0"/>
              <w:spacing w:before="0" w:after="283"/>
              <w:jc w:val="left"/>
              <w:rPr>
                <w:b/>
                <w:i/>
              </w:rPr>
            </w:pPr>
            <w:r>
              <w:rPr>
                <w:b/>
                <w:i/>
              </w:rPr>
              <w:t>Sales Milestone Payment</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7.4</w:t>
            </w:r>
          </w:p>
        </w:tc>
      </w:tr>
      <w:tr>
        <w:trPr/>
        <w:tc>
          <w:tcPr>
            <w:tcW w:w="5294" w:type="dxa"/>
            <w:tcBorders/>
          </w:tcPr>
          <w:p>
            <w:pPr>
              <w:pStyle w:val="TableContents"/>
              <w:bidi w:val="0"/>
              <w:spacing w:before="0" w:after="283"/>
              <w:jc w:val="left"/>
              <w:rPr>
                <w:b/>
                <w:i/>
              </w:rPr>
            </w:pPr>
            <w:r>
              <w:rPr>
                <w:b/>
                <w:i/>
              </w:rPr>
              <w:t>Selling Party</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1.64</w:t>
            </w:r>
          </w:p>
        </w:tc>
      </w:tr>
      <w:tr>
        <w:trPr/>
        <w:tc>
          <w:tcPr>
            <w:tcW w:w="5294" w:type="dxa"/>
            <w:tcBorders/>
          </w:tcPr>
          <w:p>
            <w:pPr>
              <w:pStyle w:val="TableContents"/>
              <w:bidi w:val="0"/>
              <w:spacing w:before="0" w:after="283"/>
              <w:jc w:val="left"/>
              <w:rPr>
                <w:b/>
                <w:i/>
              </w:rPr>
            </w:pPr>
            <w:r>
              <w:rPr>
                <w:b/>
                <w:i/>
              </w:rPr>
              <w:t>Subcontractor</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2.3</w:t>
            </w:r>
          </w:p>
        </w:tc>
      </w:tr>
      <w:tr>
        <w:trPr/>
        <w:tc>
          <w:tcPr>
            <w:tcW w:w="5294" w:type="dxa"/>
            <w:tcBorders/>
          </w:tcPr>
          <w:p>
            <w:pPr>
              <w:pStyle w:val="TableContents"/>
              <w:bidi w:val="0"/>
              <w:spacing w:before="0" w:after="283"/>
              <w:jc w:val="left"/>
              <w:rPr>
                <w:b/>
                <w:i/>
              </w:rPr>
            </w:pPr>
            <w:r>
              <w:rPr>
                <w:b/>
                <w:i/>
              </w:rPr>
              <w:t>Supply Wind-Down Period</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5.4</w:t>
            </w:r>
          </w:p>
        </w:tc>
      </w:tr>
      <w:tr>
        <w:trPr/>
        <w:tc>
          <w:tcPr>
            <w:tcW w:w="5294" w:type="dxa"/>
            <w:tcBorders/>
          </w:tcPr>
          <w:p>
            <w:pPr>
              <w:pStyle w:val="TableContents"/>
              <w:bidi w:val="0"/>
              <w:spacing w:before="0" w:after="283"/>
              <w:jc w:val="left"/>
              <w:rPr>
                <w:b/>
                <w:i/>
              </w:rPr>
            </w:pPr>
            <w:r>
              <w:rPr>
                <w:b/>
                <w:i/>
              </w:rPr>
              <w:t>Term</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12.1</w:t>
            </w:r>
          </w:p>
        </w:tc>
      </w:tr>
      <w:tr>
        <w:trPr/>
        <w:tc>
          <w:tcPr>
            <w:tcW w:w="5294" w:type="dxa"/>
            <w:tcBorders/>
          </w:tcPr>
          <w:p>
            <w:pPr>
              <w:pStyle w:val="TableContents"/>
              <w:bidi w:val="0"/>
              <w:spacing w:before="0" w:after="283"/>
              <w:jc w:val="left"/>
              <w:rPr>
                <w:b/>
                <w:i/>
              </w:rPr>
            </w:pPr>
            <w:r>
              <w:rPr>
                <w:b/>
                <w:i/>
              </w:rPr>
              <w:t>Third Party Acquisition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2.7(b)</w:t>
            </w:r>
          </w:p>
        </w:tc>
      </w:tr>
      <w:tr>
        <w:trPr/>
        <w:tc>
          <w:tcPr>
            <w:tcW w:w="5294" w:type="dxa"/>
            <w:tcBorders/>
          </w:tcPr>
          <w:p>
            <w:pPr>
              <w:pStyle w:val="TableContents"/>
              <w:bidi w:val="0"/>
              <w:spacing w:before="0" w:after="283"/>
              <w:jc w:val="left"/>
              <w:rPr>
                <w:b/>
                <w:i/>
              </w:rPr>
            </w:pPr>
            <w:r>
              <w:rPr>
                <w:b/>
                <w:i/>
              </w:rPr>
              <w:t>Third Party Claims</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10.1</w:t>
            </w:r>
          </w:p>
        </w:tc>
      </w:tr>
      <w:tr>
        <w:trPr/>
        <w:tc>
          <w:tcPr>
            <w:tcW w:w="5294" w:type="dxa"/>
            <w:tcBorders/>
          </w:tcPr>
          <w:p>
            <w:pPr>
              <w:pStyle w:val="TableContents"/>
              <w:bidi w:val="0"/>
              <w:spacing w:before="0" w:after="283"/>
              <w:jc w:val="left"/>
              <w:rPr>
                <w:b/>
                <w:i/>
              </w:rPr>
            </w:pPr>
            <w:r>
              <w:rPr>
                <w:b/>
                <w:i/>
              </w:rPr>
              <w:t>Third Party Obligation</w:t>
            </w:r>
          </w:p>
        </w:tc>
        <w:tc>
          <w:tcPr>
            <w:tcW w:w="120" w:type="dxa"/>
            <w:tcBorders/>
            <w:vAlign w:val="bottom"/>
          </w:tcPr>
          <w:p>
            <w:pPr>
              <w:pStyle w:val="TableContents"/>
              <w:bidi w:val="0"/>
              <w:spacing w:before="0" w:after="283"/>
              <w:jc w:val="left"/>
              <w:rPr/>
            </w:pPr>
            <w:r>
              <w:rPr/>
              <w:t>  </w:t>
            </w:r>
          </w:p>
        </w:tc>
        <w:tc>
          <w:tcPr>
            <w:tcW w:w="4791" w:type="dxa"/>
            <w:tcBorders/>
          </w:tcPr>
          <w:p>
            <w:pPr>
              <w:pStyle w:val="TableContents"/>
              <w:bidi w:val="0"/>
              <w:spacing w:before="0" w:after="283"/>
              <w:jc w:val="left"/>
              <w:rPr/>
            </w:pPr>
            <w:r>
              <w:rPr/>
              <w:t>7.7(b)</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LICENSE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License Grants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Exclusive License Grant to Company</w:t>
      </w:r>
      <w:r>
        <w:rPr>
          <w:rFonts w:ascii="Times New Roman" w:hAnsi="Times New Roman"/>
          <w:sz w:val="20"/>
        </w:rPr>
        <w:t xml:space="preserve">. Subject to the terms and conditions of this Agreement, Licensor hereby grants to Company an exclusive (even as to Licensor and its Affiliates), royalty-bearing,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(subject to </w:t>
      </w:r>
      <w:r>
        <w:rPr>
          <w:rFonts w:ascii="Times New Roman" w:hAnsi="Times New Roman"/>
          <w:sz w:val="20"/>
          <w:u w:val="single"/>
        </w:rPr>
        <w:t>Section 2.2</w:t>
      </w:r>
      <w:r>
        <w:rPr>
          <w:rFonts w:ascii="Times New Roman" w:hAnsi="Times New Roman"/>
          <w:sz w:val="20"/>
        </w:rPr>
        <w:t xml:space="preserve">), under the Licensed Technology and Licensor’s right and interest in any Joint Foreground Know-How and Joint Foreground Patents, to Develop, Manufacture, Commercialize, and otherwise Exploit any Licensed Therapeutics and Licensed Products in the Field in the Licensed Territory. Notwithstanding the foregoing, (A) Licensor retains the right (on behalf of itself, its Affiliates and its licensees, other than Company) under the Licensed Technology, with the right to grant licenses and sublicenses through multiple tiers, solely to Manufacture and have Manufactured the Licensed Therapeutics and Licensed Products anywhere in the world for obtaining Regulatory Approval of Licensed Products in any indications in the Retained Territory and Commercializing Licensed Products in any indications in the Retained Territory, and (B) for the avoidance of doubt, the license granted to Company under this </w:t>
      </w:r>
      <w:r>
        <w:rPr>
          <w:rFonts w:ascii="Times New Roman" w:hAnsi="Times New Roman"/>
          <w:sz w:val="20"/>
          <w:u w:val="single"/>
        </w:rPr>
        <w:t>Section 2.1(a)</w:t>
      </w:r>
      <w:r>
        <w:rPr>
          <w:rFonts w:ascii="Times New Roman" w:hAnsi="Times New Roman"/>
          <w:sz w:val="20"/>
        </w:rPr>
        <w:t xml:space="preserve"> does not grant Company any right of access to, or license under, any Licensor Platform.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Non-Exclusive License Grant to Company</w:t>
      </w:r>
      <w:r>
        <w:rPr>
          <w:rFonts w:ascii="Times New Roman" w:hAnsi="Times New Roman"/>
          <w:sz w:val="20"/>
        </w:rPr>
        <w:t xml:space="preserve">. Subject to the terms and conditions of this Agreement, Licensor grants to Company a non-exclusive, royalty-free,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(subject to </w:t>
      </w:r>
      <w:r>
        <w:rPr>
          <w:rFonts w:ascii="Times New Roman" w:hAnsi="Times New Roman"/>
          <w:sz w:val="20"/>
          <w:u w:val="single"/>
        </w:rPr>
        <w:t>Section 2.2</w:t>
      </w:r>
      <w:r>
        <w:rPr>
          <w:rFonts w:ascii="Times New Roman" w:hAnsi="Times New Roman"/>
          <w:sz w:val="20"/>
        </w:rPr>
        <w:t xml:space="preserve">), under the Licensed Technology and Licensor’s right and interest in any Joint Foreground Know-How and Joint Foreground Patents, to Manufacture any Licensed Therapeutics and Licensed Products in the Field in the Retained Territory, solely for the purpose of Exploiting the Licensed Therapeutic and Licensed Products in the Field in the Licensed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Sublicenses to Third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rest of this </w:t>
      </w:r>
      <w:r>
        <w:rPr>
          <w:rFonts w:ascii="Times New Roman" w:hAnsi="Times New Roman"/>
          <w:sz w:val="20"/>
          <w:u w:val="single"/>
        </w:rPr>
        <w:t>Section 2.2,</w:t>
      </w:r>
      <w:r>
        <w:rPr>
          <w:rFonts w:ascii="Times New Roman" w:hAnsi="Times New Roman"/>
          <w:sz w:val="20"/>
        </w:rPr>
        <w:t xml:space="preserve"> Company shall have the right to grant sublicenses of the licenses granted under </w:t>
      </w:r>
      <w:r>
        <w:rPr>
          <w:rFonts w:ascii="Times New Roman" w:hAnsi="Times New Roman"/>
          <w:sz w:val="20"/>
          <w:u w:val="single"/>
        </w:rPr>
        <w:t>Section 2.1</w:t>
      </w:r>
      <w:r>
        <w:rPr>
          <w:rFonts w:ascii="Times New Roman" w:hAnsi="Times New Roman"/>
          <w:sz w:val="20"/>
        </w:rPr>
        <w:t xml:space="preserve"> to Sublicensees, through multiple tiers, without the prior consent of Licensor. </w:t>
      </w:r>
    </w:p>
    <w:p>
      <w:pPr>
        <w:pStyle w:val="TextBody"/>
        <w:bidi w:val="0"/>
        <w:spacing w:before="240" w:after="0"/>
        <w:jc w:val="left"/>
        <w:rPr>
          <w:rFonts w:ascii="Times New Roman" w:hAnsi="Times New Roman"/>
          <w:sz w:val="20"/>
        </w:rPr>
      </w:pPr>
      <w:r>
        <w:rPr>
          <w:rFonts w:ascii="Times New Roman" w:hAnsi="Times New Roman"/>
          <w:sz w:val="20"/>
        </w:rPr>
        <w:t xml:space="preserve">(b) Each sublicense granted pursuant to this </w:t>
      </w:r>
      <w:r>
        <w:rPr>
          <w:rFonts w:ascii="Times New Roman" w:hAnsi="Times New Roman"/>
          <w:sz w:val="20"/>
          <w:u w:val="single"/>
        </w:rPr>
        <w:t>Section 2.2</w:t>
      </w:r>
      <w:r>
        <w:rPr>
          <w:rFonts w:ascii="Times New Roman" w:hAnsi="Times New Roman"/>
          <w:sz w:val="20"/>
        </w:rPr>
        <w:t xml:space="preserve"> shall be subject to a written agreement that is consistent with the terms and conditions of this Agreement, including (i) confidentiality and non-use provisions at least as restrictive or protective of the Parties as those set forth in this Agreement (but may be for shorter duration, if customary) and (ii) appropriate intellectual property assignment and license provisions to give effect of the intellectual property ownership and license provisions in this Agreement. Notwithstanding any such sublicense, Company will remain directly responsible for all of its obligations under this Agreement. Notwithstanding the foregoing, Company shall not be deemed to be in breach of this Agreement if such breach is caused by a Sublicensee, and Company (A) continues to use [***] to cause the Sublicensee to cure such breach in accordance with the applicable sublicense Agreement, and (B) if such breach is not cured within the applicable cure period set forth herein, terminates the applicable sublicense agreement with the Sublicensee and uses [***] to pursue remedies from such Sublicensee for such breach. Company shall provide Licensor with a copy of each executed sublicense agreement with any Sublicensee within [***] after the execution thereof; </w:t>
      </w:r>
      <w:r>
        <w:rPr>
          <w:rFonts w:ascii="Times New Roman" w:hAnsi="Times New Roman"/>
          <w:sz w:val="20"/>
          <w:u w:val="single"/>
        </w:rPr>
        <w:t>provided</w:t>
      </w:r>
      <w:r>
        <w:rPr>
          <w:rFonts w:ascii="Times New Roman" w:hAnsi="Times New Roman"/>
          <w:sz w:val="20"/>
        </w:rPr>
        <w:t xml:space="preserve"> that, Company may redact any terms of any such sublicense agreement not necessary for Licensor to verify that Company or such sublicense agreement complies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Right to Subcontract</w:t>
      </w:r>
      <w:r>
        <w:rPr>
          <w:rFonts w:ascii="Times New Roman" w:hAnsi="Times New Roman"/>
          <w:sz w:val="20"/>
        </w:rPr>
        <w:t>. Company shall have the right to engage CROs, CMOs, distributors and other Third Parties to perform its activities under this Agreement (each, a “</w:t>
      </w:r>
      <w:r>
        <w:rPr>
          <w:rFonts w:ascii="Times New Roman" w:hAnsi="Times New Roman"/>
          <w:b/>
          <w:i/>
          <w:sz w:val="20"/>
        </w:rPr>
        <w:t>Subcontractor</w:t>
      </w:r>
      <w:r>
        <w:rPr>
          <w:rFonts w:ascii="Times New Roman" w:hAnsi="Times New Roman"/>
          <w:sz w:val="20"/>
        </w:rPr>
        <w:t xml:space="preserve">”), and to grant sublicenses of the licenses granted under </w:t>
      </w:r>
      <w:r>
        <w:rPr>
          <w:rFonts w:ascii="Times New Roman" w:hAnsi="Times New Roman"/>
          <w:sz w:val="20"/>
          <w:u w:val="single"/>
        </w:rPr>
        <w:t>Section 2.1</w:t>
      </w:r>
      <w:r>
        <w:rPr>
          <w:rFonts w:ascii="Times New Roman" w:hAnsi="Times New Roman"/>
          <w:sz w:val="20"/>
        </w:rPr>
        <w:t xml:space="preserve"> to any such Subcontractor, </w:t>
      </w:r>
      <w:r>
        <w:rPr>
          <w:rFonts w:ascii="Times New Roman" w:hAnsi="Times New Roman"/>
          <w:sz w:val="20"/>
          <w:u w:val="single"/>
        </w:rPr>
        <w:t>provided</w:t>
      </w:r>
      <w:r>
        <w:rPr>
          <w:rFonts w:ascii="Times New Roman" w:hAnsi="Times New Roman"/>
          <w:sz w:val="20"/>
        </w:rPr>
        <w:t xml:space="preserve"> that (i) Company shall cause its Subcontractors to be bound by written obligations of confidentiality and non-use at least as restrictive as those set forth in this Agreement, and (ii) Company shall remain directly responsible for any obligations that have been subcontracted to a Subcontractor.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Disclosure of the Licensed Technology and Transfer of Licensed Know-How.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Within [***] after the Effective Date, the Parties shall agree on an initial technology transfer plan which shall set forth each Party’s respective responsibilities and the timelines for the transfer to Company of all Regulatory Documents and Licensed Know-How existing as of the Effective Date (the “</w:t>
      </w:r>
      <w:r>
        <w:rPr>
          <w:rFonts w:ascii="Times New Roman" w:hAnsi="Times New Roman"/>
          <w:b/>
          <w:i/>
          <w:sz w:val="20"/>
        </w:rPr>
        <w:t>Initial Technology Transfer Plan</w:t>
      </w:r>
      <w:r>
        <w:rPr>
          <w:rFonts w:ascii="Times New Roman" w:hAnsi="Times New Roman"/>
          <w:sz w:val="20"/>
        </w:rPr>
        <w:t xml:space="preserve">”). The Initial Technology Transfer Plan shall serve as the governing framework for the orderly and efficient transfer of such Regulatory Documents and Licensed Know-How from Licensor to Company and may be amended by [***]. The Initial Technology Transfer Plan shall include a complete list of all Regulatory Documents and all Licensed Know-How existing as of the Effective Date, which Licensor shall, [***], transfer to Company in their original language via electronic records. Upon [***], Licensor shall use [***] to provide all additional technical and regulatory assistance [***] to enable Company to file an IND in the Licensed Territory or to effect the transfer or assignment of Licensor’s Existing IND to Company, in each case subject to Company’s reimbursement of [***] and [***] incurred by Licensor in providing such assistance. </w:t>
      </w:r>
    </w:p>
    <w:p>
      <w:pPr>
        <w:pStyle w:val="TextBody"/>
        <w:bidi w:val="0"/>
        <w:spacing w:before="240" w:after="0"/>
        <w:jc w:val="left"/>
        <w:rPr>
          <w:rFonts w:ascii="Times New Roman" w:hAnsi="Times New Roman"/>
          <w:sz w:val="20"/>
        </w:rPr>
      </w:pPr>
      <w:r>
        <w:rPr>
          <w:rFonts w:ascii="Times New Roman" w:hAnsi="Times New Roman"/>
          <w:sz w:val="20"/>
        </w:rPr>
        <w:t xml:space="preserve">(b) Following completion of the initial technology transfer described in </w:t>
      </w:r>
      <w:r>
        <w:rPr>
          <w:rFonts w:ascii="Times New Roman" w:hAnsi="Times New Roman"/>
          <w:sz w:val="20"/>
          <w:u w:val="single"/>
        </w:rPr>
        <w:t>Section 2.4(a)</w:t>
      </w:r>
      <w:r>
        <w:rPr>
          <w:rFonts w:ascii="Times New Roman" w:hAnsi="Times New Roman"/>
          <w:sz w:val="20"/>
        </w:rPr>
        <w:t xml:space="preserve"> and on a [***]-basis, each Party shall, without additional costs to the other Party, provide updates to such other Party regarding any Licensed Know-How, if such Party is Licensor, or Company IP, if such Party is Company (in each case, including Regulatory Documents and Data) that comes into the Control or possession of such Party or any of its Affiliates during the Term, and, upon such other Party’s request, [***] transfer to such other Party, in such format as such other Party may [***] request, true, accurate and complete copies of all documentation or other embodiments of such Licensed Know-How or Company IP,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License Grants</w:t>
      </w:r>
      <w:r>
        <w:rPr>
          <w:rFonts w:ascii="Times New Roman" w:hAnsi="Times New Roman"/>
          <w:sz w:val="20"/>
        </w:rPr>
        <w:t xml:space="preserve"> </w:t>
      </w:r>
      <w:r>
        <w:rPr>
          <w:rFonts w:ascii="Times New Roman" w:hAnsi="Times New Roman"/>
          <w:b/>
          <w:sz w:val="20"/>
        </w:rPr>
        <w:t>to Licensor</w:t>
      </w:r>
      <w:r>
        <w:rPr>
          <w:rFonts w:ascii="Times New Roman" w:hAnsi="Times New Roman"/>
          <w:sz w:val="20"/>
        </w:rPr>
        <w:t xml:space="preserve">. Company hereby grants to Licensor a non-exclusive, fully paid-up, royalty-free, non-transferable (except in accordance with </w:t>
      </w:r>
      <w:r>
        <w:rPr>
          <w:rFonts w:ascii="Times New Roman" w:hAnsi="Times New Roman"/>
          <w:sz w:val="20"/>
          <w:u w:val="single"/>
        </w:rPr>
        <w:t>Section 13.3</w:t>
      </w:r>
      <w:r>
        <w:rPr>
          <w:rFonts w:ascii="Times New Roman" w:hAnsi="Times New Roman"/>
          <w:sz w:val="20"/>
        </w:rPr>
        <w:t xml:space="preserve">) license, with the right to grant sublicenses through multiple tiers (in accordance with </w:t>
      </w:r>
      <w:r>
        <w:rPr>
          <w:rFonts w:ascii="Times New Roman" w:hAnsi="Times New Roman"/>
          <w:sz w:val="20"/>
          <w:u w:val="single"/>
        </w:rPr>
        <w:t>Section 2.6</w:t>
      </w:r>
      <w:r>
        <w:rPr>
          <w:rFonts w:ascii="Times New Roman" w:hAnsi="Times New Roman"/>
          <w:sz w:val="20"/>
        </w:rPr>
        <w:t xml:space="preserve">), under the Company IP and Company’s right and interest in any Joint Foreground Know-How and Joint Foreground Patents, solely to (a) Develop and Commercialize the Licensed Therapeutic and Licensed Products in the Field in the Retained Territory and (b) Manufacture and have Manufactured the Licensed Therapeutics and Licensed Products anywhere in the world solely for obtaining Regulatory Approval of Licensed Products in any indications in the Retained Territory and Commercializing Licensed Products in any indications in the Retained Territory.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Sublicensing in Retained Territory</w:t>
      </w:r>
      <w:r>
        <w:rPr>
          <w:rFonts w:ascii="Times New Roman" w:hAnsi="Times New Roman"/>
          <w:sz w:val="20"/>
        </w:rPr>
        <w:t xml:space="preserve">. Licensor may grant sublicenses under the license granted by Company under </w:t>
      </w:r>
      <w:r>
        <w:rPr>
          <w:rFonts w:ascii="Times New Roman" w:hAnsi="Times New Roman"/>
          <w:sz w:val="20"/>
          <w:u w:val="single"/>
        </w:rPr>
        <w:t>Section 2.5</w:t>
      </w:r>
      <w:r>
        <w:rPr>
          <w:rFonts w:ascii="Times New Roman" w:hAnsi="Times New Roman"/>
          <w:sz w:val="20"/>
        </w:rPr>
        <w:t xml:space="preserve"> to a Third Party Licensee, in multiple tiers, </w:t>
      </w:r>
      <w:r>
        <w:rPr>
          <w:rFonts w:ascii="Times New Roman" w:hAnsi="Times New Roman"/>
          <w:sz w:val="20"/>
          <w:u w:val="single"/>
        </w:rPr>
        <w:t>provided</w:t>
      </w:r>
      <w:r>
        <w:rPr>
          <w:rFonts w:ascii="Times New Roman" w:hAnsi="Times New Roman"/>
          <w:sz w:val="20"/>
        </w:rPr>
        <w:t xml:space="preserve"> that each such sublicense shall be granted in writing and consistent with the terms and conditions of this Agreement, including (a) confidentiality and non-use provisions at least as restrictive or protective of the Parties as those set forth in this Agreement (but may be for shorter duration, if customary) and (b) appropriate intellectual property assignment and license provisions to give effect to the intellectual property ownership and license provisions in this Agreement, including allowing Licensor to retain Control of all Patent Rights or Know-How developed by any Third Party Licensee under this Agreement. Licensor shall be solely responsible for the activities and conduct of its Third Party Licensee and ensure its Third Party Licensee complies with the applicable terms of this Agreement.</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Non-Compete.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Term, each Party shall not, and shall ensure its Affiliates do not, independently or for or with any Third Party, including by grant of any rights to any Third Party, directly or indirectly, research, Develop or Commercialize any Competing Product.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2.7(a)</w:t>
      </w:r>
      <w:r>
        <w:rPr>
          <w:rFonts w:ascii="Times New Roman" w:hAnsi="Times New Roman"/>
          <w:sz w:val="20"/>
        </w:rPr>
        <w:t xml:space="preserve">, in the event that [***], such Party shall not be in breach of </w:t>
      </w:r>
      <w:r>
        <w:rPr>
          <w:rFonts w:ascii="Times New Roman" w:hAnsi="Times New Roman"/>
          <w:sz w:val="20"/>
          <w:u w:val="single"/>
        </w:rPr>
        <w:t>Section 2.7(a)</w:t>
      </w:r>
      <w:r>
        <w:rPr>
          <w:rFonts w:ascii="Times New Roman" w:hAnsi="Times New Roman"/>
          <w:sz w:val="20"/>
        </w:rPr>
        <w:t xml:space="preserve"> to the extent such Party, [***].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 the exclusivity obligations of such Party set forth in </w:t>
      </w:r>
      <w:r>
        <w:rPr>
          <w:rFonts w:ascii="Times New Roman" w:hAnsi="Times New Roman"/>
          <w:sz w:val="20"/>
          <w:u w:val="single"/>
        </w:rPr>
        <w:t>Section 2.7(a)</w:t>
      </w:r>
      <w:r>
        <w:rPr>
          <w:rFonts w:ascii="Times New Roman" w:hAnsi="Times New Roman"/>
          <w:sz w:val="20"/>
        </w:rPr>
        <w:t xml:space="preserve">, as applicable, shall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w:t>
      </w:r>
      <w:r>
        <w:rPr>
          <w:rFonts w:ascii="Times New Roman" w:hAnsi="Times New Roman"/>
          <w:sz w:val="20"/>
          <w:u w:val="single"/>
        </w:rPr>
        <w:t>Section 2.7(b)</w:t>
      </w:r>
      <w:r>
        <w:rPr>
          <w:rFonts w:ascii="Times New Roman" w:hAnsi="Times New Roman"/>
          <w:sz w:val="20"/>
        </w:rPr>
        <w:t xml:space="preserve"> or </w:t>
      </w:r>
      <w:r>
        <w:rPr>
          <w:rFonts w:ascii="Times New Roman" w:hAnsi="Times New Roman"/>
          <w:sz w:val="20"/>
          <w:u w:val="single"/>
        </w:rPr>
        <w:t>2.7(c)</w:t>
      </w:r>
      <w:r>
        <w:rPr>
          <w:rFonts w:ascii="Times New Roman" w:hAnsi="Times New Roman"/>
          <w:sz w:val="20"/>
        </w:rPr>
        <w:t xml:space="preserve">, such Party and its Affiliates (including the applicable Acquiror) shall (i) adopt [***] procedures (which include [***]) to segregate and prevent the disclosure and use of any Confidential Information of either Party relating to the Licensed Therapeutics or Licensed Products or any Licensed Technology, Company IP or Foreground Know-How, in each case, in a manner that is not in compliance with </w:t>
      </w:r>
      <w:r>
        <w:rPr>
          <w:rFonts w:ascii="Times New Roman" w:hAnsi="Times New Roman"/>
          <w:sz w:val="20"/>
          <w:u w:val="single"/>
        </w:rPr>
        <w:t>Section 2.7(b)</w:t>
      </w:r>
      <w:r>
        <w:rPr>
          <w:rFonts w:ascii="Times New Roman" w:hAnsi="Times New Roman"/>
          <w:sz w:val="20"/>
        </w:rPr>
        <w:t xml:space="preserve"> or </w:t>
      </w:r>
      <w:r>
        <w:rPr>
          <w:rFonts w:ascii="Times New Roman" w:hAnsi="Times New Roman"/>
          <w:sz w:val="20"/>
          <w:u w:val="single"/>
        </w:rPr>
        <w:t>2.7(c)</w:t>
      </w:r>
      <w:r>
        <w:rPr>
          <w:rFonts w:ascii="Times New Roman" w:hAnsi="Times New Roman"/>
          <w:sz w:val="20"/>
        </w:rPr>
        <w:t xml:space="preserve">, (ii) ensure that no personnel who were employees or consultants of such Third Party at any time prior to or after such Third Party Acquisition or Change of Control, as applicable, conduct any activities under this Agreement, and (iii) create effective information barriers between the personnel working on such Other Program and the personnel working on the Licensed Therapeutic and the Licensed Product or having access to data from activities performed under this Agreement or Confidential Information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No Implied Licenses.</w:t>
      </w:r>
      <w:r>
        <w:rPr>
          <w:rFonts w:ascii="Times New Roman" w:hAnsi="Times New Roman"/>
          <w:sz w:val="20"/>
        </w:rPr>
        <w:t xml:space="preserve"> Except as expressly set forth herein, neither Party shall acquire any license or other intellectual property interest, by implication or otherwise, under any Patent Rights, Know-How, trademarks, or other intellectual property rights of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GOVERNANCE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Joint Steering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 after the Effective Date, the Parties shall establish a joint steering committee (the “</w:t>
      </w:r>
      <w:r>
        <w:rPr>
          <w:rFonts w:ascii="Times New Roman" w:hAnsi="Times New Roman"/>
          <w:b/>
          <w:sz w:val="20"/>
        </w:rPr>
        <w:t>JSC</w:t>
      </w:r>
      <w:r>
        <w:rPr>
          <w:rFonts w:ascii="Times New Roman" w:hAnsi="Times New Roman"/>
          <w:sz w:val="20"/>
        </w:rPr>
        <w:t xml:space="preserve">”), composed of [***] representatives of each Party. Each Party may replace its representatives on the JSC on [***] notice to the other Party, but each Party shall strive to maintain continuity in the representation of its JSC members. [***] shall appoint [***] of its representatives on the JSC to act as a chairperson of the JSC. The chairperson of the JSC shall be responsible for (i) calling JSC meetings on no less than [***] notice, unless exigent circumstances require shorter notice, and (ii) preparing and circulating minutes of each JSC meeting within [***] after the meeting for review and approval of the Parties, and shall have no additional right or authority at the JSC. </w:t>
      </w:r>
    </w:p>
    <w:p>
      <w:pPr>
        <w:pStyle w:val="TextBody"/>
        <w:bidi w:val="0"/>
        <w:spacing w:before="240" w:after="0"/>
        <w:jc w:val="left"/>
        <w:rPr>
          <w:rFonts w:ascii="Times New Roman" w:hAnsi="Times New Roman"/>
          <w:sz w:val="20"/>
        </w:rPr>
      </w:pPr>
      <w:r>
        <w:rPr>
          <w:rFonts w:ascii="Times New Roman" w:hAnsi="Times New Roman"/>
          <w:sz w:val="20"/>
        </w:rPr>
        <w:t xml:space="preserve">(b) The JSC shall hold meetings at such times as it elects to do so, but in no event shall such meetings be held less frequently than [***], unless otherwise agreed by the Parties. JSC meetings may be held in person or by audio or video teleconference. [***] shall be solely responsible for the costs and expenses incurred by [***] in attending any JSC meeting. No action taken or decision made at any JSC meeting shall be effective unless at least [***] representative of each Party is participating. </w:t>
      </w:r>
    </w:p>
    <w:p>
      <w:pPr>
        <w:pStyle w:val="TextBody"/>
        <w:bidi w:val="0"/>
        <w:spacing w:before="240" w:after="0"/>
        <w:jc w:val="left"/>
        <w:rPr>
          <w:rFonts w:ascii="Times New Roman" w:hAnsi="Times New Roman"/>
          <w:sz w:val="20"/>
        </w:rPr>
      </w:pPr>
      <w:r>
        <w:rPr>
          <w:rFonts w:ascii="Times New Roman" w:hAnsi="Times New Roman"/>
          <w:sz w:val="20"/>
        </w:rPr>
        <w:t xml:space="preserve">(c) Each Party may from time to time invite [***] number of participants, in addition to its representatives, to attend the JSC meetings in a non-voting capacity; </w:t>
      </w:r>
      <w:r>
        <w:rPr>
          <w:rFonts w:ascii="Times New Roman" w:hAnsi="Times New Roman"/>
          <w:sz w:val="20"/>
          <w:u w:val="single"/>
        </w:rPr>
        <w:t>provided</w:t>
      </w:r>
      <w:r>
        <w:rPr>
          <w:rFonts w:ascii="Times New Roman" w:hAnsi="Times New Roman"/>
          <w:sz w:val="20"/>
        </w:rPr>
        <w:t xml:space="preserve">, that if either Party intends to have any Third Party attend such a meeting, then such Party shall provide at least [***] notice to the other Party and obtain the other Party’s approval for such Third Party to attend such meeting, which approval shall not be unreasonably withheld, conditioned, or delayed. Such Party shall ensure that such Third Party is bound by confidentiality and non-use obligations substantially similar to the terms of this Agreement prior to attending such meeting (but for shorter duration if customary). </w:t>
      </w:r>
    </w:p>
    <w:p>
      <w:pPr>
        <w:pStyle w:val="TextBody"/>
        <w:bidi w:val="0"/>
        <w:spacing w:before="240" w:after="0"/>
        <w:jc w:val="left"/>
        <w:rPr>
          <w:rFonts w:ascii="Times New Roman" w:hAnsi="Times New Roman"/>
          <w:sz w:val="20"/>
        </w:rPr>
      </w:pPr>
      <w:r>
        <w:rPr>
          <w:rFonts w:ascii="Times New Roman" w:hAnsi="Times New Roman"/>
          <w:sz w:val="20"/>
        </w:rPr>
        <w:t xml:space="preserve">(d) The JSC shall: </w:t>
      </w:r>
    </w:p>
    <w:p>
      <w:pPr>
        <w:pStyle w:val="TextBody"/>
        <w:bidi w:val="0"/>
        <w:spacing w:before="120" w:after="0"/>
        <w:jc w:val="left"/>
        <w:rPr>
          <w:rFonts w:ascii="Times New Roman" w:hAnsi="Times New Roman"/>
          <w:sz w:val="20"/>
        </w:rPr>
      </w:pPr>
      <w:r>
        <w:rPr>
          <w:rFonts w:ascii="Times New Roman" w:hAnsi="Times New Roman"/>
          <w:sz w:val="20"/>
        </w:rPr>
        <w:t xml:space="preserve">(i) coordinate and oversee the transfer and transition activities undertaken pursuant to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coordinate and facilitate information sharing and other communications with respect to the transition plan for the transfer of the IND in accordance with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review, discuss and approve the Manufacturing Technology Transfer Plan pursuant to </w:t>
      </w:r>
      <w:r>
        <w:rPr>
          <w:rFonts w:ascii="Times New Roman" w:hAnsi="Times New Roman"/>
          <w:sz w:val="20"/>
          <w:u w:val="single"/>
        </w:rPr>
        <w:t>Section 5.4</w:t>
      </w:r>
      <w:r>
        <w:rPr>
          <w:rFonts w:ascii="Times New Roman" w:hAnsi="Times New Roman"/>
          <w:sz w:val="20"/>
        </w:rPr>
        <w:t xml:space="preserve">, and coordinate and oversee the Manufacturing Technology Transfer in accordance with the Manufacturing Technology Transfer Plan; </w:t>
      </w:r>
    </w:p>
    <w:p>
      <w:pPr>
        <w:pStyle w:val="TextBody"/>
        <w:bidi w:val="0"/>
        <w:spacing w:before="240" w:after="0"/>
        <w:jc w:val="left"/>
        <w:rPr>
          <w:rFonts w:ascii="Times New Roman" w:hAnsi="Times New Roman"/>
          <w:sz w:val="20"/>
        </w:rPr>
      </w:pPr>
      <w:r>
        <w:rPr>
          <w:rFonts w:ascii="Times New Roman" w:hAnsi="Times New Roman"/>
          <w:sz w:val="20"/>
        </w:rPr>
        <w:t xml:space="preserve">(iv) coordinate and facilitate Data sharing and other communications on the Development activities for the Licensed Product in the Licensed Territory and the Retained Territory; and </w:t>
      </w:r>
    </w:p>
    <w:p>
      <w:pPr>
        <w:pStyle w:val="TextBody"/>
        <w:bidi w:val="0"/>
        <w:spacing w:before="240" w:after="0"/>
        <w:jc w:val="left"/>
        <w:rPr>
          <w:rFonts w:ascii="Times New Roman" w:hAnsi="Times New Roman"/>
          <w:sz w:val="20"/>
        </w:rPr>
      </w:pPr>
      <w:r>
        <w:rPr>
          <w:rFonts w:ascii="Times New Roman" w:hAnsi="Times New Roman"/>
          <w:sz w:val="20"/>
        </w:rPr>
        <w:t xml:space="preserve">(v) perform such other functions as are assigned to it in this Agreement or as appropriate to further the purposes of this Agreement to the extent agreed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JSC shall have authority to establish joint subcommittees as it deems necessary or advisable to further the purposes of this Agreement, composed of [***] of each Party. Unless otherwise agreed by the Parties, each such joint subcommittee shall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 Unless the Parties mutually agree to disband and no longer participate in the JSC, or [***] elects [***] to disband the JSC upon [***] notice to [***], the JSC shall continue to exist until [***].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JSC Decision-Making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decisions within the decision-making authority of the JSC shall be made by [***] vote, with each Party’s representatives collectively having [***] vote. If the JSC is unable to reach agreement as to a particular matter within its jurisdiction, within [***] after such matter has been brought to the JSC for resolution, then such disagreement shall be referred to the Executive Officers of the Parties for resolution. </w:t>
      </w:r>
    </w:p>
    <w:p>
      <w:pPr>
        <w:pStyle w:val="TextBody"/>
        <w:bidi w:val="0"/>
        <w:spacing w:before="240" w:after="0"/>
        <w:jc w:val="left"/>
        <w:rPr>
          <w:rFonts w:ascii="Times New Roman" w:hAnsi="Times New Roman"/>
          <w:sz w:val="20"/>
        </w:rPr>
      </w:pPr>
      <w:r>
        <w:rPr>
          <w:rFonts w:ascii="Times New Roman" w:hAnsi="Times New Roman"/>
          <w:sz w:val="20"/>
        </w:rPr>
        <w:t xml:space="preserve">(b) If the Executive Officers do not fully resolve any matter within the JSC’s authority and referred to them under </w:t>
      </w:r>
      <w:r>
        <w:rPr>
          <w:rFonts w:ascii="Times New Roman" w:hAnsi="Times New Roman"/>
          <w:sz w:val="20"/>
          <w:u w:val="single"/>
        </w:rPr>
        <w:t>Section 3.2(a)</w:t>
      </w:r>
      <w:r>
        <w:rPr>
          <w:rFonts w:ascii="Times New Roman" w:hAnsi="Times New Roman"/>
          <w:sz w:val="20"/>
        </w:rPr>
        <w:t xml:space="preserve"> [***] of the matter being referred to them, then,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(i) Company shall have final decision-making authority with respect to any such matter to the extent relating to the [***], </w:t>
      </w:r>
      <w:r>
        <w:rPr>
          <w:rFonts w:ascii="Times New Roman" w:hAnsi="Times New Roman"/>
          <w:sz w:val="20"/>
          <w:u w:val="single"/>
        </w:rPr>
        <w:t>provided</w:t>
      </w:r>
      <w:r>
        <w:rPr>
          <w:rFonts w:ascii="Times New Roman" w:hAnsi="Times New Roman"/>
          <w:sz w:val="20"/>
        </w:rPr>
        <w:t xml:space="preserve"> that Company shall not make any such decision that would [***] affect (1) [***], or (2) [***]; and </w:t>
      </w:r>
    </w:p>
    <w:p>
      <w:pPr>
        <w:pStyle w:val="TextBody"/>
        <w:bidi w:val="0"/>
        <w:spacing w:before="240" w:after="0"/>
        <w:jc w:val="left"/>
        <w:rPr>
          <w:rFonts w:ascii="Times New Roman" w:hAnsi="Times New Roman"/>
          <w:sz w:val="20"/>
        </w:rPr>
      </w:pPr>
      <w:r>
        <w:rPr>
          <w:rFonts w:ascii="Times New Roman" w:hAnsi="Times New Roman"/>
          <w:sz w:val="20"/>
        </w:rPr>
        <w:t xml:space="preserve">(ii) Licensor shall have final decision-making authority solely with respect to matters exclusively relating to the [***], </w:t>
      </w:r>
      <w:r>
        <w:rPr>
          <w:rFonts w:ascii="Times New Roman" w:hAnsi="Times New Roman"/>
          <w:sz w:val="20"/>
          <w:u w:val="single"/>
        </w:rPr>
        <w:t>provided</w:t>
      </w:r>
      <w:r>
        <w:rPr>
          <w:rFonts w:ascii="Times New Roman" w:hAnsi="Times New Roman"/>
          <w:sz w:val="20"/>
        </w:rPr>
        <w:t xml:space="preserve"> that Licensor shall not make any such decision that would [***] affect [***]. </w:t>
      </w:r>
    </w:p>
    <w:p>
      <w:pPr>
        <w:pStyle w:val="TextBody"/>
        <w:bidi w:val="0"/>
        <w:spacing w:before="240" w:after="0"/>
        <w:jc w:val="left"/>
        <w:rPr>
          <w:rFonts w:ascii="Times New Roman" w:hAnsi="Times New Roman"/>
          <w:sz w:val="20"/>
        </w:rPr>
      </w:pPr>
      <w:r>
        <w:rPr>
          <w:rFonts w:ascii="Times New Roman" w:hAnsi="Times New Roman"/>
          <w:sz w:val="20"/>
        </w:rPr>
        <w:t xml:space="preserve">(c) The JSC shall only have the powers expressly assigned to it in this </w:t>
      </w:r>
      <w:r>
        <w:rPr>
          <w:rFonts w:ascii="Times New Roman" w:hAnsi="Times New Roman"/>
          <w:sz w:val="20"/>
          <w:u w:val="single"/>
        </w:rPr>
        <w:t>Section 3.2</w:t>
      </w:r>
      <w:r>
        <w:rPr>
          <w:rFonts w:ascii="Times New Roman" w:hAnsi="Times New Roman"/>
          <w:sz w:val="20"/>
        </w:rPr>
        <w:t xml:space="preserve"> and elsewhere in this Agreement and shall not have the authority to: (i) modify or amend the terms and conditions of this Agreement; (ii) waive, determine or interpret either Party’s compliance with the terms and conditions of this Agreement; or (iii) make any decision that could [***] be expected to require the other Party to take any action that such other Party [***] believes would (A) require such other Party to violate any Applicable Law or any agreement with any Third Party entered into by such other Party or (B) require such other Party to infringe or misappropriate any intellectual property rights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w:t>
      </w:r>
      <w:r>
        <w:rPr>
          <w:rFonts w:ascii="Times New Roman" w:hAnsi="Times New Roman"/>
          <w:sz w:val="20"/>
        </w:rPr>
        <w:t xml:space="preserve">. In conducting themselves on the JSC and any subcommittees, and in exercising the Parties’ rights under this </w:t>
      </w:r>
      <w:r>
        <w:rPr>
          <w:rFonts w:ascii="Times New Roman" w:hAnsi="Times New Roman"/>
          <w:sz w:val="20"/>
          <w:u w:val="single"/>
        </w:rPr>
        <w:t>Article 3</w:t>
      </w:r>
      <w:r>
        <w:rPr>
          <w:rFonts w:ascii="Times New Roman" w:hAnsi="Times New Roman"/>
          <w:sz w:val="20"/>
        </w:rPr>
        <w:t xml:space="preserve">, all representatives of both Parties shall consider [***] all input received from the other Party, and shall use [***] to reach consensus on all matters before the JSC or any subcommittees. In exercising any decision-making authority granted to it under this </w:t>
      </w:r>
      <w:r>
        <w:rPr>
          <w:rFonts w:ascii="Times New Roman" w:hAnsi="Times New Roman"/>
          <w:sz w:val="20"/>
          <w:u w:val="single"/>
        </w:rPr>
        <w:t>Article 3</w:t>
      </w:r>
      <w:r>
        <w:rPr>
          <w:rFonts w:ascii="Times New Roman" w:hAnsi="Times New Roman"/>
          <w:sz w:val="20"/>
        </w:rPr>
        <w:t xml:space="preserve">, each Party shall act based on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DEVELOPMENT AND REGULATORY MATTERS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Company Development</w:t>
      </w:r>
      <w:r>
        <w:rPr>
          <w:rFonts w:ascii="Times New Roman" w:hAnsi="Times New Roman"/>
          <w:sz w:val="20"/>
        </w:rPr>
        <w:t xml:space="preserve">. Company, itself or through its Affiliates or Sublicensees, shall use [***] to Develop and seek Regulatory Approval for at least [***] Licensed Product in the United States. As between the Parties, Company shall have the sole right and responsibility to conduct Development activities with respect to the Licensed Therapeutics and the Licensed Products in the Licensed Territory in its sole discretion and at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Licensor Development</w:t>
      </w:r>
      <w:r>
        <w:rPr>
          <w:rFonts w:ascii="Times New Roman" w:hAnsi="Times New Roman"/>
          <w:sz w:val="20"/>
        </w:rPr>
        <w:t xml:space="preserve">. Licensor, itself or through its Affiliates or sublicensees, shall be responsible for all research, Development, and regulatory activities, and the associated costs of such activities for the Licensed Therapeutics and Licensed Products in the Retained Territory. For clarity, Licensor is not obligated to conduct any such research, Development, and regulatory activity in the Retained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Development Updates</w:t>
      </w:r>
      <w:r>
        <w:rPr>
          <w:rFonts w:ascii="Times New Roman" w:hAnsi="Times New Roman"/>
          <w:sz w:val="20"/>
        </w:rPr>
        <w:t xml:space="preserve">. No less frequently than [***] during the Term, each Party shall provide the JSC with a [***] update summarizing its Development of Licensed Products, including [***]. Each Party shall also establish a secure link that includes adequate encryption safeguards to provide the other Party with electronic access to such information. Such updates shall be the Confidential Information of the Party providing the update pursuant to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Regulatory Activities</w:t>
      </w:r>
      <w:r>
        <w:rPr>
          <w:rFonts w:ascii="Times New Roman" w:hAnsi="Times New Roman"/>
          <w:sz w:val="20"/>
        </w:rPr>
        <w:t xml:space="preserve"> </w:t>
      </w:r>
      <w:r>
        <w:rPr>
          <w:rFonts w:ascii="Times New Roman" w:hAnsi="Times New Roman"/>
          <w:b/>
          <w:sz w:val="20"/>
        </w:rPr>
        <w:t>in the Licensed Territory.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4.4(b)</w:t>
      </w:r>
      <w:r>
        <w:rPr>
          <w:rFonts w:ascii="Times New Roman" w:hAnsi="Times New Roman"/>
          <w:sz w:val="20"/>
        </w:rPr>
        <w:t xml:space="preserve">, Company shall have the sole right and responsibility, at [***] cost and expense, for all regulatory activities leading up to and including the obtaining, holding and maintaining of Regulatory Approvals and any pricing or reimbursement approvals, as applicable, for Licensed Products from Regulatory Authorities in the Licensed Territory. Company or its designee shall own all Regulatory Approvals and other Regulatory Documents with respect to the Licensed Products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(b) Licensor shall [***] cooperate with Company in obtaining, holding and maintaining any IND and other Regulatory Documents for a Licensed Product in the Licensed Territory by providing, to the extent Controlled by Licensor, access to Regulatory Documents for the Licensed Therapeutic and Licensed Products (to the extent not already transferred to Company pursuant to </w:t>
      </w:r>
      <w:r>
        <w:rPr>
          <w:rFonts w:ascii="Times New Roman" w:hAnsi="Times New Roman"/>
          <w:sz w:val="20"/>
          <w:u w:val="single"/>
        </w:rPr>
        <w:t>Section 2.4)</w:t>
      </w:r>
      <w:r>
        <w:rPr>
          <w:rFonts w:ascii="Times New Roman" w:hAnsi="Times New Roman"/>
          <w:sz w:val="20"/>
        </w:rPr>
        <w:t xml:space="preserve"> and access to and a copy of any and all Data (including raw Data and records) with respect to the Licensed Therapeutic and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Right of Reference and Use of Data</w:t>
      </w:r>
      <w:r>
        <w:rPr>
          <w:rFonts w:ascii="Times New Roman" w:hAnsi="Times New Roman"/>
          <w:sz w:val="20"/>
        </w:rPr>
        <w:t xml:space="preserve">. Licensor hereby grants to Company a right of reference to all Regulatory Documents pertaining to Licensed Products in the Field submitted by or on behalf of Licensor, its Affiliates and, its Third Party Licensees, for the purpose of seeking, obtaining and maintaining Regulatory Approval and any pricing or reimbursement approvals, as applicable, of Licensed Products in the Field in the Licensed Territory. Company hereby grants to Licensor a right of reference to all Regulatory Documents pertaining to Licensed Products in the Field submitted by or on behalf of Company, its Affiliates and, its Sublicensees, for the purpose of seeking, obtaining and maintaining Regulatory Approval and any pricing or reimbursement approvals, as applicable, of Licensed Products in the Field in the Retained Territory. If requested by either Party, the other Party will provide a signed statement to this effect in accordance with Applicable Laws. Subject to the terms and conditions of this Agreement and Applicable Law and in addition to its adverse event and safety data reporting obligations pursuant to </w:t>
      </w:r>
      <w:r>
        <w:rPr>
          <w:rFonts w:ascii="Times New Roman" w:hAnsi="Times New Roman"/>
          <w:sz w:val="20"/>
          <w:u w:val="single"/>
        </w:rPr>
        <w:t>Section 4.7</w:t>
      </w:r>
      <w:r>
        <w:rPr>
          <w:rFonts w:ascii="Times New Roman" w:hAnsi="Times New Roman"/>
          <w:sz w:val="20"/>
        </w:rPr>
        <w:t xml:space="preserve">, each Party shall [***] provide the other Party with copies of all Data, results and all supporting documentation (e.g., protocols, CRFs, analysis plans) generated from its Development of a Licensed Product in the Field in the Applicable Territory of such Party, and each Party shall have the right to use the Data, results and all supporting documentation (e.g., protocols, CRFs, analysis plans) provided by the other Party for the purpose of Developing, seeking, obtaining and maintaining Regulatory Approval for, and Commercializing the Licensed Therapeutics and Licensed Products in the Field in the Applicable Territory of such Party.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rPr>
        <w:t>Transfer of IND</w:t>
      </w:r>
      <w:r>
        <w:rPr>
          <w:rFonts w:ascii="Times New Roman" w:hAnsi="Times New Roman"/>
          <w:sz w:val="20"/>
        </w:rPr>
        <w:t xml:space="preserve">. [***] following the Effective Date, Licensor shall transfer to Company Licensor’s Existing IND and related filings, for the Licensed Product in the United States and shall provide Company with the complete and up-to-date files or copies of all Regulatory Documentation, with respect to the Licensed Product in the United States (to the extent not already transferred to Company pursuant to </w:t>
      </w:r>
      <w:r>
        <w:rPr>
          <w:rFonts w:ascii="Times New Roman" w:hAnsi="Times New Roman"/>
          <w:sz w:val="20"/>
          <w:u w:val="single"/>
        </w:rPr>
        <w:t>Section 2.4</w:t>
      </w:r>
      <w:r>
        <w:rPr>
          <w:rFonts w:ascii="Times New Roman" w:hAnsi="Times New Roman"/>
          <w:sz w:val="20"/>
        </w:rPr>
        <w:t xml:space="preserve">), as set forth in more detail in a transition plan entered into by the Parties to effect the foregoing transfer of the IND. All filings, letters and other documentation necessary to effect such assignment and transfer of such IND will be provided by Licensor. The Parties shall follow guidance of the FDA guideline for the transfer of the IND to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rPr>
        <w:t>Adverse Events and Safety Data Reporting</w:t>
      </w:r>
      <w:r>
        <w:rPr>
          <w:rFonts w:ascii="Times New Roman" w:hAnsi="Times New Roman"/>
          <w:sz w:val="20"/>
        </w:rPr>
        <w:t xml:space="preserve">. Upon a Party’s request, the other Party shall, on a [***] basis [***] provide to the requesting Party (or its Affiliates or Sublicensees (with respect to Company) or Third Party Licensees (with respect to Licensor)) safety Data and information concerning adverse events or any other safety issue of any significance and product quality and product complaints involving adverse events, in each case with respect to Licensed Products in its Applicable Territory, including such information provided to the non-requesting Party by its Sublicensees (with respect to Company) or Third Party Licensees (with respect to Licensor), in each case, sufficient for the requesting Party, its Affiliates and Sublicensees (with respect to Company) or Third Party Licensees (with respect to Licensor) to comply with Applicable Laws and requirements from Regulatory Authorities in its Applicable Territory. If required by the applicable Regulatory Authorities or otherwise requested by Company [***], the Parties will negotiate [***] and enter into a safety data exchange agreement for a Licensed Product and as between the Parties, Company (or its Affiliates or Sublicensees) shall control the global safety database for the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rPr>
        <w:t>Notice of Regulatory Action</w:t>
      </w:r>
      <w:r>
        <w:rPr>
          <w:rFonts w:ascii="Times New Roman" w:hAnsi="Times New Roman"/>
          <w:sz w:val="20"/>
        </w:rPr>
        <w:t xml:space="preserve">. Each Party shall [***], notify the other Party of any information that it receives regarding any threatened or pending action, inspection or communication by or from a Governmental Authority or Regulatory Authority that would [***] affect the Exploitation of the Licensed Therapeutic or Licensed Products in the Licensed Territory or the Retained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MANUFACTURE AND SUPPLY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Company Manufacturing</w:t>
      </w:r>
      <w:r>
        <w:rPr>
          <w:rFonts w:ascii="Times New Roman" w:hAnsi="Times New Roman"/>
          <w:sz w:val="20"/>
        </w:rPr>
        <w:t xml:space="preserve">. Subject to the rest of this </w:t>
      </w:r>
      <w:r>
        <w:rPr>
          <w:rFonts w:ascii="Times New Roman" w:hAnsi="Times New Roman"/>
          <w:sz w:val="20"/>
          <w:u w:val="single"/>
        </w:rPr>
        <w:t>Article 5</w:t>
      </w:r>
      <w:r>
        <w:rPr>
          <w:rFonts w:ascii="Times New Roman" w:hAnsi="Times New Roman"/>
          <w:sz w:val="20"/>
        </w:rPr>
        <w:t xml:space="preserve">, as between the Parties, Company shall have the sole right and responsibility to, in its sole discretion and at [***] cost and expense, conduct Manufacturing activities with respect to the Licensed Therapeutics and the Licensed Products for the purpose of Exploiting the Licensed Therapeutic and Licensed Products in the Field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Clinical Supply</w:t>
      </w:r>
      <w:r>
        <w:rPr>
          <w:rFonts w:ascii="Times New Roman" w:hAnsi="Times New Roman"/>
          <w:sz w:val="20"/>
        </w:rPr>
        <w:t xml:space="preserve">. Within [***] following the Effective Date, Licensor (or an Affiliate of Licensor) and Company shall use [***] to enter into a mutually agreeable clinical supply agreement (and associated quality agreement) pursuant to which Licensor, its Affiliate or CMO will Manufacture and supply to Company and its Affiliates and its or their Sublicensees Licensed Therapeutics or Licensed Product for use in Clinical Trials in the Licensed Territory at [***].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Commercial Supply</w:t>
      </w:r>
      <w:r>
        <w:rPr>
          <w:rFonts w:ascii="Times New Roman" w:hAnsi="Times New Roman"/>
          <w:sz w:val="20"/>
        </w:rPr>
        <w:t xml:space="preserve">. Within [***] prior to the date Company anticipates its First Commercial Sale in the Licensed Territory, Licensor (or an Affiliate of Licensor) and Company shall enter into a mutually agreeable commercial supply agreement (and associated quality agreement) pursuant to which Licensor, its Affiliate or CMO will Manufacture and supply to Company and its Affiliates and its or their Sublicensees Licensed Therapeutics or Licensed Product for commercial use in the Licensed Territory, unless otherwise agreed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Manufacturing Technology Transfer</w:t>
      </w:r>
      <w:r>
        <w:rPr>
          <w:rFonts w:ascii="Times New Roman" w:hAnsi="Times New Roman"/>
          <w:sz w:val="20"/>
        </w:rPr>
        <w:t>. [***], the Parties, through the JSC, shall enter into a technology transfer plan approved by the JSC (such plan, the “</w:t>
      </w:r>
      <w:r>
        <w:rPr>
          <w:rFonts w:ascii="Times New Roman" w:hAnsi="Times New Roman"/>
          <w:b/>
          <w:i/>
          <w:sz w:val="20"/>
        </w:rPr>
        <w:t>Manufacturing Technology Transfer Plan</w:t>
      </w:r>
      <w:r>
        <w:rPr>
          <w:rFonts w:ascii="Times New Roman" w:hAnsi="Times New Roman"/>
          <w:sz w:val="20"/>
        </w:rPr>
        <w:t xml:space="preserve">”) designed to enable Company or its designee to independently Manufacture the Licensed Therapeutic and Licensed Products in a manner substantially consistent with Licensor’s then-current Manufacturing processes and applicable regulatory requirements. Pursuant to the Manufacturing Technology Transfer Plan, Licensor shall, and shall use [***] to cause its Affiliate(s) or CMO(s) to, as applicable, transfer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Company or its designee any Licensed Know-How Controlled by Licensor or its Affiliates or CMO(s) that is [***] or [***] to enable Company or its designee to Manufacture the Licensed Therapeutic and Licensed Products, including all Manufacturing processes, CMC data, specifications, analytical methods, validation data, batch records, standard operating procedures, and other relevant technical and regulatory documentation, in each case, as practiced by or on behalf of Licensor or any of its Affiliates or CMO(s) for the Manufacturing of the Licensed Therapeutic and Licensed Products (the “</w:t>
      </w:r>
      <w:r>
        <w:rPr>
          <w:rFonts w:ascii="Times New Roman" w:hAnsi="Times New Roman"/>
          <w:b/>
          <w:i/>
          <w:sz w:val="20"/>
        </w:rPr>
        <w:t>Manufacturing Technology Transfer</w:t>
      </w:r>
      <w:r>
        <w:rPr>
          <w:rFonts w:ascii="Times New Roman" w:hAnsi="Times New Roman"/>
          <w:sz w:val="20"/>
        </w:rPr>
        <w:t xml:space="preserve">”). Company shall reimburse Licensor for [***] by Licensor in providing the Manufacturing Technology Transfer. The Manufacturing Technology Transfer Plan shall include a detailed list of all documents, materials, data, and other information to be transferred, as well as a timeline and defined activities (including reasonable technical assistance, training, and consultation) sufficient to enable a successful and complete transfer of the Manufacturing Technology Transfer. Company may, [***] elect to assume Manufacturing. Upon such election, Licensor shall [***] initiate and use [***] to complete the Manufacturing Technology Transfer Plan. If, during the Term following such initial request, Licensor develops any additional Manufacturing-related Licensed Know-How, Licensor shall provide such additional Manufacturing-related Licensed Know-How to Company in accordance with </w:t>
      </w:r>
      <w:r>
        <w:rPr>
          <w:rFonts w:ascii="Times New Roman" w:hAnsi="Times New Roman"/>
          <w:sz w:val="20"/>
          <w:u w:val="single"/>
        </w:rPr>
        <w:t>Section 2.4(b)</w:t>
      </w:r>
      <w:r>
        <w:rPr>
          <w:rFonts w:ascii="Times New Roman" w:hAnsi="Times New Roman"/>
          <w:sz w:val="20"/>
        </w:rPr>
        <w:t xml:space="preserve">. Upon completion of the Manufacturing Technology Transfer, the clinical and commercial supply agreements entered into between the Parties under </w:t>
      </w:r>
      <w:r>
        <w:rPr>
          <w:rFonts w:ascii="Times New Roman" w:hAnsi="Times New Roman"/>
          <w:sz w:val="20"/>
          <w:u w:val="single"/>
        </w:rPr>
        <w:t>Section 5.2</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shall not automatically terminate but shall instead remain in effect for a transition period of [***] following the date of such completion (the “</w:t>
      </w:r>
      <w:r>
        <w:rPr>
          <w:rFonts w:ascii="Times New Roman" w:hAnsi="Times New Roman"/>
          <w:b/>
          <w:i/>
          <w:sz w:val="20"/>
        </w:rPr>
        <w:t>Supply Wind-Down Period</w:t>
      </w:r>
      <w:r>
        <w:rPr>
          <w:rFonts w:ascii="Times New Roman" w:hAnsi="Times New Roman"/>
          <w:sz w:val="20"/>
        </w:rPr>
        <w:t xml:space="preserve">”), during which Licensor shall continue to supply Licensed Therapeutics and Licensed Product to Company, its Affiliates, and its or their Sublicensees in accordance with the terms of such agreements. Upon expiration of the Supply Wind-Down Period, the clinical and commercial supply agreements shall terminate, and Licensor shall have no further obligation to supply to Company and its Affiliates and its or their Sublicensees any Licensed Therapeutics or Licensed Product;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purchase orders accepted by Licensor prior to the expiration of the Supply Wind-Down Period shall be fulfilled in accordance with their terms notwithstanding such expiration.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Cooperation and Assistance</w:t>
      </w:r>
      <w:r>
        <w:rPr>
          <w:rFonts w:ascii="Times New Roman" w:hAnsi="Times New Roman"/>
          <w:sz w:val="20"/>
        </w:rPr>
        <w:t xml:space="preserve">. At [***] request and at [***] cost and expense, Licensor will provide Company and its designees [***] assistance with respect to the Manufacturing Technology Transfer, including by providing Company and its designees with [***] access by teleconference or videoconference (or, to the extent requested by Company, in-person meetings) to personnel of Licensor, its Affiliates or any of its CMO(s) involved in Development or Manufacturing matters related to the Licensed Know-How, as applied to Licensed Therapeutics and Licensed Products, to provide a [***] level of technical assistance and consultation in connection with such Manufacturing Technology Transfer.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Commercialization Activities</w:t>
      </w:r>
      <w:r>
        <w:rPr>
          <w:rFonts w:ascii="Times New Roman" w:hAnsi="Times New Roman"/>
          <w:sz w:val="20"/>
        </w:rPr>
        <w:t xml:space="preserve">. Company (and its Affiliates and Sublicensees) shall have the sole right and responsibility, at [***] cost and expense, to conduct Commercialization activities with respect to the Licensed Therapeutic and the Licensed Products in the Licensed Territory in its sole discretion. Company shall use [***] to achieve First Commercial Sale of a Licensed Product in the Field in the United States where Regulatory Approval for such Licensed Product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Diversion</w:t>
      </w:r>
      <w:r>
        <w:rPr>
          <w:rFonts w:ascii="Times New Roman" w:hAnsi="Times New Roman"/>
          <w:sz w:val="20"/>
        </w:rPr>
        <w:t xml:space="preserve">. Each Party covenants and agrees that it shall not, and shall ensure that its Affiliates, Third Party Licensees (with respect to Licensor) and Sublicensees (with respect to Company) do not, either directly or indirectly, promote, market, distribute, import, sell or have sold any Licensed Products, including via the Internet or mail order, to any Third Party or to any address or Internet Protocol address or the like in the other Party’s Applicable Territory; </w:t>
      </w:r>
      <w:r>
        <w:rPr>
          <w:rFonts w:ascii="Times New Roman" w:hAnsi="Times New Roman"/>
          <w:sz w:val="20"/>
          <w:u w:val="single"/>
        </w:rPr>
        <w:t>provided</w:t>
      </w:r>
      <w:r>
        <w:rPr>
          <w:rFonts w:ascii="Times New Roman" w:hAnsi="Times New Roman"/>
          <w:sz w:val="20"/>
        </w:rPr>
        <w:t xml:space="preserve"> that each Party shall have the right to attend conferences and meetings of congresses in the other Party’s Applicable Territory and to promote and market, for their Applicable Territory, Licensed Products to Third Party attendees at such conferences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meetings, subject to this </w:t>
      </w:r>
      <w:r>
        <w:rPr>
          <w:rFonts w:ascii="Times New Roman" w:hAnsi="Times New Roman"/>
          <w:sz w:val="20"/>
          <w:u w:val="single"/>
        </w:rPr>
        <w:t>Section 6.2</w:t>
      </w:r>
      <w:r>
        <w:rPr>
          <w:rFonts w:ascii="Times New Roman" w:hAnsi="Times New Roman"/>
          <w:sz w:val="20"/>
        </w:rPr>
        <w:t xml:space="preserve">. Neither Party shall engage, or shall permit its Affiliates, Third Party Licensees (with respect to Licensor) or Sublicensees (with respect to Company) to engage, in any advertising or promotional activities relating to any Licensed Products for use directed primarily to customers or other buyers or users of Licensed Products located in any country, jurisdiction or region in the other Party’s Applicable Territory, or solicit orders from any prospective purchaser located in any country, jurisdiction or region in the other Party’s Applicable Territory. If a Party or any of its Affiliates, Third Party Licensees (with respect to Licensor) or Sublicensees (with respect to Company) receives any order for Licensed Products for use from a prospective purchaser located in a country, jurisdiction or region in the other Party’s Applicable Territory, then such Party shall [***], but in any event within [***], refer that order to such other Party and shall not accept any such orders. Neither Party shall, or shall permit its Affiliates, Third Party Licensees (with respect to Licensor) or Sublicensees (with respect to Company) to, deliver or tender (or cause or knowingly permit to be delivered or tendered) any Licensed Products for use in the other Party’s Applicable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Upfront Payment</w:t>
      </w:r>
      <w:r>
        <w:rPr>
          <w:rFonts w:ascii="Times New Roman" w:hAnsi="Times New Roman"/>
          <w:sz w:val="20"/>
        </w:rPr>
        <w:t xml:space="preserve">. As part of the consideration for the licenses and rights granted hereunder, Company shall pay to Licensor a one-time, non-refundable and non-creditable upfront payment of Eighty-Five Million Dollars ($85,000,000) within [***]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Equity Investment</w:t>
      </w:r>
      <w:r>
        <w:rPr>
          <w:rFonts w:ascii="Times New Roman" w:hAnsi="Times New Roman"/>
          <w:sz w:val="20"/>
        </w:rPr>
        <w:t xml:space="preserve">. As part of the consideration for the licenses and rights granted hereunder, on the Effective Date, the Parties will enter into certain Equity Documents, pursuant to which Company shall issue to Licensor a warrant to purchase such amount of the shares of non-voting (except as otherwise provided in the Equity Documents) Series A-1 preferred stock of the Company equal to nineteen point nine percent (19.9%) of the Company’s fully-diluted capitalization as of immediately after the completion of the Series A financing of the Company. The equity to be received by Licensor is subject to anti-dilution provisions as set forth in the Equity Documents to maintain Licensor’s shareholding percentage at 19.9% (without additional cost on the part of Licensor) during the Anti-Dilution Period (as defined in the Equity Documents). Licensor shall receive other customary investor rights as held by the Company’s other Series A investors as set forth in the Equity Documents.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Development and Regulatory Milestones</w:t>
      </w:r>
      <w:r>
        <w:rPr>
          <w:rFonts w:ascii="Times New Roman" w:hAnsi="Times New Roman"/>
          <w:sz w:val="20"/>
        </w:rPr>
        <w:t xml:space="preserve">. Upon the first achievement by Company, its Affiliate or Sublicensee of a development </w:t>
      </w:r>
      <w:r>
        <w:rPr>
          <w:rFonts w:ascii="Times New Roman" w:hAnsi="Times New Roman"/>
          <w:sz w:val="20"/>
          <w:u w:val="single"/>
        </w:rPr>
        <w:t>milestone</w:t>
      </w:r>
      <w:r>
        <w:rPr>
          <w:rFonts w:ascii="Times New Roman" w:hAnsi="Times New Roman"/>
          <w:sz w:val="20"/>
        </w:rPr>
        <w:t xml:space="preserve"> event set forth in the table below (each a “</w:t>
      </w:r>
      <w:r>
        <w:rPr>
          <w:rFonts w:ascii="Times New Roman" w:hAnsi="Times New Roman"/>
          <w:b/>
          <w:i/>
          <w:sz w:val="20"/>
        </w:rPr>
        <w:t>Development Milestone Event</w:t>
      </w:r>
      <w:r>
        <w:rPr>
          <w:rFonts w:ascii="Times New Roman" w:hAnsi="Times New Roman"/>
          <w:sz w:val="20"/>
        </w:rPr>
        <w:t>”), Company shall make the corresponding one-time, non-refundable and non-creditable payment (each a “</w:t>
      </w:r>
      <w:r>
        <w:rPr>
          <w:rFonts w:ascii="Times New Roman" w:hAnsi="Times New Roman"/>
          <w:b/>
          <w:i/>
          <w:sz w:val="20"/>
        </w:rPr>
        <w:t>Development Milestone Payment</w:t>
      </w:r>
      <w:r>
        <w:rPr>
          <w:rFonts w:ascii="Times New Roman" w:hAnsi="Times New Roman"/>
          <w:sz w:val="20"/>
        </w:rPr>
        <w:t xml:space="preserve">”) to Licensor. Each of the Development Milestone Payments shall be payable only once upon the first achievement of the corresponding Development Milestone Event, and the maximum amount of Development Milestone Payments payable to Licensor shall be One Hundred Sixty-Seven Million Dollars ($167,000,000).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89"/>
        <w:gridCol w:w="1040"/>
        <w:gridCol w:w="3085"/>
        <w:gridCol w:w="1040"/>
        <w:gridCol w:w="2401"/>
      </w:tblGrid>
      <w:tr>
        <w:trPr/>
        <w:tc>
          <w:tcPr>
            <w:tcW w:w="189" w:type="dxa"/>
            <w:tcBorders/>
            <w:vAlign w:val="center"/>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040" w:type="dxa"/>
            <w:tcBorders/>
            <w:vAlign w:val="bottom"/>
          </w:tcPr>
          <w:p>
            <w:pPr>
              <w:pStyle w:val="TableContents"/>
              <w:bidi w:val="0"/>
              <w:spacing w:before="0" w:after="283"/>
              <w:jc w:val="left"/>
              <w:rPr/>
            </w:pPr>
            <w:r>
              <w:rPr/>
              <w:t>  </w:t>
            </w:r>
          </w:p>
        </w:tc>
        <w:tc>
          <w:tcPr>
            <w:tcW w:w="3085" w:type="dxa"/>
            <w:tcBorders>
              <w:bottom w:val="single" w:sz="8" w:space="0" w:color="000000"/>
            </w:tcBorders>
            <w:tcMar>
              <w:bottom w:w="28" w:type="dxa"/>
            </w:tcMar>
            <w:vAlign w:val="bottom"/>
          </w:tcPr>
          <w:p>
            <w:pPr>
              <w:pStyle w:val="TableContents"/>
              <w:bidi w:val="0"/>
              <w:spacing w:before="0" w:after="283"/>
              <w:jc w:val="center"/>
              <w:rPr>
                <w:b/>
              </w:rPr>
            </w:pPr>
            <w:r>
              <w:rPr>
                <w:b/>
              </w:rPr>
              <w:t>Development Milestone Event</w:t>
            </w:r>
          </w:p>
        </w:tc>
        <w:tc>
          <w:tcPr>
            <w:tcW w:w="1040" w:type="dxa"/>
            <w:tcBorders/>
            <w:vAlign w:val="bottom"/>
          </w:tcPr>
          <w:p>
            <w:pPr>
              <w:pStyle w:val="TableContents"/>
              <w:bidi w:val="0"/>
              <w:spacing w:before="0" w:after="283"/>
              <w:jc w:val="left"/>
              <w:rPr/>
            </w:pPr>
            <w:r>
              <w:rPr/>
              <w:t>  </w:t>
            </w:r>
          </w:p>
        </w:tc>
        <w:tc>
          <w:tcPr>
            <w:tcW w:w="2401" w:type="dxa"/>
            <w:tcBorders>
              <w:bottom w:val="single" w:sz="8" w:space="0" w:color="000000"/>
            </w:tcBorders>
            <w:tcMar>
              <w:bottom w:w="28" w:type="dxa"/>
            </w:tcMar>
            <w:vAlign w:val="bottom"/>
          </w:tcPr>
          <w:p>
            <w:pPr>
              <w:pStyle w:val="TableContents"/>
              <w:bidi w:val="0"/>
              <w:spacing w:before="0" w:after="283"/>
              <w:jc w:val="center"/>
              <w:rPr>
                <w:b/>
              </w:rPr>
            </w:pPr>
            <w:r>
              <w:rPr>
                <w:b/>
              </w:rPr>
              <w:t>Development Milestone</w:t>
              <w:br/>
              <w:t>Payment (USD)</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pPr>
            <w:r>
              <w:rPr/>
              <w:t>[***]</w:t>
            </w:r>
          </w:p>
        </w:tc>
      </w:tr>
      <w:tr>
        <w:trPr/>
        <w:tc>
          <w:tcPr>
            <w:tcW w:w="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040"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w:t>
            </w:r>
          </w:p>
        </w:tc>
        <w:tc>
          <w:tcPr>
            <w:tcW w:w="1040" w:type="dxa"/>
            <w:tcBorders/>
            <w:shd w:fill="CCEEFF" w:val="clear"/>
            <w:vAlign w:val="bottom"/>
          </w:tcPr>
          <w:p>
            <w:pPr>
              <w:pStyle w:val="TableContents"/>
              <w:bidi w:val="0"/>
              <w:spacing w:before="0" w:after="283"/>
              <w:jc w:val="left"/>
              <w:rPr/>
            </w:pPr>
            <w:r>
              <w:rPr/>
              <w:t>  </w:t>
            </w:r>
          </w:p>
        </w:tc>
        <w:tc>
          <w:tcPr>
            <w:tcW w:w="2401" w:type="dxa"/>
            <w:tcBorders/>
            <w:shd w:fill="CCEEFF" w:val="clear"/>
            <w:vAlign w:val="bottom"/>
          </w:tcPr>
          <w:p>
            <w:pPr>
              <w:pStyle w:val="TableContents"/>
              <w:bidi w:val="0"/>
              <w:spacing w:before="0" w:after="283"/>
              <w:jc w:val="center"/>
              <w:rPr/>
            </w:pPr>
            <w:r>
              <w:rPr/>
              <w:t>[***]</w:t>
            </w:r>
          </w:p>
        </w:tc>
      </w:tr>
      <w:tr>
        <w:trPr/>
        <w:tc>
          <w:tcPr>
            <w:tcW w:w="189"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pBdr>
                <w:top w:val="single" w:sz="2" w:space="1" w:color="000000"/>
              </w:pBdr>
              <w:bidi w:val="0"/>
              <w:spacing w:before="0" w:after="0"/>
              <w:jc w:val="left"/>
              <w:rPr/>
            </w:pPr>
            <w:r>
              <w:rPr/>
              <w:t> </w:t>
            </w:r>
          </w:p>
        </w:tc>
      </w:tr>
      <w:tr>
        <w:trPr/>
        <w:tc>
          <w:tcPr>
            <w:tcW w:w="189" w:type="dxa"/>
            <w:tcBorders/>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b/>
              </w:rPr>
            </w:pPr>
            <w:r>
              <w:rPr>
                <w:b/>
              </w:rPr>
              <w:t>Total</w:t>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center"/>
              <w:rPr>
                <w:b/>
              </w:rPr>
            </w:pPr>
            <w:r>
              <w:rPr>
                <w:b/>
              </w:rPr>
              <w:t>$167,000,000</w:t>
            </w:r>
          </w:p>
        </w:tc>
      </w:tr>
      <w:tr>
        <w:trPr/>
        <w:tc>
          <w:tcPr>
            <w:tcW w:w="189"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pPr>
            <w:r>
              <w:rPr/>
              <w:t>  </w:t>
            </w:r>
          </w:p>
        </w:tc>
        <w:tc>
          <w:tcPr>
            <w:tcW w:w="2401"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 </w:t>
      </w:r>
    </w:p>
    <w:p>
      <w:pPr>
        <w:pStyle w:val="TextBody"/>
        <w:bidi w:val="0"/>
        <w:spacing w:before="240" w:after="0"/>
        <w:jc w:val="left"/>
        <w:rPr>
          <w:rFonts w:ascii="Times New Roman" w:hAnsi="Times New Roman"/>
          <w:sz w:val="20"/>
        </w:rPr>
      </w:pPr>
      <w:r>
        <w:rPr>
          <w:rFonts w:ascii="Times New Roman" w:hAnsi="Times New Roman"/>
          <w:sz w:val="20"/>
        </w:rPr>
        <w:t xml:space="preserve">(b) Company shall provide Licensor with [***] notice of the achievement of each Development Milestone Event within [***] after such Development Milestone Event has been achieved. Following receipt of such notification, Licensor shall invoice Company for the amount of the applicable Development Milestone Payment, and Company shall make the corresponding Development Milestone Payment within [***] after receipt of such invoice. Notwithstanding the foregoing, if a Development Milestone Event is achieved by a Sublicensee or a successor of Company, then each of such notification and payment periods shall be extended by [***].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Sales Milestones</w:t>
      </w:r>
      <w:r>
        <w:rPr>
          <w:rFonts w:ascii="Times New Roman" w:hAnsi="Times New Roman"/>
          <w:sz w:val="20"/>
        </w:rPr>
        <w:t xml:space="preserve">. Following the First Commercial Sale of the first Licensed Product, upon the first achievement of each sales-based </w:t>
      </w:r>
      <w:r>
        <w:rPr>
          <w:rFonts w:ascii="Times New Roman" w:hAnsi="Times New Roman"/>
          <w:sz w:val="20"/>
          <w:u w:val="single"/>
        </w:rPr>
        <w:t>milestone</w:t>
      </w:r>
      <w:r>
        <w:rPr>
          <w:rFonts w:ascii="Times New Roman" w:hAnsi="Times New Roman"/>
          <w:sz w:val="20"/>
        </w:rPr>
        <w:t xml:space="preserve"> event for all Licensed Product set forth in the table below (each a “</w:t>
      </w:r>
      <w:r>
        <w:rPr>
          <w:rFonts w:ascii="Times New Roman" w:hAnsi="Times New Roman"/>
          <w:b/>
          <w:i/>
          <w:sz w:val="20"/>
        </w:rPr>
        <w:t>Sales Milestone Event</w:t>
      </w:r>
      <w:r>
        <w:rPr>
          <w:rFonts w:ascii="Times New Roman" w:hAnsi="Times New Roman"/>
          <w:sz w:val="20"/>
        </w:rPr>
        <w:t>”), Company shall make the corresponding one-time, non-refundable and non-creditable payment (each a “</w:t>
      </w:r>
      <w:r>
        <w:rPr>
          <w:rFonts w:ascii="Times New Roman" w:hAnsi="Times New Roman"/>
          <w:b/>
          <w:i/>
          <w:sz w:val="20"/>
        </w:rPr>
        <w:t>Sales Milestone Payment</w:t>
      </w:r>
      <w:r>
        <w:rPr>
          <w:rFonts w:ascii="Times New Roman" w:hAnsi="Times New Roman"/>
          <w:sz w:val="20"/>
        </w:rPr>
        <w:t xml:space="preserve">”) to Licensor. For clarity, each of the Sales Milestone Payment shall be payable only once upon the first achievement of the corresponding Sales Milestone Event, and the maximum amount of Sales Milestone Payments payable to Licensor shall be One Billion Eight Hundred Eighty Million dollars ($1,880,000,000). Company shall provide Licensor with written notice of the achievement of each Sales Milestone Event within [***] after the end of the Calendar Quarter in which such Sales Milestone Event has been achieved. Following receipt of such notification, Licensor shall invoice Company for the amount of the applicable Sales Milestone Payment, and Company shall make the corresponding Sales Milestone Payment within [***] after receipt of such invoice.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05"/>
        <w:gridCol w:w="599"/>
        <w:gridCol w:w="2535"/>
      </w:tblGrid>
      <w:tr>
        <w:trPr/>
        <w:tc>
          <w:tcPr>
            <w:tcW w:w="380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r>
      <w:tr>
        <w:trPr/>
        <w:tc>
          <w:tcPr>
            <w:tcW w:w="38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Sales Milestone Event</w:t>
            </w:r>
          </w:p>
        </w:tc>
        <w:tc>
          <w:tcPr>
            <w:tcW w:w="599" w:type="dxa"/>
            <w:tcBorders/>
            <w:vAlign w:val="bottom"/>
          </w:tcPr>
          <w:p>
            <w:pPr>
              <w:pStyle w:val="TableContents"/>
              <w:bidi w:val="0"/>
              <w:spacing w:before="0" w:after="283"/>
              <w:jc w:val="left"/>
              <w:rPr/>
            </w:pPr>
            <w:r>
              <w:rPr/>
              <w:t>  </w:t>
            </w:r>
          </w:p>
        </w:tc>
        <w:tc>
          <w:tcPr>
            <w:tcW w:w="2535" w:type="dxa"/>
            <w:tcBorders>
              <w:bottom w:val="single" w:sz="8" w:space="0" w:color="000000"/>
            </w:tcBorders>
            <w:tcMar>
              <w:bottom w:w="28" w:type="dxa"/>
            </w:tcMar>
            <w:vAlign w:val="bottom"/>
          </w:tcPr>
          <w:p>
            <w:pPr>
              <w:pStyle w:val="TableContents"/>
              <w:bidi w:val="0"/>
              <w:spacing w:before="0" w:after="283"/>
              <w:jc w:val="center"/>
              <w:rPr/>
            </w:pPr>
            <w:r>
              <w:rPr>
                <w:b/>
              </w:rPr>
              <w:t>Sales Milestone Payment</w:t>
            </w:r>
            <w:r>
              <w:rPr/>
              <w:br/>
            </w:r>
            <w:r>
              <w:rPr>
                <w:b/>
              </w:rPr>
              <w:t>(USD)</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bidi w:val="0"/>
              <w:spacing w:before="0" w:after="283"/>
              <w:jc w:val="center"/>
              <w:rPr/>
            </w:pPr>
            <w:r>
              <w:rPr/>
              <w:t>[***]</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pBdr>
                <w:top w:val="single" w:sz="2" w:space="1" w:color="000000"/>
              </w:pBdr>
              <w:bidi w:val="0"/>
              <w:spacing w:before="0" w:after="0"/>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99" w:type="dxa"/>
            <w:tcBorders/>
            <w:shd w:fill="CCEEFF" w:val="clear"/>
            <w:vAlign w:val="bottom"/>
          </w:tcPr>
          <w:p>
            <w:pPr>
              <w:pStyle w:val="TableContents"/>
              <w:bidi w:val="0"/>
              <w:spacing w:before="0" w:after="283"/>
              <w:jc w:val="left"/>
              <w:rPr/>
            </w:pPr>
            <w:r>
              <w:rPr/>
              <w:t>  </w:t>
            </w:r>
          </w:p>
        </w:tc>
        <w:tc>
          <w:tcPr>
            <w:tcW w:w="2535" w:type="dxa"/>
            <w:tcBorders/>
            <w:shd w:fill="CCEEFF" w:val="clear"/>
            <w:vAlign w:val="bottom"/>
          </w:tcPr>
          <w:p>
            <w:pPr>
              <w:pStyle w:val="TableContents"/>
              <w:bidi w:val="0"/>
              <w:spacing w:before="0" w:after="283"/>
              <w:jc w:val="center"/>
              <w:rPr>
                <w:b/>
              </w:rPr>
            </w:pPr>
            <w:r>
              <w:rPr>
                <w:b/>
              </w:rPr>
              <w:t>$1,880,000,000</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2535"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more than one Sales Milestone Events are achieved in a given Calendar Year, Company shall pay Licensor all Sales Milestone Payments associated with the Sales Milestone Events achieved during such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Royalty Payments to Licensor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Royalty Payments and Rates</w:t>
      </w:r>
      <w:r>
        <w:rPr>
          <w:rFonts w:ascii="Times New Roman" w:hAnsi="Times New Roman"/>
          <w:sz w:val="20"/>
        </w:rPr>
        <w:t xml:space="preserve">. Subject to the remainder of this </w:t>
      </w:r>
      <w:r>
        <w:rPr>
          <w:rFonts w:ascii="Times New Roman" w:hAnsi="Times New Roman"/>
          <w:sz w:val="20"/>
          <w:u w:val="single"/>
        </w:rPr>
        <w:t>Section 7.5</w:t>
      </w:r>
      <w:r>
        <w:rPr>
          <w:rFonts w:ascii="Times New Roman" w:hAnsi="Times New Roman"/>
          <w:sz w:val="20"/>
        </w:rPr>
        <w:t xml:space="preserve">, </w:t>
      </w:r>
      <w:r>
        <w:rPr>
          <w:rFonts w:ascii="Times New Roman" w:hAnsi="Times New Roman"/>
          <w:sz w:val="20"/>
          <w:u w:val="single"/>
        </w:rPr>
        <w:t>Section 7.7</w:t>
      </w:r>
      <w:r>
        <w:rPr>
          <w:rFonts w:ascii="Times New Roman" w:hAnsi="Times New Roman"/>
          <w:sz w:val="20"/>
        </w:rPr>
        <w:t xml:space="preserve"> and </w:t>
      </w:r>
      <w:r>
        <w:rPr>
          <w:rFonts w:ascii="Times New Roman" w:hAnsi="Times New Roman"/>
          <w:sz w:val="20"/>
          <w:u w:val="single"/>
        </w:rPr>
        <w:t>Section 7.8</w:t>
      </w:r>
      <w:r>
        <w:rPr>
          <w:rFonts w:ascii="Times New Roman" w:hAnsi="Times New Roman"/>
          <w:sz w:val="20"/>
        </w:rPr>
        <w:t xml:space="preserve">, on a Licensed Product-by-Licensed Product basis, during the Royalty Term for such Licensed Product in a country, Company shall pay Licensor royalties on aggregate annual Net Sales of such Licensed Product in the Licensed Territory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5"/>
        <w:gridCol w:w="255"/>
        <w:gridCol w:w="103"/>
        <w:gridCol w:w="1254"/>
        <w:gridCol w:w="62"/>
      </w:tblGrid>
      <w:tr>
        <w:trPr/>
        <w:tc>
          <w:tcPr>
            <w:tcW w:w="526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6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Aggregate Annual Net Sales in the Licensed Territory</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per Licensed Product</w:t>
            </w:r>
          </w:p>
        </w:tc>
        <w:tc>
          <w:tcPr>
            <w:tcW w:w="25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Royalty Rate</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Royalty Termination Date</w:t>
      </w:r>
      <w:r>
        <w:rPr>
          <w:rFonts w:ascii="Times New Roman" w:hAnsi="Times New Roman"/>
          <w:sz w:val="20"/>
        </w:rPr>
        <w:t xml:space="preserve">. Following expiration of the Royalty Term for a given Licensed Product in a country in the Licensed Territory, (i) no further royalties shall be payable in respect of sales of such Licensed Product in such country, (ii) the sales of such Licensed Product in such country will be excluded from Net Sales for purposes of determining the royalties due hereunder (including that Net Sales of such Licensed Product in such country shall not be considered when determining the allocation of Net Sales among the royalty tiers set forth above) and Sales Milestone Events, and (iii) the licenses granted to Company under </w:t>
      </w:r>
      <w:r>
        <w:rPr>
          <w:rFonts w:ascii="Times New Roman" w:hAnsi="Times New Roman"/>
          <w:sz w:val="20"/>
          <w:u w:val="single"/>
        </w:rPr>
        <w:t>Section 2.1</w:t>
      </w:r>
      <w:r>
        <w:rPr>
          <w:rFonts w:ascii="Times New Roman" w:hAnsi="Times New Roman"/>
          <w:sz w:val="20"/>
        </w:rPr>
        <w:t xml:space="preserve"> with respect to such Licensed Product in such country shall automatically become fully paid-up, perpetual, irrevocable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Royalty Reductions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Valid Claim Expiration</w:t>
      </w:r>
      <w:r>
        <w:rPr>
          <w:rFonts w:ascii="Times New Roman" w:hAnsi="Times New Roman"/>
          <w:sz w:val="20"/>
        </w:rPr>
        <w:t xml:space="preserve">. If, in any [***] during the Royalty Term for a Licensed Product in a country in the Licensed Territory, (x) there are no Valid Claims within the Licensed Patents that Cover [***] such Licensed Product in such country, then the royalty rates under </w:t>
      </w:r>
      <w:r>
        <w:rPr>
          <w:rFonts w:ascii="Times New Roman" w:hAnsi="Times New Roman"/>
          <w:sz w:val="20"/>
          <w:u w:val="single"/>
        </w:rPr>
        <w:t>Section 7.5(a)</w:t>
      </w:r>
      <w:r>
        <w:rPr>
          <w:rFonts w:ascii="Times New Roman" w:hAnsi="Times New Roman"/>
          <w:sz w:val="20"/>
        </w:rPr>
        <w:t xml:space="preserve"> shall be reduced by [***] in such [***] for such Licensed Product in such country, and (y) there are no Valid Claims within the Licensed Patents that Cover [***] of such Licensed Product in such country (but there are Valid Claims within the Licensed Patents that Cover the method of making such Licensed Product in such country), then the royalty rates under </w:t>
      </w:r>
      <w:r>
        <w:rPr>
          <w:rFonts w:ascii="Times New Roman" w:hAnsi="Times New Roman"/>
          <w:sz w:val="20"/>
          <w:u w:val="single"/>
        </w:rPr>
        <w:t>Section 7.5(a)</w:t>
      </w:r>
      <w:r>
        <w:rPr>
          <w:rFonts w:ascii="Times New Roman" w:hAnsi="Times New Roman"/>
          <w:sz w:val="20"/>
        </w:rPr>
        <w:t xml:space="preserve"> shall be reduced by [***] in such [***] for such Licensed Product in such country. For clarity, the reductions described in clauses (x) and (y) above shall not apply cumulatively.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Biosimilar Competition</w:t>
      </w:r>
      <w:r>
        <w:rPr>
          <w:rFonts w:ascii="Times New Roman" w:hAnsi="Times New Roman"/>
          <w:sz w:val="20"/>
        </w:rPr>
        <w:t xml:space="preserve">. If, in any [***] during the Royalty Term for a Licensed Product in a country in the Licensed Territory, a Biosimilar Product is sold by a Third Party in such country for a Licensed Product and such Biosimilar Product constitutes [***] or more [***] sold in such country during such [***] (as published by [***]), then the royalty rates under </w:t>
      </w:r>
      <w:r>
        <w:rPr>
          <w:rFonts w:ascii="Times New Roman" w:hAnsi="Times New Roman"/>
          <w:sz w:val="20"/>
          <w:u w:val="single"/>
        </w:rPr>
        <w:t>Section 7.5(a)</w:t>
      </w:r>
      <w:r>
        <w:rPr>
          <w:rFonts w:ascii="Times New Roman" w:hAnsi="Times New Roman"/>
          <w:sz w:val="20"/>
        </w:rPr>
        <w:t xml:space="preserve"> for such Licensed Product shall be reduced by [***] in such country for the remainder of the Royalty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Inflation Reduction Act Royalty Adjustments/MFN Pricing.</w:t>
      </w:r>
      <w:r>
        <w:rPr>
          <w:rFonts w:ascii="Times New Roman" w:hAnsi="Times New Roman"/>
          <w:sz w:val="20"/>
        </w:rPr>
        <w:t xml:space="preserve"> If, during the Royalty Term for a Licensed Product, such Licensed Product is designated as a “selected drug” by the Secretary of the U.S. Department of Health and Human Services, and Company (or its Affiliate or Sublicensee) is required to negotiate a maximum fair price that shall apply to sales of such Licensed Product during the price applicability period as specified in the Inflation Reduction Act, or provisions of United States’ Applicable Laws that restrict the price chargeable in the United States (or any state thereof) with reference to prices charged in other countries, then the applicable royalty rates set forth in </w:t>
      </w:r>
      <w:r>
        <w:rPr>
          <w:rFonts w:ascii="Times New Roman" w:hAnsi="Times New Roman"/>
          <w:sz w:val="20"/>
          <w:u w:val="single"/>
        </w:rPr>
        <w:t>Section 7.5(a)</w:t>
      </w:r>
      <w:r>
        <w:rPr>
          <w:rFonts w:ascii="Times New Roman" w:hAnsi="Times New Roman"/>
          <w:sz w:val="20"/>
        </w:rPr>
        <w:t xml:space="preserve"> for the Net Sales of such Licensed Product in the United States shall be reduced by a [***] by which the price of such Licensed Product is decreased as a result of such selection and the ensuing price negotiation pursuant to the Inflation Reduction Act or the United States’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Compulsory Licenses for Licensed Product</w:t>
      </w:r>
      <w:r>
        <w:rPr>
          <w:rFonts w:ascii="Times New Roman" w:hAnsi="Times New Roman"/>
          <w:sz w:val="20"/>
        </w:rPr>
        <w:t xml:space="preserve">. In the event that a Governmental Authority requires Company or any of its Affiliates or Sublicensees to grant a compulsory license to a Third Party that permits such Third Party to make, sell, or otherwise commercially exploit a Licensed Product in a country in the Licensed Territory, then the applicable royalty rates set forth in </w:t>
      </w:r>
      <w:r>
        <w:rPr>
          <w:rFonts w:ascii="Times New Roman" w:hAnsi="Times New Roman"/>
          <w:sz w:val="20"/>
          <w:u w:val="single"/>
        </w:rPr>
        <w:t>Section 7.5(a)</w:t>
      </w:r>
      <w:r>
        <w:rPr>
          <w:rFonts w:ascii="Times New Roman" w:hAnsi="Times New Roman"/>
          <w:sz w:val="20"/>
        </w:rPr>
        <w:t xml:space="preserve"> for the Net Sales of such Licensed Product sold in that country by such compulsory licensee shall be reduced to [***].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Royalty Reports and Payments</w:t>
      </w:r>
      <w:r>
        <w:rPr>
          <w:rFonts w:ascii="Times New Roman" w:hAnsi="Times New Roman"/>
          <w:sz w:val="20"/>
        </w:rPr>
        <w:t xml:space="preserve">. Within [***] after the end of each [***], commencing with the [***] of the First Commercial Sale of the first Licensed Product in the Licensed Territory, Company shall provide Licensor with a report that contains the following information for the applicable [***], on a Licensed Product-by-Licensed Product basis: (i) Net Sales for each Licensed Product on a Licensed Product-by-Licensed Product basis, (ii) calculation of the Net Sales during such [***] showing each deduction permitted under </w:t>
      </w:r>
      <w:r>
        <w:rPr>
          <w:rFonts w:ascii="Times New Roman" w:hAnsi="Times New Roman"/>
          <w:sz w:val="20"/>
          <w:u w:val="single"/>
        </w:rPr>
        <w:t>Section 1.64</w:t>
      </w:r>
      <w:r>
        <w:rPr>
          <w:rFonts w:ascii="Times New Roman" w:hAnsi="Times New Roman"/>
          <w:sz w:val="20"/>
        </w:rPr>
        <w:t xml:space="preserve">, and (iii) the royalties payable under this </w:t>
      </w:r>
      <w:r>
        <w:rPr>
          <w:rFonts w:ascii="Times New Roman" w:hAnsi="Times New Roman"/>
          <w:sz w:val="20"/>
          <w:u w:val="single"/>
        </w:rPr>
        <w:t>Section 7.5</w:t>
      </w:r>
      <w:r>
        <w:rPr>
          <w:rFonts w:ascii="Times New Roman" w:hAnsi="Times New Roman"/>
          <w:sz w:val="20"/>
        </w:rPr>
        <w:t xml:space="preserve"> (including [***] detail for any deductions to such royalties taken pursuant to </w:t>
      </w:r>
      <w:r>
        <w:rPr>
          <w:rFonts w:ascii="Times New Roman" w:hAnsi="Times New Roman"/>
          <w:sz w:val="20"/>
          <w:u w:val="single"/>
        </w:rPr>
        <w:t>Section 7.5(c)</w:t>
      </w:r>
      <w:r>
        <w:rPr>
          <w:rFonts w:ascii="Times New Roman" w:hAnsi="Times New Roman"/>
          <w:sz w:val="20"/>
        </w:rPr>
        <w:t xml:space="preserve"> and </w:t>
      </w:r>
      <w:r>
        <w:rPr>
          <w:rFonts w:ascii="Times New Roman" w:hAnsi="Times New Roman"/>
          <w:sz w:val="20"/>
          <w:u w:val="single"/>
        </w:rPr>
        <w:t>Section 7.7</w:t>
      </w:r>
      <w:r>
        <w:rPr>
          <w:rFonts w:ascii="Times New Roman" w:hAnsi="Times New Roman"/>
          <w:sz w:val="20"/>
        </w:rPr>
        <w:t xml:space="preserve">, subject in each case to </w:t>
      </w:r>
      <w:r>
        <w:rPr>
          <w:rFonts w:ascii="Times New Roman" w:hAnsi="Times New Roman"/>
          <w:sz w:val="20"/>
          <w:u w:val="single"/>
        </w:rPr>
        <w:t>Section 7.8</w:t>
      </w:r>
      <w:r>
        <w:rPr>
          <w:rFonts w:ascii="Times New Roman" w:hAnsi="Times New Roman"/>
          <w:sz w:val="20"/>
        </w:rPr>
        <w:t xml:space="preserve">) for such [***]. Following receipt of such reports, Licensor shall invoice Company for the amount of the applicable royalty payments, and Company shall make the royalty payments within [***] after receipt of such invoice.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Third Party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1.20</w:t>
      </w:r>
      <w:r>
        <w:rPr>
          <w:rFonts w:ascii="Times New Roman" w:hAnsi="Times New Roman"/>
          <w:sz w:val="20"/>
        </w:rPr>
        <w:t xml:space="preserve">, each Party shall be solely responsible for making all payments owed by it to Third Parties under any agreement entered into by such Party (or its Affiliates) and the Third Parties, and neither Party shall have any obligation to make any such payments on behalf of the other Party. </w:t>
      </w:r>
    </w:p>
    <w:p>
      <w:pPr>
        <w:pStyle w:val="TextBody"/>
        <w:bidi w:val="0"/>
        <w:spacing w:before="240" w:after="0"/>
        <w:jc w:val="left"/>
        <w:rPr>
          <w:rFonts w:ascii="Times New Roman" w:hAnsi="Times New Roman"/>
          <w:sz w:val="20"/>
        </w:rPr>
      </w:pPr>
      <w:r>
        <w:rPr>
          <w:rFonts w:ascii="Times New Roman" w:hAnsi="Times New Roman"/>
          <w:sz w:val="20"/>
        </w:rPr>
        <w:t>(b) If Company (or any of its Affiliates or Sublicensees) (i) enters into any agreement with a Third Party on arm’s length terms (including any settlement agreement) to obtain rights under any Patent Rights (including any Know-How licensed therewith that is necessary to Exploit the Licensed Therapeutic or Licensed Products), that are necessary to (A) practice, have practiced, use, have used, develop, have developed, manufacture, have manufactured, commercialize, have commercialized, or otherwise exploit or have exploited the Licensed Technology as provided by Licensor as of the Effective Date or (B) Exploit the Licensed Therapeutic or Licensed Products, or (ii) is subject to a final court or other binding order or ruling that the Exploitation of any Licensed Product by or on behalf of Company, its Affiliates or its Sublicensees under this Agreement infringes, misappropriates or otherwise violates any Third Party Patent Rights (each of (i) and (ii), a “</w:t>
      </w:r>
      <w:r>
        <w:rPr>
          <w:rFonts w:ascii="Times New Roman" w:hAnsi="Times New Roman"/>
          <w:b/>
          <w:i/>
          <w:sz w:val="20"/>
        </w:rPr>
        <w:t>Third Party Obligation</w:t>
      </w:r>
      <w:r>
        <w:rPr>
          <w:rFonts w:ascii="Times New Roman" w:hAnsi="Times New Roman"/>
          <w:sz w:val="20"/>
        </w:rPr>
        <w:t xml:space="preserve">”), then, subject to </w:t>
      </w:r>
      <w:r>
        <w:rPr>
          <w:rFonts w:ascii="Times New Roman" w:hAnsi="Times New Roman"/>
          <w:sz w:val="20"/>
          <w:u w:val="single"/>
        </w:rPr>
        <w:t>Section 7.8</w:t>
      </w:r>
      <w:r>
        <w:rPr>
          <w:rFonts w:ascii="Times New Roman" w:hAnsi="Times New Roman"/>
          <w:sz w:val="20"/>
        </w:rPr>
        <w:t xml:space="preserve">, Company may offset [***] of the amount [***] made by Company, its Affiliates or Sublicensees pursuant to any Third Party Obligations to the extent related to the Exploitation of such Licensed Product [***], against any amount payable to Licensor under </w:t>
      </w:r>
      <w:r>
        <w:rPr>
          <w:rFonts w:ascii="Times New Roman" w:hAnsi="Times New Roman"/>
          <w:sz w:val="20"/>
          <w:u w:val="single"/>
        </w:rPr>
        <w:t>Section 7.5(a)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b/>
          <w:sz w:val="20"/>
        </w:rPr>
        <w:t>Floor on Royalty Reductions</w:t>
      </w:r>
      <w:r>
        <w:rPr>
          <w:rFonts w:ascii="Times New Roman" w:hAnsi="Times New Roman"/>
          <w:sz w:val="20"/>
        </w:rPr>
        <w:t xml:space="preserve">. The royalty reductions and offsets set forth in each of subclauses (i) through (iv) of </w:t>
      </w:r>
      <w:r>
        <w:rPr>
          <w:rFonts w:ascii="Times New Roman" w:hAnsi="Times New Roman"/>
          <w:sz w:val="20"/>
          <w:u w:val="single"/>
        </w:rPr>
        <w:t>Section 7.5(c)</w:t>
      </w:r>
      <w:r>
        <w:rPr>
          <w:rFonts w:ascii="Times New Roman" w:hAnsi="Times New Roman"/>
          <w:sz w:val="20"/>
        </w:rPr>
        <w:t xml:space="preserve"> and in </w:t>
      </w:r>
      <w:r>
        <w:rPr>
          <w:rFonts w:ascii="Times New Roman" w:hAnsi="Times New Roman"/>
          <w:sz w:val="20"/>
          <w:u w:val="single"/>
        </w:rPr>
        <w:t>Section 7.7(b)</w:t>
      </w:r>
      <w:r>
        <w:rPr>
          <w:rFonts w:ascii="Times New Roman" w:hAnsi="Times New Roman"/>
          <w:sz w:val="20"/>
        </w:rPr>
        <w:t xml:space="preserve"> shall be cumulative during any [***] for each applicable Licensed Product in the applicable country in the Licensed Territory;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 provision to the contrary in this Agreement, in no event shall the royalties payable to Licensor in accordance with </w:t>
      </w:r>
      <w:r>
        <w:rPr>
          <w:rFonts w:ascii="Times New Roman" w:hAnsi="Times New Roman"/>
          <w:sz w:val="20"/>
          <w:u w:val="single"/>
        </w:rPr>
        <w:t>Section 7.5(a)</w:t>
      </w:r>
      <w:r>
        <w:rPr>
          <w:rFonts w:ascii="Times New Roman" w:hAnsi="Times New Roman"/>
          <w:sz w:val="20"/>
        </w:rPr>
        <w:t xml:space="preserve"> in any country in any [***] for any Licensed Product be reduced, pursuant to </w:t>
      </w:r>
      <w:r>
        <w:rPr>
          <w:rFonts w:ascii="Times New Roman" w:hAnsi="Times New Roman"/>
          <w:sz w:val="20"/>
          <w:u w:val="single"/>
        </w:rPr>
        <w:t>Section 7.5(c)</w:t>
      </w:r>
      <w:r>
        <w:rPr>
          <w:rFonts w:ascii="Times New Roman" w:hAnsi="Times New Roman"/>
          <w:sz w:val="20"/>
        </w:rPr>
        <w:t xml:space="preserve"> or </w:t>
      </w:r>
      <w:r>
        <w:rPr>
          <w:rFonts w:ascii="Times New Roman" w:hAnsi="Times New Roman"/>
          <w:sz w:val="20"/>
          <w:u w:val="single"/>
        </w:rPr>
        <w:t>Section 7.7</w:t>
      </w:r>
      <w:r>
        <w:rPr>
          <w:rFonts w:ascii="Times New Roman" w:hAnsi="Times New Roman"/>
          <w:sz w:val="20"/>
        </w:rPr>
        <w:t xml:space="preserve"> to less than [***] of the amount that would otherwise be payable to Licensor in accordance with </w:t>
      </w:r>
      <w:r>
        <w:rPr>
          <w:rFonts w:ascii="Times New Roman" w:hAnsi="Times New Roman"/>
          <w:sz w:val="20"/>
          <w:u w:val="single"/>
        </w:rPr>
        <w:t>Section 7.5(a)</w:t>
      </w:r>
      <w:r>
        <w:rPr>
          <w:rFonts w:ascii="Times New Roman" w:hAnsi="Times New Roman"/>
          <w:sz w:val="20"/>
        </w:rPr>
        <w:t xml:space="preserve"> in such country in such [***] for such Licensed Product (the “</w:t>
      </w:r>
      <w:r>
        <w:rPr>
          <w:rFonts w:ascii="Times New Roman" w:hAnsi="Times New Roman"/>
          <w:b/>
          <w:i/>
          <w:sz w:val="20"/>
        </w:rPr>
        <w:t>Royalty Floor</w:t>
      </w:r>
      <w:r>
        <w:rPr>
          <w:rFonts w:ascii="Times New Roman" w:hAnsi="Times New Roman"/>
          <w:sz w:val="20"/>
        </w:rPr>
        <w:t xml:space="preserve">”). If Company is precluded from taking a reduction or offset in a [***] by operation of the Royalty Floor, then Company shall be entitled to carry forward the amount of the reduction or offset that Company was unable to take during such [***] with respect to such Licensed Product and apply such amount to future [***] for such Licensed Product (subject to the Royalty Floor) until Company has taken the full amount of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b/>
          <w:sz w:val="20"/>
        </w:rPr>
        <w:t>Downstream Transaction Revenue Share</w:t>
      </w:r>
      <w:r>
        <w:rPr>
          <w:rFonts w:ascii="Times New Roman" w:hAnsi="Times New Roman"/>
          <w:sz w:val="20"/>
        </w:rPr>
        <w:t xml:space="preserve">. If Company (a) enters into a sublicense agreement with a Sublicensee pursuant to </w:t>
      </w:r>
      <w:r>
        <w:rPr>
          <w:rFonts w:ascii="Times New Roman" w:hAnsi="Times New Roman"/>
          <w:sz w:val="20"/>
          <w:u w:val="single"/>
        </w:rPr>
        <w:t>Section 2.2</w:t>
      </w:r>
      <w:r>
        <w:rPr>
          <w:rFonts w:ascii="Times New Roman" w:hAnsi="Times New Roman"/>
          <w:sz w:val="20"/>
        </w:rPr>
        <w:t xml:space="preserve"> or (b) closes a Change of Control transaction, excluding transactions that are financing in nature such as private financings, IPO, or a reverse merger pursuant to which Company’s shares become publicly traded, in each case (a) and (b), prior to the events listed in the table below, Company shall pay to Licensor the corresponding share of all Transaction Revenue actually received by or for Company under such transaction within [***] of the date that such consideration is received by Company: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75"/>
        <w:gridCol w:w="507"/>
        <w:gridCol w:w="2757"/>
      </w:tblGrid>
      <w:tr>
        <w:trPr/>
        <w:tc>
          <w:tcPr>
            <w:tcW w:w="3675"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36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Downstream Transaction Timing</w:t>
            </w:r>
          </w:p>
        </w:tc>
        <w:tc>
          <w:tcPr>
            <w:tcW w:w="507" w:type="dxa"/>
            <w:tcBorders/>
            <w:vAlign w:val="bottom"/>
          </w:tcPr>
          <w:p>
            <w:pPr>
              <w:pStyle w:val="TableContents"/>
              <w:bidi w:val="0"/>
              <w:spacing w:before="0" w:after="283"/>
              <w:jc w:val="left"/>
              <w:rPr/>
            </w:pPr>
            <w:r>
              <w:rPr/>
              <w:t>  </w:t>
            </w:r>
          </w:p>
        </w:tc>
        <w:tc>
          <w:tcPr>
            <w:tcW w:w="2757" w:type="dxa"/>
            <w:tcBorders>
              <w:bottom w:val="single" w:sz="8" w:space="0" w:color="000000"/>
            </w:tcBorders>
            <w:tcMar>
              <w:bottom w:w="28" w:type="dxa"/>
            </w:tcMar>
            <w:vAlign w:val="bottom"/>
          </w:tcPr>
          <w:p>
            <w:pPr>
              <w:pStyle w:val="TableContents"/>
              <w:bidi w:val="0"/>
              <w:spacing w:before="0" w:after="283"/>
              <w:jc w:val="center"/>
              <w:rPr/>
            </w:pPr>
            <w:r>
              <w:rPr>
                <w:b/>
              </w:rPr>
              <w:t>Downstream Transaction</w:t>
            </w:r>
            <w:r>
              <w:rPr/>
              <w:br/>
            </w:r>
            <w:r>
              <w:rPr>
                <w:b/>
              </w:rPr>
              <w:t>Revenue Share Percentage</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bidi w:val="0"/>
              <w:spacing w:before="0" w:after="283"/>
              <w:jc w:val="left"/>
              <w:rPr/>
            </w:pPr>
            <w:r>
              <w:rPr/>
              <w:t>  </w:t>
            </w:r>
          </w:p>
        </w:tc>
        <w:tc>
          <w:tcPr>
            <w:tcW w:w="2757" w:type="dxa"/>
            <w:tcBorders/>
            <w:shd w:fill="CCEEFF" w:val="clear"/>
            <w:vAlign w:val="bottom"/>
          </w:tcPr>
          <w:p>
            <w:pPr>
              <w:pStyle w:val="TableContents"/>
              <w:bidi w:val="0"/>
              <w:spacing w:before="0" w:after="283"/>
              <w:jc w:val="center"/>
              <w:rPr/>
            </w:pPr>
            <w:r>
              <w:rPr/>
              <w:t>[***]</w:t>
            </w:r>
          </w:p>
        </w:tc>
      </w:tr>
      <w:tr>
        <w:trPr/>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bidi w:val="0"/>
              <w:spacing w:before="0" w:after="283"/>
              <w:jc w:val="left"/>
              <w:rPr/>
            </w:pPr>
            <w:r>
              <w:rPr/>
              <w:t>  </w:t>
            </w:r>
          </w:p>
        </w:tc>
        <w:tc>
          <w:tcPr>
            <w:tcW w:w="2757"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b/>
          <w:sz w:val="20"/>
        </w:rPr>
        <w:t>Payment Method, Currency, and Exchange Rate</w:t>
      </w:r>
      <w:r>
        <w:rPr>
          <w:rFonts w:ascii="Times New Roman" w:hAnsi="Times New Roman"/>
          <w:sz w:val="20"/>
        </w:rPr>
        <w:t xml:space="preserve">. All payments to be made by Company to Licensor under this Agreement shall be made in Dollars by electronic funds transfer in immediately available funds to a bank account designated in writing by Licensor. Except as otherwise expressly provided herein, any payment shall be made by the paying Party to the other Party within [***] after receiving the invoice for such payment. For the purposes of calculating any sums due under this Agreement, Company shall convert any amount expressed in a foreign currency into Dollar equivalents, calculated using the average of the applicable currency conversion rate as published each day by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Wall Street Journal</w:t>
      </w:r>
      <w:r>
        <w:rPr>
          <w:rFonts w:ascii="Times New Roman" w:hAnsi="Times New Roman"/>
          <w:sz w:val="20"/>
        </w:rPr>
        <w:t xml:space="preserve">, (a) for sales, during the [***] in which such sales occurred or (b) for all other payments payable under this Agreement, during the [***] period ending on the day the payment obligation accrued. In the event that the “applicable currency conversion rate” as published by </w:t>
      </w:r>
      <w:r>
        <w:rPr>
          <w:rFonts w:ascii="Times New Roman" w:hAnsi="Times New Roman"/>
          <w:i/>
          <w:sz w:val="20"/>
        </w:rPr>
        <w:t>The Wall Street Journal</w:t>
      </w:r>
      <w:r>
        <w:rPr>
          <w:rFonts w:ascii="Times New Roman" w:hAnsi="Times New Roman"/>
          <w:sz w:val="20"/>
        </w:rPr>
        <w:t xml:space="preserve"> is discontinued or no longer available, then the Parties shall mutually agree upon an alternate currency conversion index to be used for purposes of this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b/>
          <w:sz w:val="20"/>
        </w:rPr>
        <w:t>Disputed Amounts.</w:t>
      </w:r>
      <w:r>
        <w:rPr>
          <w:rFonts w:ascii="Times New Roman" w:hAnsi="Times New Roman"/>
          <w:sz w:val="20"/>
        </w:rPr>
        <w:t xml:space="preserve"> If Company disputes [***] any portion of an invoice for amounts to be reimbursed or paid by Company hereunder, Company shall [***] notify Licensor thereof, and the Parties shall use [***] to resolve such dispute expediently.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7.12 </w:t>
      </w:r>
      <w:r>
        <w:rPr>
          <w:rFonts w:ascii="Times New Roman" w:hAnsi="Times New Roman"/>
          <w:b/>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Responsibility</w:t>
      </w:r>
      <w:r>
        <w:rPr>
          <w:rFonts w:ascii="Times New Roman" w:hAnsi="Times New Roman"/>
          <w:sz w:val="20"/>
        </w:rPr>
        <w:t xml:space="preserve">. All payments under or in connection with this Agreement shall be inclusive of any Taxes and [***] shall be responsible for and shall bear, pay or set-off [***] Taxes assessed by a tax or other authority except as otherwise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Withholding Tax</w:t>
      </w:r>
      <w:r>
        <w:rPr>
          <w:rFonts w:ascii="Times New Roman" w:hAnsi="Times New Roman"/>
          <w:sz w:val="20"/>
        </w:rPr>
        <w:t xml:space="preserve">. If Applicable Law requires withholding by Company or its Affiliates of any Taxes imposed upon Licensor or its Affiliates on account of any royalties and other payments paid under this Agreement for the benefit of Licensor or its Affiliates, such Taxes shall be retained by Company or its Affiliates as required by such Applicable Law from such remittable royalty and other payment and shall be timely remitted by Company or its Affiliates to the proper Tax authorities on behalf of Licensor or its Affiliates. Official receipts of the remittance by Company or its Affiliates of any such withholding Tax shall be [***] secured and sent by Company or its Affiliates to Licensor or its Affiliates as evidence of such payment. The Parties shall cooperate and exercise [***] to ensure that any withholding Taxes imposed on Licensor or its Affiliates are reduced as far as possible under the provisions of any Applicable Law, including any applicable double taxation agreement or treaty. Notwithstanding the foregoing, the Parties acknowledge and agree that if Company’s redomiciliation to (or assignment of this Agreement to an entity resident for purposes of an applicable Tax treaty in) a jurisdiction other than the jurisdiction in which Company is resident as of the Effective Date (but not, for the avoidance of doubt, a change in Applicable Law) leads to the imposition of withholding Tax liability on Licensor that would not have been imposed in the absence of such action or in an increase in such liability above the liability that would have been imposed in the absence of such action, then Company will reimburse Licensor for any such additional or increased withholding Tax liability (except to the extent that Licensor can reclaim it, </w:t>
      </w:r>
      <w:r>
        <w:rPr>
          <w:rFonts w:ascii="Times New Roman" w:hAnsi="Times New Roman"/>
          <w:sz w:val="20"/>
          <w:u w:val="single"/>
        </w:rPr>
        <w:t>provided</w:t>
      </w:r>
      <w:r>
        <w:rPr>
          <w:rFonts w:ascii="Times New Roman" w:hAnsi="Times New Roman"/>
          <w:sz w:val="20"/>
        </w:rPr>
        <w:t xml:space="preserve"> that Licensor will be reimbursed for any reasonable out of pocket costs incurred in the reclaim).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b/>
          <w:sz w:val="20"/>
        </w:rPr>
        <w:t>Financial Audits</w:t>
      </w:r>
      <w:r>
        <w:rPr>
          <w:rFonts w:ascii="Times New Roman" w:hAnsi="Times New Roman"/>
          <w:sz w:val="20"/>
        </w:rPr>
        <w:t xml:space="preserve">. Company shall keep (and shall cause its Affiliates and Sublicensees to keep) complete and accurate records pertaining to the sale or other disposition of Licensed Products in [***] detail to permit Licensor to confirm the accuracy of all milestones, royalty and Transaction Revenue payments reported, for at least [***] following the end of the [***] to which such records pertain (or for such longer period as may be required by Applicable Law). Licensor shall have the right to cause an independent, certified public accountant of nationally recognized standing and [***] acceptable to Company (the “Auditor”) to audit such records solely to confirm Net Sales, milestones, royalty and Transaction Revenue payments for a period covering not more than the preceding [***], provided that such audits may not be performed more than [***] and [***], except for [***]. Such audits shall be performed during normal business hours upon at least [***] notice to Company. The Auditor will execute a written confidentiality agreement that is acceptable to Company with Company and will disclose to Licensor only such information as is [***] necessary to provide Licensor with information regarding any actual or potential discrepancies between amounts reported and amounts actually paid or payable under this Agreement. The report of the Auditor will include the methodology and calculations used to determine the results, will be delivered to Licensor and Company at the same time, and will be final [***] after delivery to both Parties, it being understood that either Party will have the right during such [***] period to discuss the report with the Auditor. Any disputes with respect to the findings of such Auditor may be referred by either Party to the dispute resolution procedure set forth in Article 13 within [***] following the delivery of the Auditor’s report. Licensor shall bear the full cost of such audit unless the report of the Auditor discloses an underpayment by Company of more than [***] of the amount due for any [***], in which case Company shall bear the full cost of such audit. Company shall pay the amount of any underpayment disclosed in any undisputed Auditor’s report, together with any interest owed thereon within [***] after delivery to the Parties of the final Auditor’s report. If such final Auditor’s report discloses an overpayment by Company of the amounts payable hereunder, Company shall have the right to offset such overpayment against future payments owed to Licensor under this Agreement following the audit in question. Any disclosures or reports disclosed to Licensor under this Section 7.13 shall be Company’s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7.14 </w:t>
      </w:r>
      <w:r>
        <w:rPr>
          <w:rFonts w:ascii="Times New Roman" w:hAnsi="Times New Roman"/>
          <w:b/>
          <w:sz w:val="20"/>
        </w:rPr>
        <w:t>Interes</w:t>
      </w:r>
      <w:r>
        <w:rPr>
          <w:rFonts w:ascii="Times New Roman" w:hAnsi="Times New Roman"/>
          <w:sz w:val="20"/>
        </w:rPr>
        <w:t xml:space="preserve">t. Any payments or portions due under this Agreement that are not paid on the date such payments are due under this Agreement will bear interest at a rate equal to the lesser of: (a) [***]; or (b)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CONFIDENTIALITY; PUBLICATION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Confidential Information</w:t>
      </w:r>
      <w:r>
        <w:rPr>
          <w:rFonts w:ascii="Times New Roman" w:hAnsi="Times New Roman"/>
          <w:sz w:val="20"/>
        </w:rPr>
        <w:t>. “</w:t>
      </w:r>
      <w:r>
        <w:rPr>
          <w:rFonts w:ascii="Times New Roman" w:hAnsi="Times New Roman"/>
          <w:b/>
          <w:i/>
          <w:sz w:val="20"/>
        </w:rPr>
        <w:t>Confidential Information</w:t>
      </w:r>
      <w:r>
        <w:rPr>
          <w:rFonts w:ascii="Times New Roman" w:hAnsi="Times New Roman"/>
          <w:sz w:val="20"/>
        </w:rPr>
        <w:t>” means all non-public Know-How or other information, including proprietary materials or information, transferred, disclosed or otherwise made available by or on behalf of a Party (the “</w:t>
      </w:r>
      <w:r>
        <w:rPr>
          <w:rFonts w:ascii="Times New Roman" w:hAnsi="Times New Roman"/>
          <w:b/>
          <w:i/>
          <w:sz w:val="20"/>
        </w:rPr>
        <w:t>Disclosing Party</w:t>
      </w:r>
      <w:r>
        <w:rPr>
          <w:rFonts w:ascii="Times New Roman" w:hAnsi="Times New Roman"/>
          <w:sz w:val="20"/>
        </w:rPr>
        <w:t>”) to the other Party or its representatives (the “</w:t>
      </w:r>
      <w:r>
        <w:rPr>
          <w:rFonts w:ascii="Times New Roman" w:hAnsi="Times New Roman"/>
          <w:b/>
          <w:i/>
          <w:sz w:val="20"/>
        </w:rPr>
        <w:t>Receiving Party</w:t>
      </w:r>
      <w:r>
        <w:rPr>
          <w:rFonts w:ascii="Times New Roman" w:hAnsi="Times New Roman"/>
          <w:sz w:val="20"/>
        </w:rPr>
        <w:t xml:space="preserve">”) prior to, on or after the Effective Date, whether or not patentable and whether or not disclosed in written, oral graphical, machine-readable, electronic or other form or otherwise observed by the Receiving Party, and whether or not such information is marked as confidential or proprietary. It is understood and agreed by the Parties that the terms and conditions of this Agreement and any Licensed Know-How will be considered Confidential Information of both Parties and kept confidential by each of the Parties as set forth in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Non-Disclosure and Non-Use Obligation</w:t>
      </w:r>
      <w:r>
        <w:rPr>
          <w:rFonts w:ascii="Times New Roman" w:hAnsi="Times New Roman"/>
          <w:sz w:val="20"/>
        </w:rPr>
        <w:t xml:space="preserve">. Except as otherwise expressly set forth herein, the Receiving Party shall keep the Confidential Information of the Disclosing Party confidential using at least the same degree of care with which the Receiving Party holds its own confidential information, but in no event less than a [***] degree of care, and shall not (a) disclose such Confidential Information to any person or entity without the [***] approval of the Disclosing Party, except, solely to the extent necessary to exercise its rights or perform its obligations under this Agreement, to its employees, Affiliates, actual or </w:t>
      </w:r>
      <w:r>
        <w:rPr>
          <w:rFonts w:ascii="Times New Roman" w:hAnsi="Times New Roman"/>
          <w:i/>
          <w:sz w:val="20"/>
        </w:rPr>
        <w:t>bona fide</w:t>
      </w:r>
      <w:r>
        <w:rPr>
          <w:rFonts w:ascii="Times New Roman" w:hAnsi="Times New Roman"/>
          <w:sz w:val="20"/>
        </w:rPr>
        <w:t xml:space="preserve"> potential Sublicensees (with respect to Company) and external attorneys, independent accountants or financial advisors, contractors, consultants or agents who have a need to know such Confidential Information, all of whom shall be bound by confidentiality and non-use obligations similar to the provisions of this </w:t>
      </w:r>
      <w:r>
        <w:rPr>
          <w:rFonts w:ascii="Times New Roman" w:hAnsi="Times New Roman"/>
          <w:sz w:val="20"/>
          <w:u w:val="single"/>
        </w:rPr>
        <w:t>Article 8</w:t>
      </w:r>
      <w:r>
        <w:rPr>
          <w:rFonts w:ascii="Times New Roman" w:hAnsi="Times New Roman"/>
          <w:sz w:val="20"/>
        </w:rPr>
        <w:t xml:space="preserve"> (but of shorter duration if customary) and for whose compliance herewith the Disclosing Party will be responsible, or (b) use such Confidential Information for any purpose other than for the purposes contemplated by this Agreement. The Receiving Party will use [***] efforts to cause the foregoing Persons to comply with the restrictions on use and disclosure set forth in this </w:t>
      </w:r>
      <w:r>
        <w:rPr>
          <w:rFonts w:ascii="Times New Roman" w:hAnsi="Times New Roman"/>
          <w:sz w:val="20"/>
          <w:u w:val="single"/>
        </w:rPr>
        <w:t>Section 8.2</w:t>
      </w:r>
      <w:r>
        <w:rPr>
          <w:rFonts w:ascii="Times New Roman" w:hAnsi="Times New Roman"/>
          <w:sz w:val="20"/>
        </w:rPr>
        <w:t xml:space="preserve">, and shall be responsible for ensuring that such Persons maintain the Disclosing Party’s Confidential Information in accordance with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Exemption</w:t>
      </w:r>
      <w:r>
        <w:rPr>
          <w:rFonts w:ascii="Times New Roman" w:hAnsi="Times New Roman"/>
          <w:sz w:val="20"/>
        </w:rPr>
        <w:t xml:space="preserve">. The foregoing confidentiality and non-use obligations shall not apply to: (a) information already in the possession of the Receiving Party prior to its disclosure by the Disclosing Party as evidenced by contemporaneous written records; (b) information that is already in the public domain as of the date of disclosure to the Receiving Party or that comes into the public domain thereafter by publication or otherwise through no breach of the obligations of confidentiality and non-use hereunder by the Receiving Party, including with respect to </w:t>
      </w:r>
      <w:r>
        <w:rPr>
          <w:rFonts w:ascii="Times New Roman" w:hAnsi="Times New Roman"/>
          <w:sz w:val="20"/>
          <w:u w:val="single"/>
        </w:rPr>
        <w:t>Section 8.7</w:t>
      </w:r>
      <w:r>
        <w:rPr>
          <w:rFonts w:ascii="Times New Roman" w:hAnsi="Times New Roman"/>
          <w:sz w:val="20"/>
        </w:rPr>
        <w:t xml:space="preserve">; (c) information that has been disclosed to the Receiving Party from another source free from any obligation of confidentiality and that was not directly or indirectly obtained from the Disclosing Party; or (d) information that is developed independently by employees, subcontractors, consultants or agents of the Receiving Party or any of its Affiliates without use of or reliance upon the Disclosing Party’s Confidential Information, as evidenced by contemporaneous written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Permitted Disclosures</w:t>
      </w:r>
      <w:r>
        <w:rPr>
          <w:rFonts w:ascii="Times New Roman" w:hAnsi="Times New Roman"/>
          <w:sz w:val="20"/>
        </w:rPr>
        <w:t xml:space="preserve">. In addition to the exceptions contained in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the Receiving Party may disclose Confidential Information of the Disclosing Party to the extent (and solely to the extent) that such disclosure is reasonably necessary in the following instances: </w:t>
      </w:r>
    </w:p>
    <w:p>
      <w:pPr>
        <w:pStyle w:val="TextBody"/>
        <w:bidi w:val="0"/>
        <w:spacing w:before="120" w:after="0"/>
        <w:jc w:val="left"/>
        <w:rPr>
          <w:rFonts w:ascii="Times New Roman" w:hAnsi="Times New Roman"/>
          <w:sz w:val="20"/>
        </w:rPr>
      </w:pPr>
      <w:r>
        <w:rPr>
          <w:rFonts w:ascii="Times New Roman" w:hAnsi="Times New Roman"/>
          <w:sz w:val="20"/>
        </w:rPr>
        <w:t xml:space="preserve">(a) to comply with Applicable Law (including any securities law or regulation or the rules of a securities exchange pursuant to </w:t>
      </w:r>
      <w:r>
        <w:rPr>
          <w:rFonts w:ascii="Times New Roman" w:hAnsi="Times New Roman"/>
          <w:sz w:val="20"/>
          <w:u w:val="single"/>
        </w:rPr>
        <w:t>Section 8.5</w:t>
      </w:r>
      <w:r>
        <w:rPr>
          <w:rFonts w:ascii="Times New Roman" w:hAnsi="Times New Roman"/>
          <w:sz w:val="20"/>
        </w:rPr>
        <w:t xml:space="preserve"> below) or the order of a court of competent jurisdiction, </w:t>
      </w:r>
      <w:r>
        <w:rPr>
          <w:rFonts w:ascii="Times New Roman" w:hAnsi="Times New Roman"/>
          <w:sz w:val="20"/>
          <w:u w:val="single"/>
        </w:rPr>
        <w:t>provided</w:t>
      </w:r>
      <w:r>
        <w:rPr>
          <w:rFonts w:ascii="Times New Roman" w:hAnsi="Times New Roman"/>
          <w:sz w:val="20"/>
        </w:rPr>
        <w:t xml:space="preserve"> that, where legally permissible, the Receiving Party [***] notifies the Disclosing Party of such obligation sufficiently prior to making such disclosure, so as to allow the Disclosing Party adequate time to take whatever action it may deem appropriate to protect the confidentiality of the information to be disclosed, and fully cooperates with the Disclosing Party, if so requested, in maintaining the confidentiality of such information by applying for a protective order or any similar legal instrument. In any event, the Receiving Party shall only disclose such Confidential Information to the extent required under Applicable Law and shall continue to treat such information as Confidential Information for all other purposes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to prosecute or defend litigation or to otherwise exercise its rights or perform its obligations in </w:t>
      </w:r>
      <w:r>
        <w:rPr>
          <w:rFonts w:ascii="Times New Roman" w:hAnsi="Times New Roman"/>
          <w:sz w:val="20"/>
          <w:u w:val="single"/>
        </w:rPr>
        <w:t>Section 11.4</w:t>
      </w:r>
      <w:r>
        <w:rPr>
          <w:rFonts w:ascii="Times New Roman" w:hAnsi="Times New Roman"/>
          <w:sz w:val="20"/>
        </w:rPr>
        <w:t xml:space="preserve">, to obtain or maintain Regulatory Approvals and other regulatory filings and communications, to file or prosecute patent applications as contemplated by this Agreement and to enforce Patent Rights in connection with the Receiving Party’s rights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to allow the Receiving Party to exercise its rights and perform its obligations under this Agreement, </w:t>
      </w:r>
      <w:r>
        <w:rPr>
          <w:rFonts w:ascii="Times New Roman" w:hAnsi="Times New Roman"/>
          <w:sz w:val="20"/>
          <w:u w:val="single"/>
        </w:rPr>
        <w:t>provided</w:t>
      </w:r>
      <w:r>
        <w:rPr>
          <w:rFonts w:ascii="Times New Roman" w:hAnsi="Times New Roman"/>
          <w:sz w:val="20"/>
        </w:rPr>
        <w:t xml:space="preserve"> that such disclosure shall be consistent with the confidentiality and non-use obligations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(d) to </w:t>
      </w:r>
      <w:r>
        <w:rPr>
          <w:rFonts w:ascii="Times New Roman" w:hAnsi="Times New Roman"/>
          <w:i/>
          <w:sz w:val="20"/>
        </w:rPr>
        <w:t>bona fide</w:t>
      </w:r>
      <w:r>
        <w:rPr>
          <w:rFonts w:ascii="Times New Roman" w:hAnsi="Times New Roman"/>
          <w:sz w:val="20"/>
        </w:rPr>
        <w:t xml:space="preserve"> prospective or actual purchasers, acquirers, permitted assignees or merger candidates or to </w:t>
      </w:r>
      <w:r>
        <w:rPr>
          <w:rFonts w:ascii="Times New Roman" w:hAnsi="Times New Roman"/>
          <w:i/>
          <w:sz w:val="20"/>
        </w:rPr>
        <w:t>bona fide</w:t>
      </w:r>
      <w:r>
        <w:rPr>
          <w:rFonts w:ascii="Times New Roman" w:hAnsi="Times New Roman"/>
          <w:sz w:val="20"/>
        </w:rPr>
        <w:t xml:space="preserve"> existing or potential investment bankers, investors, lenders, or financing sources solely for the purpose of evaluating or carrying out an actual or potential investment, acquisition, collaboration or license (“</w:t>
      </w:r>
      <w:r>
        <w:rPr>
          <w:rFonts w:ascii="Times New Roman" w:hAnsi="Times New Roman"/>
          <w:b/>
          <w:i/>
          <w:sz w:val="20"/>
        </w:rPr>
        <w:t>Other Recipients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Other Recipients are bound by written obligations of confidentiality and non-use that are substantially similar to those set forth herein (but of shorter duration if customary) and (ii) the failure of such Other Recipients to comply with the terms and conditions of this Agreement shall be considered a breach of this Agreement by the Receiving Party.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Disclosure of Agreement</w:t>
      </w:r>
      <w:r>
        <w:rPr>
          <w:rFonts w:ascii="Times New Roman" w:hAnsi="Times New Roman"/>
          <w:sz w:val="20"/>
        </w:rPr>
        <w:t xml:space="preserve">. Either Party may disclose the terms of this Agreement (a) to the extent required or advisable to comply with the rules and regulations promulgated by the securities exchange on which such Party or its Affiliate is listed (or equivalent agencies), </w:t>
      </w:r>
      <w:r>
        <w:rPr>
          <w:rFonts w:ascii="Times New Roman" w:hAnsi="Times New Roman"/>
          <w:sz w:val="20"/>
          <w:u w:val="single"/>
        </w:rPr>
        <w:t>provided</w:t>
      </w:r>
      <w:r>
        <w:rPr>
          <w:rFonts w:ascii="Times New Roman" w:hAnsi="Times New Roman"/>
          <w:sz w:val="20"/>
        </w:rPr>
        <w:t xml:space="preserve"> that such Party shall, where applicable, submit a confidential treatment request in connection with such disclosure, and shall disclose only such redacted form of this Agreement as may be [***] determined by such Party (with advice from attorneys), taking into consideration the comments of the other Party [***]; (b) to </w:t>
      </w:r>
      <w:r>
        <w:rPr>
          <w:rFonts w:ascii="Times New Roman" w:hAnsi="Times New Roman"/>
          <w:i/>
          <w:sz w:val="20"/>
        </w:rPr>
        <w:t>bona fide</w:t>
      </w:r>
      <w:r>
        <w:rPr>
          <w:rFonts w:ascii="Times New Roman" w:hAnsi="Times New Roman"/>
          <w:sz w:val="20"/>
        </w:rPr>
        <w:t xml:space="preserve"> prospective or actual acquirers, permitted assignees or merger candidates, investment bankers, investors and lenders, or financing sources, or similar business partners, </w:t>
      </w:r>
      <w:r>
        <w:rPr>
          <w:rFonts w:ascii="Times New Roman" w:hAnsi="Times New Roman"/>
          <w:sz w:val="20"/>
          <w:u w:val="single"/>
        </w:rPr>
        <w:t>provided</w:t>
      </w:r>
      <w:r>
        <w:rPr>
          <w:rFonts w:ascii="Times New Roman" w:hAnsi="Times New Roman"/>
          <w:sz w:val="20"/>
        </w:rPr>
        <w:t xml:space="preserve"> that such recipients are bound by a written confidentiality agreement with terms substantially as protective with respect to Confidential Information of the other Party as those contained herein (with reasonable and customary duration of confidentiality obligations); and (c) to the extent necessary to perform such Party’s obligations or exercise its rights under this Agreement, to any sublicensee, collaborator or potential sublicensee or collaborator of such Party, </w:t>
      </w:r>
      <w:r>
        <w:rPr>
          <w:rFonts w:ascii="Times New Roman" w:hAnsi="Times New Roman"/>
          <w:sz w:val="20"/>
          <w:u w:val="single"/>
        </w:rPr>
        <w:t>provided</w:t>
      </w:r>
      <w:r>
        <w:rPr>
          <w:rFonts w:ascii="Times New Roman" w:hAnsi="Times New Roman"/>
          <w:sz w:val="20"/>
        </w:rPr>
        <w:t xml:space="preserve"> that any sublicensee, collaborator or potential sublicensee or collaborator agree in writing to be bound by obligations of confidentiality and non-use no less protective of the Disclosing Party than those set forth in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Publicity; Use of Name and Logo</w:t>
      </w:r>
      <w:r>
        <w:rPr>
          <w:rFonts w:ascii="Times New Roman" w:hAnsi="Times New Roman"/>
          <w:sz w:val="20"/>
        </w:rPr>
        <w:t xml:space="preserve">. Each Party may issue a press release announcing this Agreement and the transaction contemplated hereunder, </w:t>
      </w:r>
      <w:r>
        <w:rPr>
          <w:rFonts w:ascii="Times New Roman" w:hAnsi="Times New Roman"/>
          <w:sz w:val="20"/>
          <w:u w:val="single"/>
        </w:rPr>
        <w:t>provided</w:t>
      </w:r>
      <w:r>
        <w:rPr>
          <w:rFonts w:ascii="Times New Roman" w:hAnsi="Times New Roman"/>
          <w:sz w:val="20"/>
        </w:rPr>
        <w:t xml:space="preserve"> that the timing and content of such press release shall be mutually agreed by the Parties, and each Party may issue a subsequent press release that discloses text previously approved pursuant to this </w:t>
      </w:r>
      <w:r>
        <w:rPr>
          <w:rFonts w:ascii="Times New Roman" w:hAnsi="Times New Roman"/>
          <w:sz w:val="20"/>
          <w:u w:val="single"/>
        </w:rPr>
        <w:t>Section 8.6</w:t>
      </w:r>
      <w:r>
        <w:rPr>
          <w:rFonts w:ascii="Times New Roman" w:hAnsi="Times New Roman"/>
          <w:sz w:val="20"/>
        </w:rPr>
        <w:t xml:space="preserve">, but only to the extent the underlying facts disclosed in such previously approved text are still true and accurate, and where the circumstances surrounding such disclosure have not changed. Except to the extent expressly permitted under this Agreement or required by Applicable Laws, each Party will not use the other Party’s or its Affiliates’ name or logo in any label, press release or product advertising, or for any other promotional purpose, without first obtaining the other Party’s [***] consent, not to be unreasonably withheld.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Publications</w:t>
      </w:r>
      <w:r>
        <w:rPr>
          <w:rFonts w:ascii="Times New Roman" w:hAnsi="Times New Roman"/>
          <w:sz w:val="20"/>
        </w:rPr>
        <w:t>. As between the Parties, Company (and its Affiliates and Sublicensees) shall have the sole right to make any publication or presentation that relates to the Development and Commercialization activities with respect to the Licensed Products in the Licensed Territory. In the event a Party desires to publicly present or publish an article or other publication regarding the Licensed Therapeutics or Licensed Products (each such proposed presentation or publication, a “</w:t>
      </w:r>
      <w:r>
        <w:rPr>
          <w:rFonts w:ascii="Times New Roman" w:hAnsi="Times New Roman"/>
          <w:b/>
          <w:i/>
          <w:sz w:val="20"/>
        </w:rPr>
        <w:t>Proposed Publication</w:t>
      </w:r>
      <w:r>
        <w:rPr>
          <w:rFonts w:ascii="Times New Roman" w:hAnsi="Times New Roman"/>
          <w:sz w:val="20"/>
        </w:rPr>
        <w:t xml:space="preserve">”), such Party shall provide the other Party (via the JSC) with a copy of such Proposed Publication [***] in advance based on the circumstances of the Proposed Publication to the intended submission or presentation date. A Party agrees that it will not submit or present any Proposed Publication until (a) the other Party has provided [***] comments on the material in such Proposed Publication or (b) such time as the Proposed Publication is [***] to be presented or submitted, in which case such Party may proceed and the Proposed Publication will be considered approved in its entirety. If the proposing Party receives [***] comments from the other Party, it shall consider the comments of the other Party [***], but will retain the sole authority to submit the manuscript for such Proposed Publication; </w:t>
      </w:r>
      <w:r>
        <w:rPr>
          <w:rFonts w:ascii="Times New Roman" w:hAnsi="Times New Roman"/>
          <w:sz w:val="20"/>
          <w:u w:val="single"/>
        </w:rPr>
        <w:t>provided</w:t>
      </w:r>
      <w:r>
        <w:rPr>
          <w:rFonts w:ascii="Times New Roman" w:hAnsi="Times New Roman"/>
          <w:sz w:val="20"/>
        </w:rPr>
        <w:t xml:space="preserve"> that the proposing Party agrees to (i) delete any Confidential Information of the other Party that the other Party identifies for deletion in its [***] comments, and (ii) delay such Proposed Publication for a period of up to an additional [***] after having provided the Proposed Publication to such other Party to enable the other Party to draft and file Patent Rights with respect to any subject matter to be made public in such Proposed Publication and to which the other Party has the applicable intellectual property rights to file such Patent Rights. The proposing Party shall provide the other Party a copy of the Proposed Publication at the time of the submission or presentation. Except for disclosures permitted under this </w:t>
      </w:r>
      <w:r>
        <w:rPr>
          <w:rFonts w:ascii="Times New Roman" w:hAnsi="Times New Roman"/>
          <w:sz w:val="20"/>
          <w:u w:val="single"/>
        </w:rPr>
        <w:t>Article 8</w:t>
      </w:r>
      <w:r>
        <w:rPr>
          <w:rFonts w:ascii="Times New Roman" w:hAnsi="Times New Roman"/>
          <w:sz w:val="20"/>
        </w:rPr>
        <w:t xml:space="preserve">, neither Party shall have the right to make any publication or presentation that relates to the scientific or technical results of any activities with respect to the Licensed Products. A Party shall require its Affiliates, (sub)licensees and subcontractors to comply with the obligations of this </w:t>
      </w:r>
      <w:r>
        <w:rPr>
          <w:rFonts w:ascii="Times New Roman" w:hAnsi="Times New Roman"/>
          <w:sz w:val="20"/>
          <w:u w:val="single"/>
        </w:rPr>
        <w:t>Section 8.7</w:t>
      </w:r>
      <w:r>
        <w:rPr>
          <w:rFonts w:ascii="Times New Roman" w:hAnsi="Times New Roman"/>
          <w:sz w:val="20"/>
        </w:rPr>
        <w:t xml:space="preserve"> as if they were such Party, and shall be liable for their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rPr>
        <w:t>Survival; Return of Confidential Information</w:t>
      </w:r>
      <w:r>
        <w:rPr>
          <w:rFonts w:ascii="Times New Roman" w:hAnsi="Times New Roman"/>
          <w:sz w:val="20"/>
        </w:rPr>
        <w:t xml:space="preserve">. This </w:t>
      </w:r>
      <w:r>
        <w:rPr>
          <w:rFonts w:ascii="Times New Roman" w:hAnsi="Times New Roman"/>
          <w:sz w:val="20"/>
          <w:u w:val="single"/>
        </w:rPr>
        <w:t>Article 8</w:t>
      </w:r>
      <w:r>
        <w:rPr>
          <w:rFonts w:ascii="Times New Roman" w:hAnsi="Times New Roman"/>
          <w:sz w:val="20"/>
        </w:rPr>
        <w:t xml:space="preserve"> shall survive the expiration or termination of this Agreement and shall remain in full force and effect for [***] after such expiration or termination. Upon the expiration or termination of this Agreement, the Receiving Party shall return to the Disclosing Party (or, as directed by the Disclosing Party, destroy) all Confidential Information of the Disclosing Party that is in the Receiving Party’s possession or control;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one (1) copy of any Confidential Information of the Disclosing Party may be retained and stored solely for the purpose of determining its obligations under this Agreement, </w:t>
      </w:r>
      <w:r>
        <w:rPr>
          <w:rFonts w:ascii="Times New Roman" w:hAnsi="Times New Roman"/>
          <w:sz w:val="20"/>
          <w:u w:val="single"/>
        </w:rPr>
        <w:t>provided</w:t>
      </w:r>
      <w:r>
        <w:rPr>
          <w:rFonts w:ascii="Times New Roman" w:hAnsi="Times New Roman"/>
          <w:sz w:val="20"/>
        </w:rPr>
        <w:t xml:space="preserve"> that the non-disclosure and non-use obligation under this </w:t>
      </w:r>
      <w:r>
        <w:rPr>
          <w:rFonts w:ascii="Times New Roman" w:hAnsi="Times New Roman"/>
          <w:sz w:val="20"/>
          <w:u w:val="single"/>
        </w:rPr>
        <w:t>Article 8</w:t>
      </w:r>
      <w:r>
        <w:rPr>
          <w:rFonts w:ascii="Times New Roman" w:hAnsi="Times New Roman"/>
          <w:sz w:val="20"/>
        </w:rPr>
        <w:t xml:space="preserve"> shall continue to apply to any such copy. In addition, the Receiving Party shall not be required to return or destroy Confidential Information contained in any computer system back-up records made in the ordinary course of business, </w:t>
      </w:r>
      <w:r>
        <w:rPr>
          <w:rFonts w:ascii="Times New Roman" w:hAnsi="Times New Roman"/>
          <w:sz w:val="20"/>
          <w:u w:val="single"/>
        </w:rPr>
        <w:t>provided</w:t>
      </w:r>
      <w:r>
        <w:rPr>
          <w:rFonts w:ascii="Times New Roman" w:hAnsi="Times New Roman"/>
          <w:sz w:val="20"/>
        </w:rPr>
        <w:t xml:space="preserve"> that such Confidential Information may not be accessed without the Disclosing Party’s prior written consent or as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Representations, Warranties of Each Party</w:t>
      </w:r>
      <w:r>
        <w:rPr>
          <w:rFonts w:ascii="Times New Roman" w:hAnsi="Times New Roman"/>
          <w:sz w:val="20"/>
        </w:rPr>
        <w:t xml:space="preserve">. Each Party represents and warrants to the other Party as of the Effective Date, and as applicable, covenants to the other Party, that: </w:t>
      </w:r>
    </w:p>
    <w:p>
      <w:pPr>
        <w:pStyle w:val="TextBody"/>
        <w:bidi w:val="0"/>
        <w:spacing w:before="120" w:after="0"/>
        <w:jc w:val="left"/>
        <w:rPr>
          <w:rFonts w:ascii="Times New Roman" w:hAnsi="Times New Roman"/>
          <w:sz w:val="20"/>
        </w:rPr>
      </w:pPr>
      <w:r>
        <w:rPr>
          <w:rFonts w:ascii="Times New Roman" w:hAnsi="Times New Roman"/>
          <w:sz w:val="20"/>
        </w:rPr>
        <w:t xml:space="preserve">(a) it is validly existing and in good standing under the Applicable Laws of the jurisdiction of its incorporation and has the full right, power and authority to enter into this Agreement, conduct the activities allocated to it under this Agreement, grant the licenses and assign the rights under this Agreement and disclose such information and Know-How that is disclosed in performance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this Agreement has been duly executed by it and is legally binding upon it, enforceable in accordance with its terms, and does not conflict with any agreement, instrument or understanding, oral or written, to which it is a party or by which it may be bound, nor violate any material Applicable Law of any court, governmental body or administrative or other agency having jurisdiction over it;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of its Affiliates are party to any agreements, oral or written, that conflict with its obligations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(d) neither it, nor any of its Affiliates, have been debarred.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Representations and Warranties of Licensor</w:t>
      </w:r>
      <w:r>
        <w:rPr>
          <w:rFonts w:ascii="Times New Roman" w:hAnsi="Times New Roman"/>
          <w:sz w:val="20"/>
        </w:rPr>
        <w:t xml:space="preserve">. Licensor represents and warrants to Company as of the Effective Date, that: </w:t>
      </w:r>
    </w:p>
    <w:p>
      <w:pPr>
        <w:pStyle w:val="TextBody"/>
        <w:bidi w:val="0"/>
        <w:spacing w:before="120" w:after="0"/>
        <w:jc w:val="left"/>
        <w:rPr>
          <w:rFonts w:ascii="Times New Roman" w:hAnsi="Times New Roman"/>
          <w:sz w:val="20"/>
        </w:rPr>
      </w:pPr>
      <w:r>
        <w:rPr>
          <w:rFonts w:ascii="Times New Roman" w:hAnsi="Times New Roman"/>
          <w:sz w:val="20"/>
        </w:rPr>
        <w:t xml:space="preserve">(a) all Licensed Patents existing as of the Effective Date are set forth on </w:t>
      </w:r>
      <w:r>
        <w:rPr>
          <w:rFonts w:ascii="Times New Roman" w:hAnsi="Times New Roman"/>
          <w:sz w:val="20"/>
          <w:u w:val="single"/>
        </w:rPr>
        <w:t xml:space="preserve">Schedule 1.56 </w:t>
      </w:r>
      <w:r>
        <w:rPr>
          <w:rFonts w:ascii="Times New Roman" w:hAnsi="Times New Roman"/>
          <w:sz w:val="20"/>
        </w:rPr>
        <w:t xml:space="preserve">hereto, and all Licensed Patents included therein are (i) valid and, [***], enforceable, (ii) being diligently prosecuted in the respective patent offices in the Licensed Territory in accordance with Applicable Law, and (iii) have been filed and maintained properly and correctly and all applicable fees have been paid on or before the due date for such payments; </w:t>
      </w:r>
    </w:p>
    <w:p>
      <w:pPr>
        <w:pStyle w:val="TextBody"/>
        <w:bidi w:val="0"/>
        <w:spacing w:before="240" w:after="0"/>
        <w:jc w:val="left"/>
        <w:rPr>
          <w:rFonts w:ascii="Times New Roman" w:hAnsi="Times New Roman"/>
          <w:sz w:val="20"/>
        </w:rPr>
      </w:pPr>
      <w:r>
        <w:rPr>
          <w:rFonts w:ascii="Times New Roman" w:hAnsi="Times New Roman"/>
          <w:sz w:val="20"/>
        </w:rPr>
        <w:t xml:space="preserve">(b) Licensor is the sole and exclusive owner of the Licensed Technology, free and clear of all liens and other encumbrances, and neither Licensor nor any Affiliate of Licensor is a party to any agreement with a Third Party pursuant to which Licensor or its Affiliate receives a license from such Third Party to any intellectual property that would constitute Licensed Technology if owned by Licensor; </w:t>
      </w:r>
    </w:p>
    <w:p>
      <w:pPr>
        <w:pStyle w:val="TextBody"/>
        <w:bidi w:val="0"/>
        <w:spacing w:before="240" w:after="0"/>
        <w:jc w:val="left"/>
        <w:rPr>
          <w:rFonts w:ascii="Times New Roman" w:hAnsi="Times New Roman"/>
          <w:sz w:val="20"/>
        </w:rPr>
      </w:pPr>
      <w:r>
        <w:rPr>
          <w:rFonts w:ascii="Times New Roman" w:hAnsi="Times New Roman"/>
          <w:sz w:val="20"/>
        </w:rPr>
        <w:t xml:space="preserve">(c) Licensor has complied [***] with all Applicable Law with respect to the filing, prosecution and maintenance of the Licensed Patents. Licensor has not received any dispute, alleged or threatened, [***] regarding inventorship with respect to any Licensed Patents. </w:t>
      </w:r>
    </w:p>
    <w:p>
      <w:pPr>
        <w:pStyle w:val="TextBody"/>
        <w:bidi w:val="0"/>
        <w:spacing w:before="240" w:after="0"/>
        <w:jc w:val="left"/>
        <w:rPr>
          <w:rFonts w:ascii="Times New Roman" w:hAnsi="Times New Roman"/>
          <w:sz w:val="20"/>
        </w:rPr>
      </w:pPr>
      <w:r>
        <w:rPr>
          <w:rFonts w:ascii="Times New Roman" w:hAnsi="Times New Roman"/>
          <w:sz w:val="20"/>
        </w:rPr>
        <w:t xml:space="preserve">(d) Licensor has the full right and authority to grant the licenses and rights granted to Company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neither Licensor, nor any of its Affiliates, have previously assigned, transferred, conveyed or otherwise encumbered, and shall not assign, transfer, convey or otherwise encumber during the Term, its right, title or interest in or to the Licensed Technology in a manner that would prevent Company or its Affiliates, subcontractors or Sublicensees from researching, Developing, Manufacturing or Commercializing Licensed Products or from otherwise Exploiting its rights and licenses granted or assigned by Licensor hereunder;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claims, judgments or settlements against or pending, or amounts with respect thereto, owed by Licensor or any of its Affiliates, with respect to the Licensed Technology and Licensor has not received [***] notice threatening any such claims, judgments or settlements; </w:t>
      </w:r>
    </w:p>
    <w:p>
      <w:pPr>
        <w:pStyle w:val="TextBody"/>
        <w:bidi w:val="0"/>
        <w:spacing w:before="240" w:after="0"/>
        <w:jc w:val="left"/>
        <w:rPr>
          <w:rFonts w:ascii="Times New Roman" w:hAnsi="Times New Roman"/>
          <w:sz w:val="20"/>
        </w:rPr>
      </w:pPr>
      <w:r>
        <w:rPr>
          <w:rFonts w:ascii="Times New Roman" w:hAnsi="Times New Roman"/>
          <w:sz w:val="20"/>
        </w:rPr>
        <w:t xml:space="preserve">(g) each person who has or has had any rights in or to any Licensed Technology existing as of the Effective Date has assigned and has executed an agreement assigning its entire right, title and interest in and to such Licensed Technology to Licensor, and Licensor shall be solely responsible for any payments to such person for such assignment, including reward and remunerations required under Applicable Law to inventors who are employees of Licensor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 [***], no invention claimed in any Licensed Patent was made by any inventor(s) within [***] after termination of employment or otherwise departure from a former employer (such former employer may be any person other than Licensor), with such invention being related to the inventor’s duties or tasks assigned by the former employer during such former employment, as a result of which such former employer is entitled to “claw back” any right, title and interest in the invention under applicable laws, including the Patent Law of the People’s Republic of China and its implementing regulations and administrative rules; </w:t>
      </w:r>
    </w:p>
    <w:p>
      <w:pPr>
        <w:pStyle w:val="TextBody"/>
        <w:bidi w:val="0"/>
        <w:spacing w:before="240" w:after="0"/>
        <w:jc w:val="left"/>
        <w:rPr>
          <w:rFonts w:ascii="Times New Roman" w:hAnsi="Times New Roman"/>
          <w:sz w:val="20"/>
        </w:rPr>
      </w:pPr>
      <w:r>
        <w:rPr>
          <w:rFonts w:ascii="Times New Roman" w:hAnsi="Times New Roman"/>
          <w:sz w:val="20"/>
        </w:rPr>
        <w:t xml:space="preserve">(i) [***], the Development, Manufacture or Commercialization of the Licensed Therapeutics and Licensed Products as contemplated under this Agreement (a) does not infringe any claim of a Third Party Patent Right, or (b) does not misappropriate any Know-How or other intellectual property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(j) there are no pending or threatened [***] claims, actions, suits or proceedings alleging that the Licensed Technology or the Licensed Therapeutics or Licensed Products, or any Development or Manufacture thereof conducted prior to the Effective Date, infringes or misappropriates the intellectual property rights of any Third Party, and, [***], no facts or circumstances exist that would [***] give rise to any such claims, actions, suits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(k) [***], no person is infringing or threatening to infringe or misappropriate or threatening to misappropriate the Licensed Technology; </w:t>
      </w:r>
    </w:p>
    <w:p>
      <w:pPr>
        <w:pStyle w:val="TextBody"/>
        <w:bidi w:val="0"/>
        <w:spacing w:before="240" w:after="0"/>
        <w:jc w:val="left"/>
        <w:rPr>
          <w:rFonts w:ascii="Times New Roman" w:hAnsi="Times New Roman"/>
          <w:sz w:val="20"/>
        </w:rPr>
      </w:pPr>
      <w:r>
        <w:rPr>
          <w:rFonts w:ascii="Times New Roman" w:hAnsi="Times New Roman"/>
          <w:sz w:val="20"/>
        </w:rPr>
        <w:t xml:space="preserve">(l) all information disclosed to Company by Licensor relating to the Licensed Technology and the Development of the Licensed Therapeutic and Licensed Product is, at the time of disclosure, accurate [***], and, as of the Effective Date, Licensor has not [***] concealed any material information relating to the Licensed Technology and the Development of the Licensed Therapeutic and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(m) the Development of the Licensed Product is not funded by any Governmental Authority (including any state or provincial government agency), and there are no restrictions or other requirements, including any restrictions or requirements of any Governmental Authority or any Person that provided funding to Licensor or its Affiliates, that (i) prevent, preclude or restrict Licensor from granting the license under the Licensed Technology granted to Company hereunder, or transferring to Company any of the Licensed Technology or the Licensed Therapeutics or (ii) otherwise encumber Company’s practice of the license and rights granted to Company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(i) Licensor’s and each of its Affiliate’s Development activities relating to the Licensed Therapeutic and Licensed Products prior to the Effective Date have complied with and did not contravene and (ii) the execution, delivery and performance of this Agreement by Licensor complies with and does not contravene, in each case ((i) and (ii)), any and all Applicable Laws and applicable obligations arising from and any specific use restrictions of any Data Security and Protection Laws [***]; and </w:t>
      </w:r>
    </w:p>
    <w:p>
      <w:pPr>
        <w:pStyle w:val="TextBody"/>
        <w:bidi w:val="0"/>
        <w:spacing w:before="240" w:after="0"/>
        <w:jc w:val="left"/>
        <w:rPr>
          <w:rFonts w:ascii="Times New Roman" w:hAnsi="Times New Roman"/>
          <w:sz w:val="20"/>
        </w:rPr>
      </w:pPr>
      <w:r>
        <w:rPr>
          <w:rFonts w:ascii="Times New Roman" w:hAnsi="Times New Roman"/>
          <w:sz w:val="20"/>
        </w:rPr>
        <w:t xml:space="preserve">(o) Licensor’s and each of its Affiliate’s access to, use and disclosure of all data, documents or other information that are derived from, collected from, associated with or generated during its Development of the Licensed Therapeutic or any Licensed Product have been in [***] compliance with (i) applicable Data Security and Protection Laws and (ii) applicable ethics committee or institutional review board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Covenant of Each Party</w:t>
      </w:r>
      <w:r>
        <w:rPr>
          <w:rFonts w:ascii="Times New Roman" w:hAnsi="Times New Roman"/>
          <w:sz w:val="20"/>
        </w:rPr>
        <w:t xml:space="preserve">. Each Party covenants to the other Party that: </w:t>
      </w:r>
    </w:p>
    <w:p>
      <w:pPr>
        <w:pStyle w:val="TextBody"/>
        <w:bidi w:val="0"/>
        <w:spacing w:before="120" w:after="0"/>
        <w:jc w:val="left"/>
        <w:rPr>
          <w:rFonts w:ascii="Times New Roman" w:hAnsi="Times New Roman"/>
          <w:sz w:val="20"/>
        </w:rPr>
      </w:pPr>
      <w:r>
        <w:rPr>
          <w:rFonts w:ascii="Times New Roman" w:hAnsi="Times New Roman"/>
          <w:sz w:val="20"/>
        </w:rPr>
        <w:t xml:space="preserve">(a) during the Term, it shall (and shall cause its Affiliate to) obtain and maintain in force all necessary consents, licenses, permits, approvals and other permissions to enable it to fulfil its obligations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(b) during the Term, it will not make any commitment to any Third Party, including entering into any license agreement or otherwise granting rights to a Third Party, in each case, in conflict with the rights granted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Covenant of Licensor</w:t>
      </w:r>
      <w:r>
        <w:rPr>
          <w:rFonts w:ascii="Times New Roman" w:hAnsi="Times New Roman"/>
          <w:sz w:val="20"/>
        </w:rPr>
        <w:t xml:space="preserve">. Licensor covenants to Company that: </w:t>
      </w:r>
    </w:p>
    <w:p>
      <w:pPr>
        <w:pStyle w:val="TextBody"/>
        <w:bidi w:val="0"/>
        <w:spacing w:before="120" w:after="0"/>
        <w:jc w:val="left"/>
        <w:rPr>
          <w:rFonts w:ascii="Times New Roman" w:hAnsi="Times New Roman"/>
          <w:sz w:val="20"/>
        </w:rPr>
      </w:pPr>
      <w:r>
        <w:rPr>
          <w:rFonts w:ascii="Times New Roman" w:hAnsi="Times New Roman"/>
          <w:sz w:val="20"/>
        </w:rPr>
        <w:t xml:space="preserve">(a) neither Licensor, nor any of its Affiliates, shall assign, transfer, convey or otherwise encumber during the Term, its right, title or interest in or to the Licensed Technology in a manner that would prevent Company or its Affiliates and Sublicensees from researching, Developing, Manufacturing or Commercializing Licensed Products or from otherwise Exploiting its rights and licenses granted or assigned by Licensor hereunder; and </w:t>
      </w:r>
    </w:p>
    <w:p>
      <w:pPr>
        <w:pStyle w:val="TextBody"/>
        <w:bidi w:val="0"/>
        <w:spacing w:before="240" w:after="0"/>
        <w:jc w:val="left"/>
        <w:rPr>
          <w:rFonts w:ascii="Times New Roman" w:hAnsi="Times New Roman"/>
          <w:sz w:val="20"/>
        </w:rPr>
      </w:pPr>
      <w:r>
        <w:rPr>
          <w:rFonts w:ascii="Times New Roman" w:hAnsi="Times New Roman"/>
          <w:sz w:val="20"/>
        </w:rPr>
        <w:t xml:space="preserve">(b) [***] following the Effective Date, and in no event later than [***] thereafter, Licensor shall obtain all necessary approvals and supplemental consents for any patient informed consent forms or similar patient forms included in the Know-How as required by and in accordance with Applicable Law for Company to exercise its rights or perform its obligations under this Agreement. Licensor shall transfer to Company such approvals or supplemental consents in accordance with </w:t>
      </w:r>
      <w:r>
        <w:rPr>
          <w:rFonts w:ascii="Times New Roman" w:hAnsi="Times New Roman"/>
          <w:sz w:val="20"/>
          <w:u w:val="single"/>
        </w:rPr>
        <w:t>Section 2.4</w:t>
      </w:r>
      <w:r>
        <w:rPr>
          <w:rFonts w:ascii="Times New Roman" w:hAnsi="Times New Roman"/>
          <w:sz w:val="20"/>
        </w:rPr>
        <w:t xml:space="preserve">. For the avoidance of doubt, any such approvals or supplemental consents shall constitute Licensed Know-How.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Compliance with Law.</w:t>
      </w:r>
      <w:r>
        <w:rPr>
          <w:rFonts w:ascii="Times New Roman" w:hAnsi="Times New Roman"/>
          <w:sz w:val="20"/>
        </w:rPr>
        <w:t xml:space="preserve"> Each Party hereby covenants to the other Party that, in the course of performing its obligations and exercising its rights under this Agreement, it shall comply with all Applicable Laws, including, as applicable, cGMP, GCP, and GLP standards, Anti-Corruption Laws and Data Security and Protection Laws, and shall not [***] employ or engage any Person who has been debarred by any Regulatory Authority, or, [***], is the subject of debarment proceedings by a Regulatory Authority. To the extent required by Applicable Law in mainland China, Licensor, at [***] cost and expense, shall file an executed copy of a confirmatory, short-form version of this Agreement, in a form approved by Company [***] (such approval not to be unreasonably withheld, delayed or conditioned), with the required Governmental Authorities in mainland China, on a confidential basis, solely for the purposes of fulfilling Licensor’s obligations under the TIELR Regulations or TAR Regulations, </w:t>
      </w:r>
      <w:r>
        <w:rPr>
          <w:rFonts w:ascii="Times New Roman" w:hAnsi="Times New Roman"/>
          <w:sz w:val="20"/>
          <w:u w:val="single"/>
        </w:rPr>
        <w:t>provided</w:t>
      </w:r>
      <w:r>
        <w:rPr>
          <w:rFonts w:ascii="Times New Roman" w:hAnsi="Times New Roman"/>
          <w:sz w:val="20"/>
        </w:rPr>
        <w:t xml:space="preserve"> that Licensor shall procure a certified translation of the short-form agreement from a professional Third Party translation service [***] acceptable to Company and who is bound by obligations of confidentiality and non-use that are no less stringent than the confidentiality and non-use obligations contained herein and shall, prior to filing any such translation, give Company a right to review and approve such translation (such approval not to be unreasonably withheld, delayed or conditioned). Licensor shall inform Company [***] of any such filing and shall [***] provide Company with a copy of any TIELR Registration Certificate received from such filing. Except as required by Applicable Law in mainland China, Licensor shall not, as part of its filings under the TIELR Regulations or TAR Regulations, file or disclose this Agreement or any information not contained in the approved short-form agreement without Company’s [***] consent.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b/>
          <w:sz w:val="20"/>
        </w:rPr>
        <w:t>Data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9.6(b)</w:t>
      </w:r>
      <w:r>
        <w:rPr>
          <w:rFonts w:ascii="Times New Roman" w:hAnsi="Times New Roman"/>
          <w:sz w:val="20"/>
        </w:rPr>
        <w:t xml:space="preserve"> or </w:t>
      </w:r>
      <w:r>
        <w:rPr>
          <w:rFonts w:ascii="Times New Roman" w:hAnsi="Times New Roman"/>
          <w:sz w:val="20"/>
          <w:u w:val="single"/>
        </w:rPr>
        <w:t>Section 9.6(c)</w:t>
      </w:r>
      <w:r>
        <w:rPr>
          <w:rFonts w:ascii="Times New Roman" w:hAnsi="Times New Roman"/>
          <w:sz w:val="20"/>
        </w:rPr>
        <w:t xml:space="preserve">, with respect to Personal Data processed by a Party in exercise of its rights or performance of its obligations under this Agreement, each Party shall (i) comply with its respective obligations under applicable Data Security and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at all times during the Term, act in a manner such that it does not become subject to any prohibition or restriction that (A) prevents or restricts it from disclosing or transferring the Personal Data to the other Party, as required under this Agreement; or which (B) prevents or restricts it from Processing the Personal Data as envisaged under this Agreement. If either Party becomes aware of any circumstances that it [***] believes may give rise to such a prohibition or restriction, it shall notify the other Party [***] of the same and take [***] steps, including [***], to mitigate its impact on its performance of its obligations under this Agreement; (iii) as required by its respective obligations under applicable Data Security and Protection Laws and under this Agreement, at all times during the Term, provide all notices and obtain all consents that are sufficient in scope to enable such Party and the other Party to Process the Personal Data in order to (A) comply with its respective obligations under this Agreement and Applicable Laws; and (B) obtain the benefit of its rights under this Agreement (including, as applicable, the disclosure, transfer and receipt of all applicable Personal Data); (iv) implement and maintain [***] administrative, organizational, technical, and physical safeguards designed to (A) maintain the security and confidentiality of the Personal Data; and (B) protect against [***] threats or hazards to the security, availability, and/or integrity of the Personal Data, and to fulfil any related reporting obligations that may be imposed by Applicable Law; (v) notify the other Party [***] upon receipt of (A) any correspondence from a Governmental Authority in relation to the Processing of Personal Data, or (B) a request or notice from a data subject exercising rights under applicable Data Security and Protection Laws, including to access, rectify, or delete their Personal Data in relation to the Personal Data Processed under this Agreement; and (vi) [***] cooperate with the other Party to enable the other Party to fulfil its obligations, as applicable, under applicable Data Security and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term or condition of this Agreement, neither Company, nor any of its Affiliates or Sublicensees, shall have any obligation under this Agreement to transfer or provide access to any Personal Data or other data or materials if such transfer or provision of access is, in the [***] opinion of Company ([***]), subject to the U.S. Bulk Data Final Rule and (i) not exempt under 28 C.F.R. § 202.510, § 202.511, or another exemption under the U.S. Bulk Data Final Rule or (ii) if with a foreign person that is not a Covered Person (as defined by the U.S. Bulk Data Final Rule) that does not agree to be bound by the onward transfer requirements under 28 C.F.R. § 202.302 of the U.S. Bulk Data Final Rule. If in either Party’s [***] judgment neither clause (i) nor clause (ii) of this subsection apply to the transfer or provision of access of Personal Data or other data or materials, and it is [***] practicable to otherwise implement such transfer or provision of access as a transaction that is not a “covered data transaction” as defined under the U.S. Bulk Data Final Rule, the Parties shall consider the feasibility of such an approach [***], </w:t>
      </w:r>
      <w:r>
        <w:rPr>
          <w:rFonts w:ascii="Times New Roman" w:hAnsi="Times New Roman"/>
          <w:sz w:val="20"/>
          <w:u w:val="single"/>
        </w:rPr>
        <w:t>provided</w:t>
      </w:r>
      <w:r>
        <w:rPr>
          <w:rFonts w:ascii="Times New Roman" w:hAnsi="Times New Roman"/>
          <w:sz w:val="20"/>
        </w:rPr>
        <w:t xml:space="preserve"> that Company shall have the right to take all [***] measures to ensure its compliance with the U.S. Bulk Data Final Rule. To the extent that either Party [***] determines not to transfer Personal Data or other data or materials pursuant to this </w:t>
      </w:r>
      <w:r>
        <w:rPr>
          <w:rFonts w:ascii="Times New Roman" w:hAnsi="Times New Roman"/>
          <w:sz w:val="20"/>
          <w:u w:val="single"/>
        </w:rPr>
        <w:t>Section 9.6(b)</w:t>
      </w:r>
      <w:r>
        <w:rPr>
          <w:rFonts w:ascii="Times New Roman" w:hAnsi="Times New Roman"/>
          <w:sz w:val="20"/>
        </w:rPr>
        <w:t xml:space="preserve">, it shall [***] notify the other Party and provide its rationale. Licensor shall provide all reasonably necessary assistance in complying with Company’s obligations under the U.S. Bulk Data Final Rule to the extent applicable to the Parties’ obligations and rights under this Agreement. </w:t>
      </w:r>
    </w:p>
    <w:p>
      <w:pPr>
        <w:pStyle w:val="TextBody"/>
        <w:bidi w:val="0"/>
        <w:spacing w:before="240" w:after="0"/>
        <w:jc w:val="left"/>
        <w:rPr>
          <w:rFonts w:ascii="Times New Roman" w:hAnsi="Times New Roman"/>
          <w:sz w:val="20"/>
        </w:rPr>
      </w:pPr>
      <w:r>
        <w:rPr>
          <w:rFonts w:ascii="Times New Roman" w:hAnsi="Times New Roman"/>
          <w:sz w:val="20"/>
        </w:rPr>
        <w:t>(c) To the extent this Agreement obligates a Party to transfer, disclose or otherwise make available to the other Party Personal Data and (i) such Party has not yet transferred, disclosed or otherwise made available such Personal Data to the other Party and (ii) such Party learns of any (Y) unauthorized access to, or acquisition, disclosure or other Processing of such Personal Data or (Z) other event or circumstance than constitutes a “personal data breach” or similar term as defined under applicable Data Security and Protection Laws, (any, a “</w:t>
      </w:r>
      <w:r>
        <w:rPr>
          <w:rFonts w:ascii="Times New Roman" w:hAnsi="Times New Roman"/>
          <w:b/>
          <w:i/>
          <w:sz w:val="20"/>
        </w:rPr>
        <w:t>Data Breach</w:t>
      </w:r>
      <w:r>
        <w:rPr>
          <w:rFonts w:ascii="Times New Roman" w:hAnsi="Times New Roman"/>
          <w:sz w:val="20"/>
        </w:rPr>
        <w:t xml:space="preserve">”), the Party that experienced the Data Breach shall (1) [***] notify the other Party; (2) [***] investigate such Data Breach; and (3) at the other Party’s [***] request, provide [***] levels of access and information to the other Party. The Parties shall [***] cooperate with each other in identifying any reasonable steps that should be implemented which are designed to limit, contain, or stop a Data Breach, and to fulfil any related reporting or notification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Without limiting the foregoing, if required by Data Security and Protection Laws or otherwise requested by either Party, the Parties shall negotiate and enter into a written agreement with respect to the collection, storage, transfer, processing and use of Personal Data by the Parties and their Affiliates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b/>
          <w:sz w:val="20"/>
        </w:rPr>
        <w:t>NO OTHER WARRANTIES</w:t>
      </w:r>
      <w:r>
        <w:rPr>
          <w:rFonts w:ascii="Times New Roman" w:hAnsi="Times New Roman"/>
          <w:sz w:val="20"/>
        </w:rPr>
        <w:t xml:space="preserve">. EXCEPT AS EXPRESSLY STATED IN THIS </w:t>
      </w:r>
      <w:r>
        <w:rPr>
          <w:rFonts w:ascii="Times New Roman" w:hAnsi="Times New Roman"/>
          <w:sz w:val="20"/>
          <w:u w:val="single"/>
        </w:rPr>
        <w:t>ARTICLE 9</w:t>
      </w:r>
      <w:r>
        <w:rPr>
          <w:rFonts w:ascii="Times New Roman" w:hAnsi="Times New Roman"/>
          <w:sz w:val="20"/>
        </w:rPr>
        <w:t xml:space="preserve">, (A) NO REPRESENTATION, CONDITION OR WARRANTY WHATSOEVER IS MADE OR GIVEN BY OR ON BEHALF OF COMPANY OR LICENSOR; AND (B) ALL OTHER CONDITIONS AND WARRANTIES WHETHER ARISING BY OPERATION OF LAW OR OTHERWISE ARE EXPRESSLY DISCLAIMED, INCLUDING ANY CONDITIONS AND WARRANTIES OF MERCHANTABILITY, FITNESS FOR A PARTICULAR PURPOSE OR NON-INFRINGEMENT. COMPANY MAKES NO WARRANTY, EITHER EXPRESS OR IMPLIED, THAT ITS DEVELOPMENT, MANUFACTURING OR COMMERCIALIZATION EFFORTS FOR THE LICENSED THERAPEUTICS OR LICENSED PRODUCTS WILL BE SUCCESSFUL OR ACHIEVE ANY PARTICULAR RESULT.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By Company</w:t>
      </w:r>
      <w:r>
        <w:rPr>
          <w:rFonts w:ascii="Times New Roman" w:hAnsi="Times New Roman"/>
          <w:sz w:val="20"/>
        </w:rPr>
        <w:t>. Company shall indemnify, defend and hold harmless Licensor, its Affiliates, and its and their directors, officers, employees and agents, and their respective successors, heirs and assigns (individually and collectively, the “</w:t>
      </w:r>
      <w:r>
        <w:rPr>
          <w:rFonts w:ascii="Times New Roman" w:hAnsi="Times New Roman"/>
          <w:b/>
          <w:i/>
          <w:sz w:val="20"/>
        </w:rPr>
        <w:t>Licensor Indemnitee(s)</w:t>
      </w:r>
      <w:r>
        <w:rPr>
          <w:rFonts w:ascii="Times New Roman" w:hAnsi="Times New Roman"/>
          <w:sz w:val="20"/>
        </w:rPr>
        <w:t>”) from and against all losses, liabilities, damages, judgments, awards, costs and expenses (including reasonable attorneys’ fees) (individually and collectively, “</w:t>
      </w:r>
      <w:r>
        <w:rPr>
          <w:rFonts w:ascii="Times New Roman" w:hAnsi="Times New Roman"/>
          <w:b/>
          <w:i/>
          <w:sz w:val="20"/>
        </w:rPr>
        <w:t>Losses</w:t>
      </w:r>
      <w:r>
        <w:rPr>
          <w:rFonts w:ascii="Times New Roman" w:hAnsi="Times New Roman"/>
          <w:sz w:val="20"/>
        </w:rPr>
        <w:t>”) incurred in connection with any claims, demands, actions, suits or other proceedings by any Third Party (individually and collectively, “</w:t>
      </w:r>
      <w:r>
        <w:rPr>
          <w:rFonts w:ascii="Times New Roman" w:hAnsi="Times New Roman"/>
          <w:b/>
          <w:i/>
          <w:sz w:val="20"/>
        </w:rPr>
        <w:t>Third Party Claims</w:t>
      </w:r>
      <w:r>
        <w:rPr>
          <w:rFonts w:ascii="Times New Roman" w:hAnsi="Times New Roman"/>
          <w:sz w:val="20"/>
        </w:rPr>
        <w:t xml:space="preserve">”) to the extent arising from (a) the Exploitation of the Licensed Therapeutics or Licensed Products by or on behalf of Company or any of its Affiliates, or Sublicensees, (b) the gross negligence or willful misconduct of Company or its Affiliates, Sublicensees or Subcontractors, or any Company Indemnitees, or (c) Company’s breach of this Agreement, including its representations, warranties and obligations, in each case of clauses (a) through (c), except to the extent such Losses arise out of any matter for which Licensor has obligations of indemnification pursuant to </w:t>
      </w:r>
      <w:r>
        <w:rPr>
          <w:rFonts w:ascii="Times New Roman" w:hAnsi="Times New Roman"/>
          <w:sz w:val="20"/>
          <w:u w:val="single"/>
        </w:rPr>
        <w:t>Section 10.2</w:t>
      </w:r>
      <w:r>
        <w:rPr>
          <w:rFonts w:ascii="Times New Roman" w:hAnsi="Times New Roman"/>
          <w:sz w:val="20"/>
        </w:rPr>
        <w:t xml:space="preserve">, with respect to which each Party will indemnify the other in proportion to their respective liability for such Losses.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By Licensor</w:t>
      </w:r>
      <w:r>
        <w:rPr>
          <w:rFonts w:ascii="Times New Roman" w:hAnsi="Times New Roman"/>
          <w:sz w:val="20"/>
        </w:rPr>
        <w:t>. Licensor shall indemnify, defend and hold harmless Company, its Affiliates, and its and their directors, officers, employees and agents, and their respective successors, heirs and assigns (individually and collectively, the “</w:t>
      </w:r>
      <w:r>
        <w:rPr>
          <w:rFonts w:ascii="Times New Roman" w:hAnsi="Times New Roman"/>
          <w:b/>
          <w:i/>
          <w:sz w:val="20"/>
        </w:rPr>
        <w:t>Company</w:t>
      </w:r>
      <w:r>
        <w:rPr>
          <w:rFonts w:ascii="Times New Roman" w:hAnsi="Times New Roman"/>
          <w:sz w:val="20"/>
        </w:rPr>
        <w:t xml:space="preserve"> </w:t>
      </w:r>
      <w:r>
        <w:rPr>
          <w:rFonts w:ascii="Times New Roman" w:hAnsi="Times New Roman"/>
          <w:b/>
          <w:i/>
          <w:sz w:val="20"/>
        </w:rPr>
        <w:t>Indemnitee(s)</w:t>
      </w:r>
      <w:r>
        <w:rPr>
          <w:rFonts w:ascii="Times New Roman" w:hAnsi="Times New Roman"/>
          <w:sz w:val="20"/>
        </w:rPr>
        <w:t xml:space="preserve">”) from and against all Losses incurred in connection with any Third Party Claims to the extent arising from (a) the Exploitation of the Licensed Therapeutics or Licensed Products by or on behalf of Licensor or any of its Affiliates or Third Party Licensees (including, for clarity, any such Exploitation prior to the Effective Date or during the Term), (b) the gross negligence or willful misconduct of Licensor or its Affiliates, Third Party Licensees or subcontractors, or any Licensor Indemnitees, (c) Licensor’s breach of this Agreement, including its representations, warranties and obligations, and (d) the infringement or misappropriation of any Third Party Patent Right or other intellectual property or proprietary right of such Third Party by the technology or Know-How comprising, or used to develop, Licensor Platform, in each case of clauses (a) through (d), except to the extent such Losses arise out of any matter for which Company has obligations of indemnification pursuant to </w:t>
      </w:r>
      <w:r>
        <w:rPr>
          <w:rFonts w:ascii="Times New Roman" w:hAnsi="Times New Roman"/>
          <w:sz w:val="20"/>
          <w:u w:val="single"/>
        </w:rPr>
        <w:t>Section 10.1</w:t>
      </w:r>
      <w:r>
        <w:rPr>
          <w:rFonts w:ascii="Times New Roman" w:hAnsi="Times New Roman"/>
          <w:sz w:val="20"/>
        </w:rPr>
        <w:t xml:space="preserve">, with respect to which each Party will indemnify the other in proportion to their respective liability for such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Indemnification Procedure</w:t>
      </w:r>
      <w:r>
        <w:rPr>
          <w:rFonts w:ascii="Times New Roman" w:hAnsi="Times New Roman"/>
          <w:sz w:val="20"/>
        </w:rPr>
        <w:t>. In the event that a Party seeks indemnification hereunder with respect to a Third Party Claim, the Party seeking indemnification (the “</w:t>
      </w:r>
      <w:r>
        <w:rPr>
          <w:rFonts w:ascii="Times New Roman" w:hAnsi="Times New Roman"/>
          <w:b/>
          <w:i/>
          <w:sz w:val="20"/>
        </w:rPr>
        <w:t>Indemnified Party</w:t>
      </w:r>
      <w:r>
        <w:rPr>
          <w:rFonts w:ascii="Times New Roman" w:hAnsi="Times New Roman"/>
          <w:sz w:val="20"/>
        </w:rPr>
        <w:t>”) shall [***] notify the other Party (the “</w:t>
      </w:r>
      <w:r>
        <w:rPr>
          <w:rFonts w:ascii="Times New Roman" w:hAnsi="Times New Roman"/>
          <w:b/>
          <w:i/>
          <w:sz w:val="20"/>
        </w:rPr>
        <w:t>Indemnifying Party</w:t>
      </w:r>
      <w:r>
        <w:rPr>
          <w:rFonts w:ascii="Times New Roman" w:hAnsi="Times New Roman"/>
          <w:sz w:val="20"/>
        </w:rPr>
        <w:t>”) [***] (an “</w:t>
      </w:r>
      <w:r>
        <w:rPr>
          <w:rFonts w:ascii="Times New Roman" w:hAnsi="Times New Roman"/>
          <w:b/>
          <w:i/>
          <w:sz w:val="20"/>
        </w:rPr>
        <w:t>Indemnification Claim Notice</w:t>
      </w:r>
      <w:r>
        <w:rPr>
          <w:rFonts w:ascii="Times New Roman" w:hAnsi="Times New Roman"/>
          <w:sz w:val="20"/>
        </w:rPr>
        <w:t xml:space="preserve">”) of any Third Party Claim in respect of which it intends to claim indemnification under this </w:t>
      </w:r>
      <w:r>
        <w:rPr>
          <w:rFonts w:ascii="Times New Roman" w:hAnsi="Times New Roman"/>
          <w:sz w:val="20"/>
          <w:u w:val="single"/>
        </w:rPr>
        <w:t>Article 10</w:t>
      </w:r>
      <w:r>
        <w:rPr>
          <w:rFonts w:ascii="Times New Roman" w:hAnsi="Times New Roman"/>
          <w:sz w:val="20"/>
        </w:rPr>
        <w:t xml:space="preserve"> upon [***] knowledge of any such claim or proceeding resulting in Losses, </w:t>
      </w:r>
      <w:r>
        <w:rPr>
          <w:rFonts w:ascii="Times New Roman" w:hAnsi="Times New Roman"/>
          <w:sz w:val="20"/>
          <w:u w:val="single"/>
        </w:rPr>
        <w:t>provided</w:t>
      </w:r>
      <w:r>
        <w:rPr>
          <w:rFonts w:ascii="Times New Roman" w:hAnsi="Times New Roman"/>
          <w:sz w:val="20"/>
        </w:rPr>
        <w:t xml:space="preserve"> that any delay of such notice shall not affect the Indemnified Party’s right to indemnification hereunder, except to the extent that the Indemnifying Party has been prejudiced by such delay. The Indemnification Claim Notice must contain a description of the claim and the nature and amount of such Losses (to the extent that the nature and amount of such Losses is known at such time). The Indemnifying Party may, [***], assume exclusive control of the defense and settlement of the Third Party Claim, subject to the limitations on settlement set forth below. If the Indemnifying Party assumes such defense, the Indemnifying Party may appoint as lead counsel in the defense of the Third Party Claim any legal counsel selected by the Indemnifying Party and [***] acceptable to the Indemnified Party and the Indemnifying Party will consult with the Indemnified Party with respect to a possible conflict of interest of such counsel retained by the Indemnifying Party. The Indemnified Party will have the right to participate in the defense thereof and to employ counsel, at [***] expense, separate from the counsel employed by the Indemnifying Party. If the Indemnifying Party does not commence actions to assume control of the defense of a Third Party Claim within [***] after the receipt by the Indemnifying Party of the Indemnification Claim Notice required pursuant to this </w:t>
      </w:r>
      <w:r>
        <w:rPr>
          <w:rFonts w:ascii="Times New Roman" w:hAnsi="Times New Roman"/>
          <w:sz w:val="20"/>
          <w:u w:val="single"/>
        </w:rPr>
        <w:t>Section 10.3</w:t>
      </w:r>
      <w:r>
        <w:rPr>
          <w:rFonts w:ascii="Times New Roman" w:hAnsi="Times New Roman"/>
          <w:sz w:val="20"/>
        </w:rPr>
        <w:t xml:space="preserve">, the Indemnified Party will have the right to defend such claim in such manner as it may deem appropriate at the [***] cost and expense of the Indemnifying Party. The Indemnified Party shall cooperate as may be [***] requested by the Indemnifying Party (and at [***] expense) in order to ensure the proper and adequate defense of any action, claim or liability covered by this indemnification. The Indemnifying Party may not settle or otherwise dispose of any Third Party Claim without the [***] consent of the Indemnified Party unless such settlement includes only the payment of monetary damages (which are fully paid by the Indemnifying Party), does not impose any injunctive or equitable relief upon the Indemnified Party, does not require any admission or acknowledgment of liability or fault of the Indemnified Party and contains an unconditional release of the Indemnified Party in respect of such Third Party Claim. For avoidance of doubt, matters related to the defense of any Third Party infringement claims governed by </w:t>
      </w:r>
      <w:r>
        <w:rPr>
          <w:rFonts w:ascii="Times New Roman" w:hAnsi="Times New Roman"/>
          <w:sz w:val="20"/>
          <w:u w:val="single"/>
        </w:rPr>
        <w:t>Section 11.4</w:t>
      </w:r>
      <w:r>
        <w:rPr>
          <w:rFonts w:ascii="Times New Roman" w:hAnsi="Times New Roman"/>
          <w:sz w:val="20"/>
        </w:rPr>
        <w:t xml:space="preserve"> shall remain subject to the control provisions set forth in </w:t>
      </w:r>
      <w:r>
        <w:rPr>
          <w:rFonts w:ascii="Times New Roman" w:hAnsi="Times New Roman"/>
          <w:sz w:val="20"/>
          <w:u w:val="single"/>
        </w:rPr>
        <w:t>Section 11.4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Mitigation of Loss</w:t>
      </w:r>
      <w:r>
        <w:rPr>
          <w:rFonts w:ascii="Times New Roman" w:hAnsi="Times New Roman"/>
          <w:sz w:val="20"/>
        </w:rPr>
        <w:t xml:space="preserve">. Each Indemnified Party shall take and shall procure that its Affiliates take all such [***] steps and actions as are [***] necessary or as the Indemnifying Party may [***] require in order to mitigate any claims (or potential losses or damages) under this </w:t>
      </w:r>
      <w:r>
        <w:rPr>
          <w:rFonts w:ascii="Times New Roman" w:hAnsi="Times New Roman"/>
          <w:sz w:val="20"/>
          <w:u w:val="single"/>
        </w:rPr>
        <w:t>Article 10</w:t>
      </w:r>
      <w:r>
        <w:rPr>
          <w:rFonts w:ascii="Times New Roman" w:hAnsi="Times New Roman"/>
          <w:sz w:val="20"/>
        </w:rPr>
        <w:t xml:space="preserve">. Nothing in this Agreement shall or shall be deemed to relieve any Party of any common law or other duty to mitigate any losses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Limitation of Liability</w:t>
      </w:r>
      <w:r>
        <w:rPr>
          <w:rFonts w:ascii="Times New Roman" w:hAnsi="Times New Roman"/>
          <w:sz w:val="20"/>
        </w:rPr>
        <w:t xml:space="preserve">. NEITHER PARTY SHALL BE LIABLE TO THE OTHER PARTY FOR ANY SPECIAL, CONSEQUENTIAL, INCIDENTAL, PUNITIVE, OR INDIRECT DAMAGES ARISING FROM OR RELATING TO ANY OF THE MATTERS CONTEMPLATED BY THIS AGREEMENT, REGARDLESS OF ANY NOTICE OF THE POSSIBILITY OF SUCH DAMAGES. NOTWITHSTANDING THE FOREGOING, NOTHING IN THIS </w:t>
      </w:r>
      <w:r>
        <w:rPr>
          <w:rFonts w:ascii="Times New Roman" w:hAnsi="Times New Roman"/>
          <w:sz w:val="20"/>
          <w:u w:val="single"/>
        </w:rPr>
        <w:t>SECTION 10.5</w:t>
      </w:r>
      <w:r>
        <w:rPr>
          <w:rFonts w:ascii="Times New Roman" w:hAnsi="Times New Roman"/>
          <w:sz w:val="20"/>
        </w:rPr>
        <w:t xml:space="preserve"> IS INTENDED TO OR SHALL LIMIT OR RESTRICT THE (A) INDEMNIFICATION RIGHTS OR OBLIGATIONS OF EITHER PARTY UNDER </w:t>
      </w:r>
      <w:r>
        <w:rPr>
          <w:rFonts w:ascii="Times New Roman" w:hAnsi="Times New Roman"/>
          <w:sz w:val="20"/>
          <w:u w:val="single"/>
        </w:rPr>
        <w:t>SECTION 10.1</w:t>
      </w:r>
      <w:r>
        <w:rPr>
          <w:rFonts w:ascii="Times New Roman" w:hAnsi="Times New Roman"/>
          <w:sz w:val="20"/>
        </w:rPr>
        <w:t xml:space="preserve"> OR </w:t>
      </w:r>
      <w:r>
        <w:rPr>
          <w:rFonts w:ascii="Times New Roman" w:hAnsi="Times New Roman"/>
          <w:sz w:val="20"/>
          <w:u w:val="single"/>
        </w:rPr>
        <w:t>SECTION 10.2</w:t>
      </w:r>
      <w:r>
        <w:rPr>
          <w:rFonts w:ascii="Times New Roman" w:hAnsi="Times New Roman"/>
          <w:sz w:val="20"/>
        </w:rPr>
        <w:t xml:space="preserve">, (B) DAMAGES AVAILABLE FOR A PARTY’S BREACH OF ITS OBLIGATIONS UNDER </w:t>
      </w:r>
      <w:r>
        <w:rPr>
          <w:rFonts w:ascii="Times New Roman" w:hAnsi="Times New Roman"/>
          <w:sz w:val="20"/>
          <w:u w:val="single"/>
        </w:rPr>
        <w:t>ARTICLE 8</w:t>
      </w:r>
      <w:r>
        <w:rPr>
          <w:rFonts w:ascii="Times New Roman" w:hAnsi="Times New Roman"/>
          <w:sz w:val="20"/>
        </w:rPr>
        <w:t xml:space="preserve"> OR </w:t>
      </w:r>
      <w:r>
        <w:rPr>
          <w:rFonts w:ascii="Times New Roman" w:hAnsi="Times New Roman"/>
          <w:sz w:val="20"/>
          <w:u w:val="single"/>
        </w:rPr>
        <w:t>SECTION 2.7</w:t>
      </w:r>
      <w:r>
        <w:rPr>
          <w:rFonts w:ascii="Times New Roman" w:hAnsi="Times New Roman"/>
          <w:sz w:val="20"/>
        </w:rPr>
        <w:t xml:space="preserve">, (C) DAMAGES AVAILABLE IN THE CASE OF A PARTY’S FRAUD, GROSS NEGLIGENCE OR INTENTIONAL MISCONDUCT, OR (D) DAMAGES TO THE EXTENT THAT SUCH LIMITATION OR RESTRICTION WOULD BE INVALID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rPr>
        <w:t>Insurance</w:t>
      </w:r>
      <w:r>
        <w:rPr>
          <w:rFonts w:ascii="Times New Roman" w:hAnsi="Times New Roman"/>
          <w:sz w:val="20"/>
        </w:rPr>
        <w:t xml:space="preserve">. Each Party shall procure and maintain insurance, including product liability insurance, with respect to its activities hereunder that is consistent with normal business practices of prudent companies similarly situated at all times during which any Licensed Product is being clinically tested in human subjects or commercially distributed or sold. Each Party shall provide the other Party with evidence of such insurance upon request and shall provide the other Party with [***] notice at least [***] prior to the cancellation, non-renewal or material changes in such insurance. Such insurance shall not be construed to create a limit of each Party’s liability with respect to its indemnification obligations under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Ownership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between the Parties, each Party shall own and retain ownership of (i) all Know-How and Patent Rights owned by such Party as of the Effective Date or that come into the Control of such Party during the Term outside the scope of this Agreement, and (ii) all Foreground Know-How and Foreground Patent Rights solely generated, created, developed, conceived or otherwise made by or on behalf of such Party, </w:t>
      </w:r>
      <w:r>
        <w:rPr>
          <w:rFonts w:ascii="Times New Roman" w:hAnsi="Times New Roman"/>
          <w:sz w:val="20"/>
          <w:u w:val="single"/>
        </w:rPr>
        <w:t>provided</w:t>
      </w:r>
      <w:r>
        <w:rPr>
          <w:rFonts w:ascii="Times New Roman" w:hAnsi="Times New Roman"/>
          <w:sz w:val="20"/>
        </w:rPr>
        <w:t xml:space="preserve"> that, Licensor shall solely own all right, title and interest in and to any Foreground Know-How and Foreground Patent Rights that constitute a modification, improvement, alteration or enhancement to any Licensor Platform, and such Foreground Know-How and Foreground Patent Rights shall be included within the Licensed Technology. Subject to the rest of this </w:t>
      </w:r>
      <w:r>
        <w:rPr>
          <w:rFonts w:ascii="Times New Roman" w:hAnsi="Times New Roman"/>
          <w:sz w:val="20"/>
          <w:u w:val="single"/>
        </w:rPr>
        <w:t>Section 11.1</w:t>
      </w:r>
      <w:r>
        <w:rPr>
          <w:rFonts w:ascii="Times New Roman" w:hAnsi="Times New Roman"/>
          <w:sz w:val="20"/>
        </w:rPr>
        <w:t xml:space="preserve">, the Parties will each own an equal, undivided interest in any and all Joint Foreground Know-How and Joint Foreground Patents. Subject to terms and conditions of this Agreement, including the licenses granted in </w:t>
      </w:r>
      <w:r>
        <w:rPr>
          <w:rFonts w:ascii="Times New Roman" w:hAnsi="Times New Roman"/>
          <w:sz w:val="20"/>
          <w:u w:val="single"/>
        </w:rPr>
        <w:t>Section 2.1</w:t>
      </w:r>
      <w:r>
        <w:rPr>
          <w:rFonts w:ascii="Times New Roman" w:hAnsi="Times New Roman"/>
          <w:sz w:val="20"/>
        </w:rPr>
        <w:t xml:space="preserve"> or </w:t>
      </w:r>
      <w:r>
        <w:rPr>
          <w:rFonts w:ascii="Times New Roman" w:hAnsi="Times New Roman"/>
          <w:sz w:val="20"/>
          <w:u w:val="single"/>
        </w:rPr>
        <w:t>Section 2.5</w:t>
      </w:r>
      <w:r>
        <w:rPr>
          <w:rFonts w:ascii="Times New Roman" w:hAnsi="Times New Roman"/>
          <w:sz w:val="20"/>
        </w:rPr>
        <w:t xml:space="preserve">, each Party shall have the right to use and exercise its ownership rights in and to any and all Joint Foreground Know-How and Joint Foreground Patents without an accounting or obligation to, or consent required from, the other Party. Inventorship of any inventions conceived or reduced to practice in the course of performance of activities pursuant to this Agreement shall be determined in accordance with U.S. patent laws.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 disclose to the other [***] any Foreground Know-How that is generated, created, developed, conceived or otherwise made during the Term by such Party or its Affiliates, including all invention disclosures or similar documents submitted by the directors, officers, employees, contractors or agents of such Party or its Affiliates, (sub)licensees or subcontractors relating to or comprising Foreground Know-How, in any event prior to the filing of any patent application with respect thereto. Each Party shall and hereby does assign, on behalf of itself and its Affiliates, to the other Party its rights and interests in and to any Foreground Know-How and Foreground Patent Rights that are owned by the other Party pursuant to </w:t>
      </w:r>
      <w:r>
        <w:rPr>
          <w:rFonts w:ascii="Times New Roman" w:hAnsi="Times New Roman"/>
          <w:sz w:val="20"/>
          <w:u w:val="single"/>
        </w:rPr>
        <w:t>Section 11.1(a)</w:t>
      </w:r>
      <w:r>
        <w:rPr>
          <w:rFonts w:ascii="Times New Roman" w:hAnsi="Times New Roman"/>
          <w:sz w:val="20"/>
        </w:rPr>
        <w:t xml:space="preserve">. Each Party shall cause all of its Affiliates directors, officers, employees, contractors, agents and any others who perform activities for it (or its Affiliates) under this Agreement to assign to such Party (or its Affiliate) their rights in and to any Foreground Know-How and all intellectual property rights therein, except as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Patent Prosecution.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Licensed Patents and Joint Foreground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between the Parties, Company shall have the first right to conduct Patent Prosecution of any Licensed Patents that are solely related to the Licensed Products (“</w:t>
      </w:r>
      <w:r>
        <w:rPr>
          <w:rFonts w:ascii="Times New Roman" w:hAnsi="Times New Roman"/>
          <w:b/>
          <w:i/>
          <w:sz w:val="20"/>
        </w:rPr>
        <w:t>Product-Specific Licensed Patents</w:t>
      </w:r>
      <w:r>
        <w:rPr>
          <w:rFonts w:ascii="Times New Roman" w:hAnsi="Times New Roman"/>
          <w:sz w:val="20"/>
        </w:rPr>
        <w:t xml:space="preserve">”) in the Licensed Territory and any Joint Foreground Patents, at [***] cost and expense. Company will keep Licensor [***] informed of the status of the Patent Prosecution of such Patent Rights, and will provide Licensor with copies of material correspondence received from any patent authority in connection with the Patent Prosecution of such Patent Rights, and consider Licensor’s comments [***]. Licensor shall [***] cooperate with and assist Company in connection with its activities under this </w:t>
      </w:r>
      <w:r>
        <w:rPr>
          <w:rFonts w:ascii="Times New Roman" w:hAnsi="Times New Roman"/>
          <w:sz w:val="20"/>
          <w:u w:val="single"/>
        </w:rPr>
        <w:t>Section 11.2(a)(i)</w:t>
      </w:r>
      <w:r>
        <w:rPr>
          <w:rFonts w:ascii="Times New Roman" w:hAnsi="Times New Roman"/>
          <w:sz w:val="20"/>
        </w:rPr>
        <w:t xml:space="preserve">, upon Company’s [***] request, including by making scientists and scientific records reasonably available and the execution of all such documents and instruments and the performance of such acts as may be [***] necessary in order to permit Company to conduct the Patent Prosecution of such Patent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If Company determines to abandon or otherwise not conduct Patent Prosecution of any pending or issued Product-Specific Licensed Patent in the Licensed Territory or any Joint Foreground Patent, then Company shall inform Licensor of such decision [***] allowing the applicable subject matter or such Patent Right to lapse or otherwise become unpatentable, abandoned, unenforceable or dedicated to the public, and Licensor shall thereafter have the right, but not the obligation, to continue the Patent Prosecution of such Patent Rights, at [***] cost and expense and subject to the foregoing information sharing obligation and review and comment rights in </w:t>
      </w:r>
      <w:r>
        <w:rPr>
          <w:rFonts w:ascii="Times New Roman" w:hAnsi="Times New Roman"/>
          <w:sz w:val="20"/>
          <w:u w:val="single"/>
        </w:rPr>
        <w:t>Section 11.2(a)(i)</w:t>
      </w:r>
      <w:r>
        <w:rPr>
          <w:rFonts w:ascii="Times New Roman" w:hAnsi="Times New Roman"/>
          <w:sz w:val="20"/>
        </w:rPr>
        <w:t xml:space="preserve">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As between the Parties, Licensor shall have the sole right to control the Patent Prosecution of all Licensed Patents in the Retained Territory and all Licensed Patents that are not Product-Specific Licensed Patents anywhere in the world, at [***] sole cost and expense, </w:t>
      </w:r>
      <w:r>
        <w:rPr>
          <w:rFonts w:ascii="Times New Roman" w:hAnsi="Times New Roman"/>
          <w:sz w:val="20"/>
          <w:u w:val="single"/>
        </w:rPr>
        <w:t>provided</w:t>
      </w:r>
      <w:r>
        <w:rPr>
          <w:rFonts w:ascii="Times New Roman" w:hAnsi="Times New Roman"/>
          <w:sz w:val="20"/>
        </w:rPr>
        <w:t xml:space="preserve"> that Licensor will consult with Company and consider Company’s comments [***] and will not take actions that would [***] have a material adverse effect on the Patent Prosecution of any Licensed Patents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Other Patents</w:t>
      </w:r>
      <w:r>
        <w:rPr>
          <w:rFonts w:ascii="Times New Roman" w:hAnsi="Times New Roman"/>
          <w:sz w:val="20"/>
        </w:rPr>
        <w:t xml:space="preserve">. Except as expressly set forth in this </w:t>
      </w:r>
      <w:r>
        <w:rPr>
          <w:rFonts w:ascii="Times New Roman" w:hAnsi="Times New Roman"/>
          <w:sz w:val="20"/>
          <w:u w:val="single"/>
        </w:rPr>
        <w:t>Section 11.2</w:t>
      </w:r>
      <w:r>
        <w:rPr>
          <w:rFonts w:ascii="Times New Roman" w:hAnsi="Times New Roman"/>
          <w:sz w:val="20"/>
        </w:rPr>
        <w:t xml:space="preserve">, each Party shall have the sole right, [***], to conduct Patent Prosecution with respect to any and all Patent Rights owned or Controlled by such Party, at [***] sole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Cooperation</w:t>
      </w:r>
      <w:r>
        <w:rPr>
          <w:rFonts w:ascii="Times New Roman" w:hAnsi="Times New Roman"/>
          <w:sz w:val="20"/>
        </w:rPr>
        <w:t xml:space="preserve">. Each Party shall provide the other Party all [***] assistance and cooperation in the Patent Prosecution efforts under this </w:t>
      </w:r>
      <w:r>
        <w:rPr>
          <w:rFonts w:ascii="Times New Roman" w:hAnsi="Times New Roman"/>
          <w:sz w:val="20"/>
          <w:u w:val="single"/>
        </w:rPr>
        <w:t>Section 11.2</w:t>
      </w:r>
      <w:r>
        <w:rPr>
          <w:rFonts w:ascii="Times New Roman" w:hAnsi="Times New Roman"/>
          <w:sz w:val="20"/>
        </w:rPr>
        <w:t xml:space="preserve">, including providing any necessary powers of attorney and executing any other required documents or instruments for such prosecution.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Certain Licensed Patents</w:t>
      </w:r>
      <w:r>
        <w:rPr>
          <w:rFonts w:ascii="Times New Roman" w:hAnsi="Times New Roman"/>
          <w:sz w:val="20"/>
        </w:rPr>
        <w:t xml:space="preserve">. In the event that any subject matter of a Licensed Patent could be claimed under a Product-Specific Licensed Patent, then at the [***] request of the Company and [***], Licensor shall cause such subject matter to be divided from such Licensed Patent into separate Patent Rights (e.g., through the filing of one or more divisional, continuation, continuation-in-part or equivalent applications), which shall be deemed Product-Specific Licensed Patent(s).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Patent 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w:t>
      </w:r>
      <w:r>
        <w:rPr>
          <w:rFonts w:ascii="Times New Roman" w:hAnsi="Times New Roman"/>
          <w:sz w:val="20"/>
        </w:rPr>
        <w:t>. Each Party shall notify the other within [***] of becoming aware of any alleged or threatened infringement by a Third Party of any of the Licensed Patents or Joint Foreground Patents or any related declaratory judgment or equivalent action alleging the invalidity, unenforceability or non-infringement of any Licensed Patents or Joint Foreground Patents anywhere in the world (“</w:t>
      </w:r>
      <w:r>
        <w:rPr>
          <w:rFonts w:ascii="Times New Roman" w:hAnsi="Times New Roman"/>
          <w:b/>
          <w:i/>
          <w:sz w:val="20"/>
        </w:rPr>
        <w:t>Product Infringement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Enforcement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Company shall have the first right, but not the obligation, [***], to bring and control any legal action to enforce the Product-Specific Licensed Patents and Joint Foreground Patents against any Product Infringement in the Licensed Territory, including response to and defense of challenges to such Patent Rights as a declaratory judgment action or as a counterclaim in an infringement proceeding and any negotiation or settlement in connection with the foregoing, in each case, at [***] sole cost and expense. Company will keep Licensor [***] informed of the status and progress of such action or proceeding, and shall provide Licensor with drafts of all material papers to be filed with the court or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office, as applicable, in connection with such action or proceeding to the extent permitted by Applicable Law or any protective or confidentiality order entered by such court or patent office (excluding any information that is confidential to a Third Party), and shall consider [***] all [***] comments thereto by Licensor before filing such papers. Licensor shall be entitled to separate representation in such matter by counsel of its own choice and at [***] expense. In the event Company does not bring any such legal action (or such Product Infringement is not abated, including though license or settlement) within [***] after the date of notice of such infringement, Licensor may bring and control any legal action to enforce the Product-Specific Licensed Patents and Joint Foreground Patents against such Product Infringement in the Licensed Territory, at [***] sole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(ii) Licensor shall have the sole right, but not the obligation, in its sole discretion, to bring and control any legal action to enforce the Licensed Patents and Joint Foreground Patents in the Retained Territory, and the Licensed Patents that are not Product-Specific Licensed Patents anywhere in the world, in each case, against any Product Infringement including response to and defense of challenges to such Patent Rights as a declaratory judgment action or as a counterclaim in an infringement proceeding and any negotiation or settlement in connection with the foregoing, in each case, at [***] cost and expense, </w:t>
      </w:r>
      <w:r>
        <w:rPr>
          <w:rFonts w:ascii="Times New Roman" w:hAnsi="Times New Roman"/>
          <w:sz w:val="20"/>
          <w:u w:val="single"/>
        </w:rPr>
        <w:t>provided</w:t>
      </w:r>
      <w:r>
        <w:rPr>
          <w:rFonts w:ascii="Times New Roman" w:hAnsi="Times New Roman"/>
          <w:sz w:val="20"/>
        </w:rPr>
        <w:t xml:space="preserve"> that Licensor notifies Company of any such legal action [***] in advance, considers [***] Company’s comments with respect thereto, and that Licensor will not initiate or conduct any such legal actions without Company’s [***] consent (not to be unreasonably withheld, delayed or conditioned) if such actions would be [***] likely to result in any material adverse effect on the Exploitation of the Licensed Therapeutic or Licensed Product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Biosimilar Applications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(i) If either Party receives a copy of an application submitted to the FDA under subsection (k) of Section 351 of the PHSA (a “</w:t>
      </w:r>
      <w:r>
        <w:rPr>
          <w:rFonts w:ascii="Times New Roman" w:hAnsi="Times New Roman"/>
          <w:b/>
          <w:i/>
          <w:sz w:val="20"/>
        </w:rPr>
        <w:t>Biosimilar Application</w:t>
      </w:r>
      <w:r>
        <w:rPr>
          <w:rFonts w:ascii="Times New Roman" w:hAnsi="Times New Roman"/>
          <w:sz w:val="20"/>
        </w:rPr>
        <w:t>”) naming a Licensed Product as a reference product or otherwise becomes aware that such a Biosimilar Application has been filed (including by the receipt of information disclosed pursuant to Section 351(l)(2) of the PHSA, or in an instance described in Section 351(l)(9)(C) of the PHSA), either Party will, within [***], notify the other Party so that the other Party may seek permission to view the application and related confidential information from the filer of the Biosimilar Application under Section 351(l)(1)(B)(iii) of the PHSA. If either Party receives any equivalent or similar certification, information or notice in any other jurisdiction in the Licensed Territory naming a Licensed Product, either Party will, within [***], notify and provide the other Party with copies of such communication.</w:t>
      </w:r>
    </w:p>
    <w:p>
      <w:pPr>
        <w:pStyle w:val="TextBody"/>
        <w:bidi w:val="0"/>
        <w:spacing w:before="240" w:after="0"/>
        <w:jc w:val="left"/>
        <w:rPr>
          <w:rFonts w:ascii="Times New Roman" w:hAnsi="Times New Roman"/>
          <w:sz w:val="20"/>
        </w:rPr>
      </w:pPr>
      <w:r>
        <w:rPr>
          <w:rFonts w:ascii="Times New Roman" w:hAnsi="Times New Roman"/>
          <w:sz w:val="20"/>
        </w:rPr>
        <w:t>(ii) With respect to a Biosimilar Application referring to a Licensed Product in the Field, regardless of the Party that is the “reference product sponsor” for purposes of such Biosimilar Application, (A) Company will have the first right, to designate pursuant to Section 351(l)(1)(B)(ii) of the PHSA the outside counsel and in-house counsel who will receive confidential access to the Biosimilar Application, (B) Company will have the first right, to (1) list any Licensed Patents and any other Patent rights, as required pursuant to Section 351(l)(3)(A), Section 351(l)(5)(b)(i)(II), or Section 351(l)(7) of the PHSA, (2) respond to any communications with respect to such lists from the filer of the Biosimilar Application, and (3) negotiate with the filer of the Biosimilar Application as to whether to utilize a different mechanism for information exchange than that specified in Section 351(l) of the PHSA; and (C) Company will have the first right, to identify Licensed Patents and any other Patent Right, and to respond to communications under any equivalent or similar listing in any other jurisdiction in the Licensed Territory. If Company does not defend a given Patent Right within the Licensed Patents under this Section</w:t>
      </w:r>
      <w:r>
        <w:rPr>
          <w:rFonts w:ascii="Times New Roman" w:hAnsi="Times New Roman"/>
          <w:sz w:val="20"/>
          <w:u w:val="single"/>
        </w:rPr>
        <w:t xml:space="preserve"> </w:t>
      </w:r>
      <w:r>
        <w:rPr>
          <w:rFonts w:ascii="Times New Roman" w:hAnsi="Times New Roman"/>
          <w:sz w:val="20"/>
        </w:rPr>
        <w:t xml:space="preserve">within [***] (or such shorter period of time before the time limit, if any, set forth in the appropriate Laws in the United States or any other country in the Licensed Territory to not waive any statutory rights), or elects not to continue any such defense (in which case it will [***] provide notice thereof to Licensor), then Licensor will have the right (but not the obligation), at [***] expense, to defend any such Licensed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Other Patents</w:t>
      </w:r>
      <w:r>
        <w:rPr>
          <w:rFonts w:ascii="Times New Roman" w:hAnsi="Times New Roman"/>
          <w:sz w:val="20"/>
        </w:rPr>
        <w:t xml:space="preserve">. Except as expressly set forth in this </w:t>
      </w:r>
      <w:r>
        <w:rPr>
          <w:rFonts w:ascii="Times New Roman" w:hAnsi="Times New Roman"/>
          <w:sz w:val="20"/>
          <w:u w:val="single"/>
        </w:rPr>
        <w:t>Section 11.3</w:t>
      </w:r>
      <w:r>
        <w:rPr>
          <w:rFonts w:ascii="Times New Roman" w:hAnsi="Times New Roman"/>
          <w:sz w:val="20"/>
        </w:rPr>
        <w:t xml:space="preserve">, each Party shall have the sole right, [***], to enforce against any infringement any and all Patent Rights owned or Controlled by such Party, at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Cooperation</w:t>
      </w:r>
      <w:r>
        <w:rPr>
          <w:rFonts w:ascii="Times New Roman" w:hAnsi="Times New Roman"/>
          <w:sz w:val="20"/>
        </w:rPr>
        <w:t xml:space="preserve">. At the request of the Party bringing an action under </w:t>
      </w:r>
      <w:r>
        <w:rPr>
          <w:rFonts w:ascii="Times New Roman" w:hAnsi="Times New Roman"/>
          <w:sz w:val="20"/>
          <w:u w:val="single"/>
        </w:rPr>
        <w:t>Section 11.3(b)</w:t>
      </w:r>
      <w:r>
        <w:rPr>
          <w:rFonts w:ascii="Times New Roman" w:hAnsi="Times New Roman"/>
          <w:sz w:val="20"/>
        </w:rPr>
        <w:t xml:space="preserve">, the other Party shall provide [***] assistance in connection therewith, including by executing [***] documents, cooperating in discovery and joining as a party to the action if required by Applicable Law to pursue such action, at each [***]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Recoveries</w:t>
      </w:r>
      <w:r>
        <w:rPr>
          <w:rFonts w:ascii="Times New Roman" w:hAnsi="Times New Roman"/>
          <w:sz w:val="20"/>
        </w:rPr>
        <w:t xml:space="preserve">. Any recoveries resulting from any action under </w:t>
      </w:r>
      <w:r>
        <w:rPr>
          <w:rFonts w:ascii="Times New Roman" w:hAnsi="Times New Roman"/>
          <w:sz w:val="20"/>
          <w:u w:val="single"/>
        </w:rPr>
        <w:t>Section 11.3(b)(i)</w:t>
      </w:r>
      <w:r>
        <w:rPr>
          <w:rFonts w:ascii="Times New Roman" w:hAnsi="Times New Roman"/>
          <w:sz w:val="20"/>
        </w:rPr>
        <w:t xml:space="preserve"> in the Licensed Territory shall be first applied against payment of each Party’s costs and expenses in connection therewith. Any remaining recoveries shall (i) if Company is the Party controlling such action, (a) [***], and (b) [***], and (ii) if Licensor is the Party controlling such action, [***].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Infringement of Third Party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w:t>
      </w:r>
      <w:r>
        <w:rPr>
          <w:rFonts w:ascii="Times New Roman" w:hAnsi="Times New Roman"/>
          <w:sz w:val="20"/>
        </w:rPr>
        <w:t xml:space="preserve">. If (i) any Licensed Therapeutic or Licensed Product used or sold by Company, its Affiliates or Sublicensees in the Licensed Territory becomes the subject of a Third Party’s claim or assertion of infringement of a Patent Right or other rights in the Licensed Territory that are owned or controlled by such Third Party or (ii) any Licensed Therapeutic or Licensed Product used or sold by Licensor, its Affiliates or Third Party Licensees in the Retained Territory becomes the subject of a Third Party’s claim or assertion of infringement of a Patent Right or other rights in the Retained Territory, then the Party becoming aware of such claim or assertion shall [***] notify the other Party within [***] after receipt of such claim or assertion and such notice shall include a copy of any summons or complaint (or the equivalent thereof) received regarding the foregoing. Thereafter, the Parties shall [***] meet to consider the claim or assertion and the appropriate course of action and may, if appropriate, agree on and enter into a “common interest agreement” wherein the Parties agree to their shared, mutual interest in the outcome of such potential dispute. The Parties shall assert and not waive the joint defense privilege with respect to any communications between the Parties in connection with the defense of such claim or assertion.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Defense by Company</w:t>
      </w:r>
      <w:r>
        <w:rPr>
          <w:rFonts w:ascii="Times New Roman" w:hAnsi="Times New Roman"/>
          <w:sz w:val="20"/>
        </w:rPr>
        <w:t xml:space="preserve">. As between the Parties, Company shall have the sole right (but not the obligation) and shall be solely responsible for the defense of any such infringement claims (or taking actions to challenge any Third Party Patent Right or negotiating a license or settlement to avoid such infringement claim) in the Licensed Territory, at [***] cost and expense, and Licensor shall provide [***] assistance to Company; </w:t>
      </w:r>
      <w:r>
        <w:rPr>
          <w:rFonts w:ascii="Times New Roman" w:hAnsi="Times New Roman"/>
          <w:sz w:val="20"/>
          <w:u w:val="single"/>
        </w:rPr>
        <w:t>provided</w:t>
      </w:r>
      <w:r>
        <w:rPr>
          <w:rFonts w:ascii="Times New Roman" w:hAnsi="Times New Roman"/>
          <w:sz w:val="20"/>
        </w:rPr>
        <w:t xml:space="preserve"> that Company shall not agree to any settlement, consent to judgment or other voluntary final disposition in connection with such defense action without Licensor’s consent (such consent not to be unreasonably withheld, conditioned or delayed) if such settlement, consent to judgment or other voluntary final disposition would (i) result in the admission of any liability or fault on behalf of Licensor, or (ii) subject Licensor to an injunction or otherwise limit Licensor’s ability to take any actions or refrain from taking any actions under this Agreement or with respect to any Licensed Therapeutic or Licensed Product. Company shall keep Licensor informed on the status of such defense action, and Licensor shall, (x) provide [***] support to Company upon Company’s [***] request and [***]; and (y) have the right, but not the obligation, to participate or be separately represented</w:t>
      </w:r>
      <w:r>
        <w:rPr>
          <w:rFonts w:ascii="Times New Roman" w:hAnsi="Times New Roman"/>
          <w:sz w:val="20"/>
          <w:u w:val="single"/>
        </w:rPr>
        <w:t xml:space="preserve"> </w:t>
      </w:r>
      <w:r>
        <w:rPr>
          <w:rFonts w:ascii="Times New Roman" w:hAnsi="Times New Roman"/>
          <w:sz w:val="20"/>
        </w:rPr>
        <w:t xml:space="preserve">in such defense action at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Defense by Licensor</w:t>
      </w:r>
      <w:r>
        <w:rPr>
          <w:rFonts w:ascii="Times New Roman" w:hAnsi="Times New Roman"/>
          <w:sz w:val="20"/>
        </w:rPr>
        <w:t xml:space="preserve">. As between the Parties, Licensor shall have the sole right (but not the obligation) and shall be solely responsible for the defense of any such infringement claims (or taking actions to challenge any Third Party Patent Right or negotiating a license or settlement to avoid such infringement claim) in the Retained Territory, at [***] cost and expense, and Company shall provide reasonable assistance to Licensor; </w:t>
      </w:r>
      <w:r>
        <w:rPr>
          <w:rFonts w:ascii="Times New Roman" w:hAnsi="Times New Roman"/>
          <w:sz w:val="20"/>
          <w:u w:val="single"/>
        </w:rPr>
        <w:t>provided</w:t>
      </w:r>
      <w:r>
        <w:rPr>
          <w:rFonts w:ascii="Times New Roman" w:hAnsi="Times New Roman"/>
          <w:sz w:val="20"/>
        </w:rPr>
        <w:t xml:space="preserve"> that Licensor shall not agree to any settlement, consent to judgment or other voluntary final disposition in connection with such defense action without Company’s consent (such consent not to be unreasonably withheld, conditioned or delayed) if such settlement, consent to judgment or other voluntary final disposition would (i) result in the admission of any liability or fault on behalf of Company, or (ii) subject Company to an injunction or otherwise limit Company’s ability to take any actions or refrain from taking any actions under this Agreement or with respect to any Licensed Therapeutic or Licensed Product. Licensor shall keep Company informed on the status of such defense action, and Company shall, (x) provide [***] support to Licensor upon Licensor’s [***] request and [***]; and (y) have the right, but not the obligation, to participate or be separately represented</w:t>
      </w:r>
      <w:r>
        <w:rPr>
          <w:rFonts w:ascii="Times New Roman" w:hAnsi="Times New Roman"/>
          <w:sz w:val="20"/>
          <w:u w:val="single"/>
        </w:rPr>
        <w:t xml:space="preserve"> </w:t>
      </w:r>
      <w:r>
        <w:rPr>
          <w:rFonts w:ascii="Times New Roman" w:hAnsi="Times New Roman"/>
          <w:sz w:val="20"/>
        </w:rPr>
        <w:t xml:space="preserve">in such defense action at [***]. Notwithstanding the foregoing, Licensor will not initiate or conduct any such actions without first consulting with Company [***], if such actions would be [***] likely to result in any material adverse effect on the Exploitation of the Licensed Therapeutic or Licensed Product in the Licensed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TERMS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Term</w:t>
      </w:r>
      <w:r>
        <w:rPr>
          <w:rFonts w:ascii="Times New Roman" w:hAnsi="Times New Roman"/>
          <w:sz w:val="20"/>
        </w:rPr>
        <w:t xml:space="preserve">. This Agreement shall be effective as of the Effective Date, and shall continue, unless terminated earlier in accordance with this </w:t>
      </w:r>
      <w:r>
        <w:rPr>
          <w:rFonts w:ascii="Times New Roman" w:hAnsi="Times New Roman"/>
          <w:sz w:val="20"/>
          <w:u w:val="single"/>
        </w:rPr>
        <w:t>Article 12</w:t>
      </w:r>
      <w:r>
        <w:rPr>
          <w:rFonts w:ascii="Times New Roman" w:hAnsi="Times New Roman"/>
          <w:sz w:val="20"/>
        </w:rPr>
        <w:t>, until expiration of the last Royalty Term for the last Licensed Product in the Licensed Territory (the “</w:t>
      </w:r>
      <w:r>
        <w:rPr>
          <w:rFonts w:ascii="Times New Roman" w:hAnsi="Times New Roman"/>
          <w:b/>
          <w:i/>
          <w:sz w:val="20"/>
        </w:rPr>
        <w:t>Term</w:t>
      </w:r>
      <w:r>
        <w:rPr>
          <w:rFonts w:ascii="Times New Roman" w:hAnsi="Times New Roman"/>
          <w:sz w:val="20"/>
        </w:rPr>
        <w:t xml:space="preserve">”). Upon expiration of this Agreement pursuant to this </w:t>
      </w:r>
      <w:r>
        <w:rPr>
          <w:rFonts w:ascii="Times New Roman" w:hAnsi="Times New Roman"/>
          <w:sz w:val="20"/>
          <w:u w:val="single"/>
        </w:rPr>
        <w:t>Section 12.1</w:t>
      </w:r>
      <w:r>
        <w:rPr>
          <w:rFonts w:ascii="Times New Roman" w:hAnsi="Times New Roman"/>
          <w:sz w:val="20"/>
        </w:rPr>
        <w:t xml:space="preserve">, the licenses granted to Company under </w:t>
      </w:r>
      <w:r>
        <w:rPr>
          <w:rFonts w:ascii="Times New Roman" w:hAnsi="Times New Roman"/>
          <w:sz w:val="20"/>
          <w:u w:val="single"/>
        </w:rPr>
        <w:t>Section 2.1</w:t>
      </w:r>
      <w:r>
        <w:rPr>
          <w:rFonts w:ascii="Times New Roman" w:hAnsi="Times New Roman"/>
          <w:sz w:val="20"/>
        </w:rPr>
        <w:t xml:space="preserve"> shall become fully paid-up, irrevocable, perpetual and royalty-free.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Termination by Company for Convenience</w:t>
      </w:r>
      <w:r>
        <w:rPr>
          <w:rFonts w:ascii="Times New Roman" w:hAnsi="Times New Roman"/>
          <w:sz w:val="20"/>
        </w:rPr>
        <w:t xml:space="preserve">. At [***], Company may terminate this Agreement for convenience, [***] by providing written notice of termination to Licensor, which notice includes an effective date of termination at least (i) [***], or (ii) [***].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Termination for Material Breach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either Party believes [***] that the other is in material breach of this Agreement, then the non-breaching Party may deliver written notice of such breach to the other Party. For any such alleged material breach, the allegedly breaching Party shall have [***] (or within [***] from the date of such notice in the event such material breach is solely based upon a failure to pay any amounts due hereunder) from the receipt of the initial notice to cure such breach. If the Party receiving notice of material breach fails to cure the breach within such [***] (or [***] for non-payment), then the non-breaching Party may terminate this Agreement [***] effective on written notice of termination to the other Party. Notwithstanding the foregoing, (a) if such material breach, by its nature, is curable, but is not reasonably curable within the [***], then such period shall be extended for an additional [***] if the breaching Party provides a written plan for curing such breach to the non-breaching Party and uses Commercially Reasonable Efforts to cure such breach in accordance with such written plan. </w:t>
      </w:r>
    </w:p>
    <w:p>
      <w:pPr>
        <w:pStyle w:val="TextBody"/>
        <w:bidi w:val="0"/>
        <w:spacing w:before="240" w:after="0"/>
        <w:jc w:val="left"/>
        <w:rPr>
          <w:rFonts w:ascii="Times New Roman" w:hAnsi="Times New Roman"/>
          <w:sz w:val="20"/>
        </w:rPr>
      </w:pPr>
      <w:r>
        <w:rPr>
          <w:rFonts w:ascii="Times New Roman" w:hAnsi="Times New Roman"/>
          <w:sz w:val="20"/>
        </w:rPr>
        <w:t xml:space="preserve">(ii) In case the Party alleged under </w:t>
      </w:r>
      <w:r>
        <w:rPr>
          <w:rFonts w:ascii="Times New Roman" w:hAnsi="Times New Roman"/>
          <w:sz w:val="20"/>
          <w:u w:val="single"/>
        </w:rPr>
        <w:t>Section 12.2(b)(i)</w:t>
      </w:r>
      <w:r>
        <w:rPr>
          <w:rFonts w:ascii="Times New Roman" w:hAnsi="Times New Roman"/>
          <w:sz w:val="20"/>
        </w:rPr>
        <w:t xml:space="preserve"> to have committed a material breach of this Agreement (the “</w:t>
      </w:r>
      <w:r>
        <w:rPr>
          <w:rFonts w:ascii="Times New Roman" w:hAnsi="Times New Roman"/>
          <w:b/>
          <w:i/>
          <w:sz w:val="20"/>
        </w:rPr>
        <w:t>Defaulting Party</w:t>
      </w:r>
      <w:r>
        <w:rPr>
          <w:rFonts w:ascii="Times New Roman" w:hAnsi="Times New Roman"/>
          <w:sz w:val="20"/>
        </w:rPr>
        <w:t>”) by the other Party (the “</w:t>
      </w:r>
      <w:r>
        <w:rPr>
          <w:rFonts w:ascii="Times New Roman" w:hAnsi="Times New Roman"/>
          <w:b/>
          <w:i/>
          <w:sz w:val="20"/>
        </w:rPr>
        <w:t>Non-Defaulting Party</w:t>
      </w:r>
      <w:r>
        <w:rPr>
          <w:rFonts w:ascii="Times New Roman" w:hAnsi="Times New Roman"/>
          <w:sz w:val="20"/>
        </w:rPr>
        <w:t xml:space="preserve">”) disputes the existence or materiality of such material breach, then the issue of whether the Non-Defaulting Party may properly terminate this Agreement on expiration of the applicable cure period shall be resolved in accordance with </w:t>
      </w:r>
      <w:r>
        <w:rPr>
          <w:rFonts w:ascii="Times New Roman" w:hAnsi="Times New Roman"/>
          <w:sz w:val="20"/>
          <w:u w:val="single"/>
        </w:rPr>
        <w:t>Section 13.7</w:t>
      </w:r>
      <w:r>
        <w:rPr>
          <w:rFonts w:ascii="Times New Roman" w:hAnsi="Times New Roman"/>
          <w:sz w:val="20"/>
        </w:rPr>
        <w:t xml:space="preserve">. If, as a result of such dispute resolution proceeding,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determined that the Defaulting Party committed a material breach and the Defaulting Party does not cure such material breach within [***] after the date of such determination (the “</w:t>
      </w:r>
      <w:r>
        <w:rPr>
          <w:rFonts w:ascii="Times New Roman" w:hAnsi="Times New Roman"/>
          <w:b/>
          <w:i/>
          <w:sz w:val="20"/>
        </w:rPr>
        <w:t>Additional Cure Period</w:t>
      </w:r>
      <w:r>
        <w:rPr>
          <w:rFonts w:ascii="Times New Roman" w:hAnsi="Times New Roman"/>
          <w:sz w:val="20"/>
        </w:rPr>
        <w:t xml:space="preserve">”), then such termination shall be effective as of the expiration of the Additional Cure Period. If the Parties dispute whether such material breach was so cured, such dispute shall also be determined in accordance with </w:t>
      </w:r>
      <w:r>
        <w:rPr>
          <w:rFonts w:ascii="Times New Roman" w:hAnsi="Times New Roman"/>
          <w:sz w:val="20"/>
          <w:u w:val="single"/>
        </w:rPr>
        <w:t>Section 13.7</w:t>
      </w:r>
      <w:r>
        <w:rPr>
          <w:rFonts w:ascii="Times New Roman" w:hAnsi="Times New Roman"/>
          <w:sz w:val="20"/>
        </w:rPr>
        <w:t xml:space="preserve">. This Agreement shall remain in full force and effect while any such dispute resolution proceeding is pending, such proceeding shall not suspend any obligations of either Party hereunder, and each Party shall use reasonable efforts to mitigate any damage. If, as a result of such dispute resolution proceeding, it is determined that (x) the Defaulting Party did not commit such breach, (y) such breach was not material or (z) such breach was cured in accordance with this </w:t>
      </w:r>
      <w:r>
        <w:rPr>
          <w:rFonts w:ascii="Times New Roman" w:hAnsi="Times New Roman"/>
          <w:sz w:val="20"/>
          <w:u w:val="single"/>
        </w:rPr>
        <w:t>Section 12.2(b)</w:t>
      </w:r>
      <w:r>
        <w:rPr>
          <w:rFonts w:ascii="Times New Roman" w:hAnsi="Times New Roman"/>
          <w:sz w:val="20"/>
        </w:rPr>
        <w:t xml:space="preserve">, then no termination shall be effective, and this Agreement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Termination for Insolvency</w:t>
      </w:r>
      <w:r>
        <w:rPr>
          <w:rFonts w:ascii="Times New Roman" w:hAnsi="Times New Roman"/>
          <w:sz w:val="20"/>
        </w:rPr>
        <w:t>. Each Party shall have the right to terminate this Agreement upon delivery of written notice to the other Party 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 ninety (90) days of its filing, or (iii) such other Party makes an assignment of substantially all of its assets for the benefit of its creditors (each of (i) through (iii), an “</w:t>
      </w:r>
      <w:r>
        <w:rPr>
          <w:rFonts w:ascii="Times New Roman" w:hAnsi="Times New Roman"/>
          <w:b/>
          <w:i/>
          <w:sz w:val="20"/>
        </w:rPr>
        <w:t>Insolvency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for Patent Challenge</w:t>
      </w:r>
      <w:r>
        <w:rPr>
          <w:rFonts w:ascii="Times New Roman" w:hAnsi="Times New Roman"/>
          <w:sz w:val="20"/>
        </w:rPr>
        <w:t>. If Company or any of its Affiliates or Sublicensees [***] any legal or administrative proceeding that challenges the validity or enforceability of any Licensed Patent (a “</w:t>
      </w:r>
      <w:r>
        <w:rPr>
          <w:rFonts w:ascii="Times New Roman" w:hAnsi="Times New Roman"/>
          <w:b/>
          <w:i/>
          <w:sz w:val="20"/>
        </w:rPr>
        <w:t>Patent Challenge</w:t>
      </w:r>
      <w:r>
        <w:rPr>
          <w:rFonts w:ascii="Times New Roman" w:hAnsi="Times New Roman"/>
          <w:sz w:val="20"/>
        </w:rPr>
        <w:t xml:space="preserve">”), then Licensor shall have the right to terminate this Agreement upon written notice to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12.2(d)</w:t>
      </w:r>
      <w:r>
        <w:rPr>
          <w:rFonts w:ascii="Times New Roman" w:hAnsi="Times New Roman"/>
          <w:sz w:val="20"/>
        </w:rPr>
        <w:t xml:space="preserve"> will not apply to any Patent Challenge that (i) [***], (ii) [***], or (iii) [***].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Termination for Inactivity</w:t>
      </w:r>
      <w:r>
        <w:rPr>
          <w:rFonts w:ascii="Times New Roman" w:hAnsi="Times New Roman"/>
          <w:sz w:val="20"/>
        </w:rPr>
        <w:t xml:space="preserve">. If the Company and its Affiliates and its and their Sublicensees do not conduct any material Development or Commercialization activities with respect to the Licensed Therapeutic or Licensed Products for a continuous period of longer than [***], and such failure to conduct any material Development or Commercialization activities is not due to (i) [***], (ii) [***], (iii) [***], (iv) [***] (A) [***], (B) [***], or (C) [***], (v) [***], (vi) [***], (vii) [***], or (viii) [***], Licensor shall have the right to terminate this Agreement upon [***] written notice thereof to the Company; </w:t>
      </w:r>
      <w:r>
        <w:rPr>
          <w:rFonts w:ascii="Times New Roman" w:hAnsi="Times New Roman"/>
          <w:sz w:val="20"/>
          <w:u w:val="single"/>
        </w:rPr>
        <w:t>provided</w:t>
      </w:r>
      <w:r>
        <w:rPr>
          <w:rFonts w:ascii="Times New Roman" w:hAnsi="Times New Roman"/>
          <w:sz w:val="20"/>
        </w:rPr>
        <w:t xml:space="preserve"> that, Company may submit a written plan within [***] after Company’s receipt of such written notice that is reasonably calculated to remedy such failure to conduct any material Development or Commercialization activities with respect to a Licensed Product. If such cure plan is [***] acceptable to Licensor and Company commences any material Development or Commercialization activities in accordance with the terms of such cure plan during such [***] and provides satisfactory written documentation thereof to Licensor, then this Agreement will not terminate upon the expiration of such [***].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b/>
          <w:sz w:val="20"/>
        </w:rPr>
        <w:t>Effect of Termination.</w:t>
      </w:r>
      <w:r>
        <w:rPr>
          <w:rFonts w:ascii="Times New Roman" w:hAnsi="Times New Roman"/>
          <w:sz w:val="20"/>
        </w:rPr>
        <w:t xml:space="preserve"> Upon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in </w:t>
      </w:r>
      <w:r>
        <w:rPr>
          <w:rFonts w:ascii="Times New Roman" w:hAnsi="Times New Roman"/>
          <w:sz w:val="20"/>
          <w:u w:val="single"/>
        </w:rPr>
        <w:t>Section 12.3(b)</w:t>
      </w:r>
      <w:r>
        <w:rPr>
          <w:rFonts w:ascii="Times New Roman" w:hAnsi="Times New Roman"/>
          <w:sz w:val="20"/>
        </w:rPr>
        <w:t xml:space="preserve"> or in </w:t>
      </w:r>
      <w:r>
        <w:rPr>
          <w:rFonts w:ascii="Times New Roman" w:hAnsi="Times New Roman"/>
          <w:sz w:val="20"/>
          <w:u w:val="single"/>
        </w:rPr>
        <w:t>Section 12.6</w:t>
      </w:r>
      <w:r>
        <w:rPr>
          <w:rFonts w:ascii="Times New Roman" w:hAnsi="Times New Roman"/>
          <w:sz w:val="20"/>
        </w:rPr>
        <w:t xml:space="preserve">, all rights and obligations of the Parties shall terminate, including the licenses granted in </w:t>
      </w:r>
      <w:r>
        <w:rPr>
          <w:rFonts w:ascii="Times New Roman" w:hAnsi="Times New Roman"/>
          <w:sz w:val="20"/>
          <w:u w:val="single"/>
        </w:rPr>
        <w:t>Article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for termination by the Company under </w:t>
      </w:r>
      <w:r>
        <w:rPr>
          <w:rFonts w:ascii="Times New Roman" w:hAnsi="Times New Roman"/>
          <w:sz w:val="20"/>
          <w:u w:val="single"/>
        </w:rPr>
        <w:t>Section 12.2(b)</w:t>
      </w:r>
      <w:r>
        <w:rPr>
          <w:rFonts w:ascii="Times New Roman" w:hAnsi="Times New Roman"/>
          <w:sz w:val="20"/>
        </w:rPr>
        <w:t xml:space="preserve"> or </w:t>
      </w:r>
      <w:r>
        <w:rPr>
          <w:rFonts w:ascii="Times New Roman" w:hAnsi="Times New Roman"/>
          <w:sz w:val="20"/>
          <w:u w:val="single"/>
        </w:rPr>
        <w:t>Section 12.2(c)</w:t>
      </w:r>
      <w:r>
        <w:rPr>
          <w:rFonts w:ascii="Times New Roman" w:hAnsi="Times New Roman"/>
          <w:sz w:val="20"/>
        </w:rPr>
        <w:t xml:space="preserve">, that the rights and licenses granted to Licensor under </w:t>
      </w:r>
      <w:r>
        <w:rPr>
          <w:rFonts w:ascii="Times New Roman" w:hAnsi="Times New Roman"/>
          <w:sz w:val="20"/>
          <w:u w:val="single"/>
        </w:rPr>
        <w:t>Section 2.5</w:t>
      </w:r>
      <w:r>
        <w:rPr>
          <w:rFonts w:ascii="Times New Roman" w:hAnsi="Times New Roman"/>
          <w:sz w:val="20"/>
        </w:rPr>
        <w:t xml:space="preserve"> and </w:t>
      </w:r>
      <w:r>
        <w:rPr>
          <w:rFonts w:ascii="Times New Roman" w:hAnsi="Times New Roman"/>
          <w:sz w:val="20"/>
          <w:u w:val="single"/>
        </w:rPr>
        <w:t>Section 4.5</w:t>
      </w:r>
      <w:r>
        <w:rPr>
          <w:rFonts w:ascii="Times New Roman" w:hAnsi="Times New Roman"/>
          <w:sz w:val="20"/>
        </w:rPr>
        <w:t xml:space="preserve"> shall automatically become non-exclusive, worldwide, irrevocable and perpetual;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(b) upon the [***] request of any Sublicensee of Company that is not, at the time of such termination, in material breach of its sublicense agreement with Company, Licensor shall enter into a direct license with such Sublicensee on the same terms as this Agreement (each, a “</w:t>
      </w:r>
      <w:r>
        <w:rPr>
          <w:rFonts w:ascii="Times New Roman" w:hAnsi="Times New Roman"/>
          <w:b/>
          <w:i/>
          <w:sz w:val="20"/>
        </w:rPr>
        <w:t>New License Agreement</w:t>
      </w:r>
      <w:r>
        <w:rPr>
          <w:rFonts w:ascii="Times New Roman" w:hAnsi="Times New Roman"/>
          <w:sz w:val="20"/>
        </w:rPr>
        <w:t xml:space="preserve">”). Under any such New License Agreement, such Sublicensee shall be required to pay to Licensor the same amounts in consideration for such direct grant as Licensor would have received from Company pursuant to this Agreement on account of such Sublicensee’s Exploitation of Licensed Products under the Licensed Technology had this Agreement not been terminated, taking into account any difference in license scope, territory, and duration of the New License Agreement. Under any such New License Agreement, Licensor shall not be bound by any grant of rights broader than, and shall not be required to perform any obligation other than, those rights and obligations contained in this Agreement, and all applicable rights of Licensor set forth in this Agreement shall be included in such New License Agreement. Notwithstanding the foregoing, Licensor shall not be obligated to enter into a New License Agreement with any Sublicensee unless such Sublicensee provides [***] notice to Licensor within [***] after the effective date of termination of this Agreement that it wishes to enter into a New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at the time of such termination, Company or its Affiliates are conducting any Clinical Trials with respect to any Licensed Product, then, at Company’s election on a Clinical Trial-by-Clinical Trial basis: (i) Company shall [***] cooperate, and shall ensure that its Affiliates [***] cooperate, with Licensor to transfer the conduct of such Clinical Trial to Licensor or its designees effective as of [***] after the termination effective date; or (ii) Company shall, at [***] cost and expense, orderly wind-down the conduct of any such Clinical Trial that is not assumed by Licensor under clause (i) above. </w:t>
      </w:r>
    </w:p>
    <w:p>
      <w:pPr>
        <w:pStyle w:val="TextBody"/>
        <w:bidi w:val="0"/>
        <w:spacing w:before="240" w:after="0"/>
        <w:jc w:val="left"/>
        <w:rPr>
          <w:rFonts w:ascii="Times New Roman" w:hAnsi="Times New Roman"/>
          <w:sz w:val="20"/>
        </w:rPr>
      </w:pPr>
      <w:r>
        <w:rPr>
          <w:rFonts w:ascii="Times New Roman" w:hAnsi="Times New Roman"/>
          <w:sz w:val="20"/>
        </w:rPr>
        <w:t xml:space="preserve">(d) upon Licensor’s [***] request and to the extent permitted by Applicable Laws, Company shall, and hereby does, assign and transfer to Licensor (or its designee) all of Company’s and its Affiliates’ rights, title and interests in and to any Regulatory Approvals solely related to the Licensed Products and related regulatory submissions, and all human materials, pharmacological, toxicological and clinical test data and results, research data, reports and batch records, safety data and all other Data generated and Controlled by Company or its Affiliates in the Development, Manufacture or Commercialization of the Licensed Products and are necessary or reasonably useful for the Development, Manufacture or Commercialization of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(e) Company shall, and hereby does, assign and transfer to Licensor all of Company’s and its Affiliates’ rights, title and interests in and to any trademarks, logos and tradenames used by Licensor or its Affiliates with respect to any Licensed Product (other than Company’s or its Affiliates’ corporate names and logos); and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there are any Licensed Products sold in a country in the Licensed Territory, then subject to payment of all royalties, Company (and its Affiliates or, subject to </w:t>
      </w:r>
      <w:r>
        <w:rPr>
          <w:rFonts w:ascii="Times New Roman" w:hAnsi="Times New Roman"/>
          <w:sz w:val="20"/>
          <w:u w:val="single"/>
        </w:rPr>
        <w:t>Section 12.3(b)</w:t>
      </w:r>
      <w:r>
        <w:rPr>
          <w:rFonts w:ascii="Times New Roman" w:hAnsi="Times New Roman"/>
          <w:sz w:val="20"/>
        </w:rPr>
        <w:t xml:space="preserve"> applicable Sublicensees) shall have the right to sell existing or work-in-progress Licensed Products for a period not to exceed [***] after the effective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b/>
          <w:sz w:val="20"/>
        </w:rPr>
        <w:t>Rights in Insolvency</w:t>
      </w:r>
      <w:r>
        <w:rPr>
          <w:rFonts w:ascii="Times New Roman" w:hAnsi="Times New Roman"/>
          <w:sz w:val="20"/>
        </w:rPr>
        <w:t>. All rights and licenses now or hereafter granted by Licensor to Company under or pursuant to this Agreement are, for all purposes of Section 365(n) of the Bankruptcy Code or comparable provision of applicable bankruptcy or insolvency laws (collectively, the “</w:t>
      </w:r>
      <w:r>
        <w:rPr>
          <w:rFonts w:ascii="Times New Roman" w:hAnsi="Times New Roman"/>
          <w:b/>
          <w:i/>
          <w:sz w:val="20"/>
        </w:rPr>
        <w:t>Bankruptcy Code</w:t>
      </w:r>
      <w:r>
        <w:rPr>
          <w:rFonts w:ascii="Times New Roman" w:hAnsi="Times New Roman"/>
          <w:sz w:val="20"/>
        </w:rPr>
        <w:t xml:space="preserve">”), licenses of rights to “intellectual property” as defined in the Bankruptcy Code. Upon an Insolvency Event, Licensor agrees that Company, as licensee of such rights under this Agreement, will retain and may fully exercise all of its rights and elections under the Bankruptcy Code. Licensor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or comparable provisions in other Bankruptcy Code include laboratory notebooks, cell lines, product samples and inventory, research studies and data, all Regulatory Approvals (and all applications for Regulatory Approval) and rights of reference therein, the Licensed Technology and all information related to the Licensed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If (x) a case under the Bankruptcy Code is commenced by or against Licensor, (y) this Agreement is rejected as provided in the Bankruptcy Code and (z) Company elects to retain its rights hereunder as provided in the Bankruptcy Code, Licensor (in any capacity, including debtor-in-possession) and its successors and assigns (including a trustee) will: </w:t>
      </w:r>
    </w:p>
    <w:p>
      <w:pPr>
        <w:pStyle w:val="TextBody"/>
        <w:bidi w:val="0"/>
        <w:spacing w:before="120" w:after="0"/>
        <w:jc w:val="left"/>
        <w:rPr>
          <w:rFonts w:ascii="Times New Roman" w:hAnsi="Times New Roman"/>
          <w:sz w:val="20"/>
        </w:rPr>
      </w:pPr>
      <w:r>
        <w:rPr>
          <w:rFonts w:ascii="Times New Roman" w:hAnsi="Times New Roman"/>
          <w:sz w:val="20"/>
        </w:rPr>
        <w:t xml:space="preserve">(i) provide Company with embodiments of all Licensed Technology held by Licensor and such successors and assigns, or otherwise available to them, immediately upon Company’s written request, and Company will have the right to perform Licensor’s obligations hereunder and exercise all of the rights of a licensee of intellectual property under the Bankruptcy Code, </w:t>
      </w:r>
      <w:r>
        <w:rPr>
          <w:rFonts w:ascii="Times New Roman" w:hAnsi="Times New Roman"/>
          <w:sz w:val="20"/>
          <w:u w:val="single"/>
        </w:rPr>
        <w:t>provided</w:t>
      </w:r>
      <w:r>
        <w:rPr>
          <w:rFonts w:ascii="Times New Roman" w:hAnsi="Times New Roman"/>
          <w:sz w:val="20"/>
        </w:rPr>
        <w:t xml:space="preserve"> that neither such provision nor such performance by Company will release Licensor from liability resulting from rejection of the license or the failure to perform such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(ii) not interfere with Company’s rights under this Agreement, or any agreement supplemental hereto, to such intellectual property (including such embodiments), including any right to obtain such intellectual property (or such embodiments) from any other Person, to the extent provided in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(b) All rights, powers and remedies of Company provided herein are in addition to and not in substitution for any other rights, powers and remedies now or hereafter existing at law or in equity (including the Bankruptcy Code) in the event of the commencement of a case under the Bankruptcy Code with respect to Licensor. The Parties intend the following rights to extend to the maximum extent permitted by Applicable Law, and to be enforceable under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(i) the right of access to any intellectual property rights (including all embodiments thereof) of Licensor, or any Third Party with whom Licensor contracts to perform an obligation of Licensor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(ii) the right to contract directly with any Third Party to complete the contracted work.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b/>
          <w:sz w:val="20"/>
        </w:rPr>
        <w:t>Accrued Rights</w:t>
      </w:r>
      <w:r>
        <w:rPr>
          <w:rFonts w:ascii="Times New Roman" w:hAnsi="Times New Roman"/>
          <w:sz w:val="20"/>
        </w:rPr>
        <w:t xml:space="preserve">. Expiration or termination of this Agreement for any reason shall be without prejudice to any right which shall have accrued to the benefit of either Party prior to such termination, including damages arising from any breach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12.6 </w:t>
      </w:r>
      <w:r>
        <w:rPr>
          <w:rFonts w:ascii="Times New Roman" w:hAnsi="Times New Roman"/>
          <w:b/>
          <w:sz w:val="20"/>
        </w:rPr>
        <w:t>Survival</w:t>
      </w:r>
      <w:r>
        <w:rPr>
          <w:rFonts w:ascii="Times New Roman" w:hAnsi="Times New Roman"/>
          <w:sz w:val="20"/>
        </w:rPr>
        <w:t xml:space="preserve">. The provisions of </w:t>
      </w:r>
      <w:r>
        <w:rPr>
          <w:rFonts w:ascii="Times New Roman" w:hAnsi="Times New Roman"/>
          <w:sz w:val="20"/>
          <w:u w:val="single"/>
        </w:rPr>
        <w:t>Article 1</w:t>
      </w:r>
      <w:r>
        <w:rPr>
          <w:rFonts w:ascii="Times New Roman" w:hAnsi="Times New Roman"/>
          <w:sz w:val="20"/>
        </w:rPr>
        <w:t xml:space="preserve">, </w:t>
      </w: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Article 7</w:t>
      </w:r>
      <w:r>
        <w:rPr>
          <w:rFonts w:ascii="Times New Roman" w:hAnsi="Times New Roman"/>
          <w:sz w:val="20"/>
        </w:rPr>
        <w:t xml:space="preserve"> (solely with respect to any payment obligations that have accrued prior to the effective date of expiration or termination of this Agreement or incurred under </w:t>
      </w:r>
      <w:r>
        <w:rPr>
          <w:rFonts w:ascii="Times New Roman" w:hAnsi="Times New Roman"/>
          <w:sz w:val="20"/>
          <w:u w:val="single"/>
        </w:rPr>
        <w:t>Section 12.3(f)</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7.13</w:t>
      </w:r>
      <w:r>
        <w:rPr>
          <w:rFonts w:ascii="Times New Roman" w:hAnsi="Times New Roman"/>
          <w:sz w:val="20"/>
        </w:rPr>
        <w:t xml:space="preserve"> shall only survive for the time period provided), </w:t>
      </w:r>
      <w:r>
        <w:rPr>
          <w:rFonts w:ascii="Times New Roman" w:hAnsi="Times New Roman"/>
          <w:sz w:val="20"/>
          <w:u w:val="single"/>
        </w:rPr>
        <w:t>Article 8</w:t>
      </w:r>
      <w:r>
        <w:rPr>
          <w:rFonts w:ascii="Times New Roman" w:hAnsi="Times New Roman"/>
          <w:sz w:val="20"/>
        </w:rPr>
        <w:t xml:space="preserve"> (solely for the time period provided), </w:t>
      </w:r>
      <w:r>
        <w:rPr>
          <w:rFonts w:ascii="Times New Roman" w:hAnsi="Times New Roman"/>
          <w:sz w:val="20"/>
          <w:u w:val="single"/>
        </w:rPr>
        <w:t>Article 10</w:t>
      </w:r>
      <w:r>
        <w:rPr>
          <w:rFonts w:ascii="Times New Roman" w:hAnsi="Times New Roman"/>
          <w:sz w:val="20"/>
        </w:rPr>
        <w:t xml:space="preserve">, </w:t>
      </w:r>
      <w:r>
        <w:rPr>
          <w:rFonts w:ascii="Times New Roman" w:hAnsi="Times New Roman"/>
          <w:sz w:val="20"/>
          <w:u w:val="single"/>
        </w:rPr>
        <w:t>Section 11.1</w:t>
      </w:r>
      <w:r>
        <w:rPr>
          <w:rFonts w:ascii="Times New Roman" w:hAnsi="Times New Roman"/>
          <w:sz w:val="20"/>
        </w:rPr>
        <w:t xml:space="preserve">, </w:t>
      </w:r>
      <w:r>
        <w:rPr>
          <w:rFonts w:ascii="Times New Roman" w:hAnsi="Times New Roman"/>
          <w:sz w:val="20"/>
          <w:u w:val="single"/>
        </w:rPr>
        <w:t>Section 12.3</w:t>
      </w:r>
      <w:r>
        <w:rPr>
          <w:rFonts w:ascii="Times New Roman" w:hAnsi="Times New Roman"/>
          <w:sz w:val="20"/>
        </w:rPr>
        <w:t xml:space="preserve">, </w:t>
      </w:r>
      <w:r>
        <w:rPr>
          <w:rFonts w:ascii="Times New Roman" w:hAnsi="Times New Roman"/>
          <w:sz w:val="20"/>
          <w:u w:val="single"/>
        </w:rPr>
        <w:t>Section 12.4</w:t>
      </w:r>
      <w:r>
        <w:rPr>
          <w:rFonts w:ascii="Times New Roman" w:hAnsi="Times New Roman"/>
          <w:sz w:val="20"/>
        </w:rPr>
        <w:t xml:space="preserve">, </w:t>
      </w:r>
      <w:r>
        <w:rPr>
          <w:rFonts w:ascii="Times New Roman" w:hAnsi="Times New Roman"/>
          <w:sz w:val="20"/>
          <w:u w:val="single"/>
        </w:rPr>
        <w:t>Section 12.5</w:t>
      </w:r>
      <w:r>
        <w:rPr>
          <w:rFonts w:ascii="Times New Roman" w:hAnsi="Times New Roman"/>
          <w:sz w:val="20"/>
        </w:rPr>
        <w:t xml:space="preserve">, this </w:t>
      </w:r>
      <w:r>
        <w:rPr>
          <w:rFonts w:ascii="Times New Roman" w:hAnsi="Times New Roman"/>
          <w:sz w:val="20"/>
          <w:u w:val="single"/>
        </w:rPr>
        <w:t>Section 12.6</w:t>
      </w:r>
      <w:r>
        <w:rPr>
          <w:rFonts w:ascii="Times New Roman" w:hAnsi="Times New Roman"/>
          <w:sz w:val="20"/>
        </w:rPr>
        <w:t xml:space="preserve">, and </w:t>
      </w:r>
      <w:r>
        <w:rPr>
          <w:rFonts w:ascii="Times New Roman" w:hAnsi="Times New Roman"/>
          <w:sz w:val="20"/>
          <w:u w:val="single"/>
        </w:rPr>
        <w:t>Article 13</w:t>
      </w:r>
      <w:r>
        <w:rPr>
          <w:rFonts w:ascii="Times New Roman" w:hAnsi="Times New Roman"/>
          <w:sz w:val="20"/>
        </w:rPr>
        <w:t xml:space="preserve">, together with any other provisions of this Agreement that by their terms are expressly stated to survive, shall survive the expiration or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Force Majeure</w:t>
      </w:r>
      <w:r>
        <w:rPr>
          <w:rFonts w:ascii="Times New Roman" w:hAnsi="Times New Roman"/>
          <w:sz w:val="20"/>
        </w:rPr>
        <w:t xml:space="preserve">. Neither Party shall be held liable to the other Party nor be deemed to have defaulted under or breached this Agreement for failure or delay in performing any obligation under this Agreement to the extent such failure or delay is caused by or results from causes beyond the [***] control of the affected Party, including embargoes, war, acts of war (whether war be declared or not), acts of terrorism, insurrections, riots, civil commotions, strikes, lockouts or other labor disturbances, fire, floods, earthquakes or other acts of God, or any generally applicable action or inaction by any Governmental Authority, or omissions or delays in acting by the other Party. The affected Party shall notify the other Party [***] of such force majeure circumstances [***], and shall [***] undertake and continue [***] to cure such force majeure circumstances or to perform its obligations despite the ongoing circumstances.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Export Control</w:t>
      </w:r>
      <w:r>
        <w:rPr>
          <w:rFonts w:ascii="Times New Roman" w:hAnsi="Times New Roman"/>
          <w:sz w:val="20"/>
        </w:rPr>
        <w:t xml:space="preserve">. This Agreement is made subject to any restrictions concerning the export, reexport or transfer of items or technical data from the United States, China or other countries that may be applicable to either from time to time, including United States or China export control and sanctions laws and regulations. Neither Party will export, reexport or transfer, directly or indirectly, any items or technical data acquired from the other Party under this Agreement or any products using such items or technical data to a location, to an end use or end user or in a manner that requires a license or other governmental approval, without first obtaining such license or other governmental approval.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not be assigned or otherwise transferred by a Party, nor may any right or obligation hereunder be assigned or transferred by a Party (except as expressly permitted under this Agreement), without the [***] consent of the other Party, such consent not to be unreasonably withheld, conditioned or delayed. Notwithstanding the foregoing, either Party may, without the consent of the other Party, assign this Agreement (i) in whole or in part to any of its Affiliates or (ii) in whole, but not in part, in connection with a Change of Control, the sale by a Party of all or substantially all of its assets relating to this Agreement, or restructuring associated with a public listing event, including an IPO and reverse merger, </w:t>
      </w:r>
      <w:r>
        <w:rPr>
          <w:rFonts w:ascii="Times New Roman" w:hAnsi="Times New Roman"/>
          <w:sz w:val="20"/>
          <w:u w:val="single"/>
        </w:rPr>
        <w:t>provided</w:t>
      </w:r>
      <w:r>
        <w:rPr>
          <w:rFonts w:ascii="Times New Roman" w:hAnsi="Times New Roman"/>
          <w:sz w:val="20"/>
        </w:rPr>
        <w:t xml:space="preserve"> that (A) the applicable assignee agrees in writing to assume all rights and obligations of the assignor Party under this Agreement, and (B) the assigning Party shall provide [***] notice of such assignment to the non-assigning Party within [***] of such assignment. Any attempted assignment not in accordance with this </w:t>
      </w:r>
      <w:r>
        <w:rPr>
          <w:rFonts w:ascii="Times New Roman" w:hAnsi="Times New Roman"/>
          <w:sz w:val="20"/>
          <w:u w:val="single"/>
        </w:rPr>
        <w:t>Section 13.3</w:t>
      </w:r>
      <w:r>
        <w:rPr>
          <w:rFonts w:ascii="Times New Roman" w:hAnsi="Times New Roman"/>
          <w:sz w:val="20"/>
        </w:rPr>
        <w:t xml:space="preserve"> shall be null and void and of no legal effect. The terms and conditions of this Agreement shall be binding upon, and shall inure to the benefit of,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in the event that either Party is acquired in a Change of Control, the Patent Rights and Know-How held by or discovered, generated, invented, made, conceived or reduced to practice by the Acquiror prior to or after such Change of Control shall not be deemed Controlled for purposes of this Agreement and shall not be licensed hereunder, and such Acquiror shall be excluded from the “Affiliate” definition solely for purposes of determining Control, </w:t>
      </w:r>
      <w:r>
        <w:rPr>
          <w:rFonts w:ascii="Times New Roman" w:hAnsi="Times New Roman"/>
          <w:sz w:val="20"/>
          <w:u w:val="single"/>
        </w:rPr>
        <w:t>provided</w:t>
      </w:r>
      <w:r>
        <w:rPr>
          <w:rFonts w:ascii="Times New Roman" w:hAnsi="Times New Roman"/>
          <w:sz w:val="20"/>
        </w:rPr>
        <w:t xml:space="preserve">, that, (i) any Know-How discovered, generated, invented, made, conceived or reduced to practice by the Acquiror in the course of conducting the acquired Party’s activities under this Agreement, (ii) any Know-How discovered, generated, invented, made, conceived or reduced to practice by the Acquiror and used by the acquired Party in conducting its activities under this Agreement, and (iii) Patent Rights claiming any such Know-How described in clauses (i) or (ii), in each case (of (i), (ii) and (iii)) shall be deemed Controlled for purposes of this Agreement and included in the licenses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Severability</w:t>
      </w:r>
      <w:r>
        <w:rPr>
          <w:rFonts w:ascii="Times New Roman" w:hAnsi="Times New Roman"/>
          <w:sz w:val="20"/>
        </w:rPr>
        <w:t xml:space="preserve">. If any one (1)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 replace the invalid, illegal or unenforceable provision(s) with valid, legal and enforceable provision(s) that, insofar as practicable, implement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13.5 </w:t>
      </w:r>
      <w:r>
        <w:rPr>
          <w:rFonts w:ascii="Times New Roman" w:hAnsi="Times New Roman"/>
          <w:b/>
          <w:sz w:val="20"/>
        </w:rPr>
        <w:t>Notices</w:t>
      </w:r>
      <w:r>
        <w:rPr>
          <w:rFonts w:ascii="Times New Roman" w:hAnsi="Times New Roman"/>
          <w:sz w:val="20"/>
        </w:rPr>
        <w:t>. All notices that are required or permitted hereunder shall be in writing and sufficient if delivered personally, sent by electronic mail (</w:t>
      </w:r>
      <w:r>
        <w:rPr>
          <w:rFonts w:ascii="Times New Roman" w:hAnsi="Times New Roman"/>
          <w:sz w:val="20"/>
          <w:u w:val="single"/>
        </w:rPr>
        <w:t>provided</w:t>
      </w:r>
      <w:r>
        <w:rPr>
          <w:rFonts w:ascii="Times New Roman" w:hAnsi="Times New Roman"/>
          <w:sz w:val="20"/>
        </w:rPr>
        <w:t xml:space="preserve"> that receipt of such electronic mail is confirmed in writing by the recipient, which confirmation may itself be sent by electronic mail), sent by nationally-recognized overnight courier or sent by registered or certified mail, postage prepaid, return receipt requested,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Licensor: </w:t>
      </w:r>
    </w:p>
    <w:p>
      <w:pPr>
        <w:pStyle w:val="TextBody"/>
        <w:bidi w:val="0"/>
        <w:spacing w:before="120" w:after="0"/>
        <w:jc w:val="left"/>
        <w:rPr>
          <w:rFonts w:ascii="Times New Roman" w:hAnsi="Times New Roman"/>
          <w:sz w:val="20"/>
        </w:rPr>
      </w:pPr>
      <w:r>
        <w:rPr>
          <w:rFonts w:ascii="Times New Roman" w:hAnsi="Times New Roman"/>
          <w:sz w:val="20"/>
        </w:rPr>
        <w:t xml:space="preserve">YolTech Therapeutics Co., Ltd </w:t>
      </w:r>
    </w:p>
    <w:p>
      <w:pPr>
        <w:pStyle w:val="TextBody"/>
        <w:bidi w:val="0"/>
        <w:spacing w:before="0" w:after="0"/>
        <w:jc w:val="left"/>
        <w:rPr>
          <w:rFonts w:ascii="Times New Roman" w:hAnsi="Times New Roman"/>
          <w:sz w:val="20"/>
        </w:rPr>
      </w:pPr>
      <w:r>
        <w:rPr>
          <w:rFonts w:ascii="Times New Roman" w:hAnsi="Times New Roman"/>
          <w:sz w:val="20"/>
        </w:rPr>
        <w:t xml:space="preserve">12F, Building A, 58 Tanzhu Rd., </w:t>
      </w:r>
    </w:p>
    <w:p>
      <w:pPr>
        <w:pStyle w:val="TextBody"/>
        <w:bidi w:val="0"/>
        <w:spacing w:before="0" w:after="0"/>
        <w:jc w:val="left"/>
        <w:rPr>
          <w:rFonts w:ascii="Times New Roman" w:hAnsi="Times New Roman"/>
          <w:sz w:val="20"/>
        </w:rPr>
      </w:pPr>
      <w:r>
        <w:rPr>
          <w:rFonts w:ascii="Times New Roman" w:hAnsi="Times New Roman"/>
          <w:sz w:val="20"/>
        </w:rPr>
        <w:t xml:space="preserve">Minhang District, Shanghai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If to Company: </w:t>
      </w:r>
    </w:p>
    <w:p>
      <w:pPr>
        <w:pStyle w:val="TextBody"/>
        <w:bidi w:val="0"/>
        <w:spacing w:before="120" w:after="0"/>
        <w:jc w:val="left"/>
        <w:rPr>
          <w:rFonts w:ascii="Times New Roman" w:hAnsi="Times New Roman"/>
          <w:sz w:val="20"/>
        </w:rPr>
      </w:pPr>
      <w:r>
        <w:rPr>
          <w:rFonts w:ascii="Times New Roman" w:hAnsi="Times New Roman"/>
          <w:sz w:val="20"/>
        </w:rPr>
        <w:t xml:space="preserve">RTW Newco10, Inc. </w:t>
      </w:r>
    </w:p>
    <w:p>
      <w:pPr>
        <w:pStyle w:val="TextBody"/>
        <w:bidi w:val="0"/>
        <w:spacing w:before="0" w:after="0"/>
        <w:jc w:val="left"/>
        <w:rPr>
          <w:rFonts w:ascii="Times New Roman" w:hAnsi="Times New Roman"/>
          <w:sz w:val="20"/>
        </w:rPr>
      </w:pPr>
      <w:r>
        <w:rPr>
          <w:rFonts w:ascii="Times New Roman" w:hAnsi="Times New Roman"/>
          <w:sz w:val="20"/>
        </w:rPr>
        <w:t xml:space="preserve">c/o RTW Investments, LP </w:t>
      </w:r>
    </w:p>
    <w:p>
      <w:pPr>
        <w:pStyle w:val="TextBody"/>
        <w:bidi w:val="0"/>
        <w:spacing w:before="0" w:after="0"/>
        <w:jc w:val="left"/>
        <w:rPr>
          <w:rFonts w:ascii="Times New Roman" w:hAnsi="Times New Roman"/>
          <w:sz w:val="20"/>
        </w:rPr>
      </w:pPr>
      <w:r>
        <w:rPr>
          <w:rFonts w:ascii="Times New Roman" w:hAnsi="Times New Roman"/>
          <w:sz w:val="20"/>
        </w:rPr>
        <w:t xml:space="preserve">40 10th Avenue, 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0" w:after="0"/>
        <w:jc w:val="left"/>
        <w:rPr>
          <w:rFonts w:ascii="Times New Roman" w:hAnsi="Times New Roman"/>
          <w:sz w:val="20"/>
        </w:rPr>
      </w:pPr>
      <w:r>
        <w:rPr>
          <w:rFonts w:ascii="Times New Roman" w:hAnsi="Times New Roman"/>
          <w:sz w:val="20"/>
        </w:rPr>
        <w:t xml:space="preserve">USA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or to such other address as the Party to whom notice is to be given may have furnished to the other Party [***] in accordance herewith</w:t>
      </w:r>
      <w:r>
        <w:rPr>
          <w:rFonts w:ascii="Times New Roman" w:hAnsi="Times New Roman"/>
          <w:b/>
          <w:sz w:val="20"/>
        </w:rPr>
        <w:t>.</w:t>
      </w:r>
      <w:r>
        <w:rPr>
          <w:rFonts w:ascii="Times New Roman" w:hAnsi="Times New Roman"/>
          <w:sz w:val="20"/>
        </w:rPr>
        <w:t xml:space="preserve"> Any such notice shall be deemed to have been given: (a) when delivered if personally delivered or sent by electronic mail on a Business Day (or if delivered or sent on a non-Business Day, then on the next Business Day); (b) on the [***] after dispatch if sent by nationally-recognized overnight courier; or (c) on the [***] following the date of mailing if sent by mail. </w:t>
      </w:r>
    </w:p>
    <w:p>
      <w:pPr>
        <w:pStyle w:val="TextBody"/>
        <w:bidi w:val="0"/>
        <w:spacing w:before="240" w:after="0"/>
        <w:jc w:val="left"/>
        <w:rPr>
          <w:rFonts w:ascii="Times New Roman" w:hAnsi="Times New Roman"/>
          <w:sz w:val="20"/>
        </w:rPr>
      </w:pPr>
      <w:r>
        <w:rPr>
          <w:rFonts w:ascii="Times New Roman" w:hAnsi="Times New Roman"/>
          <w:sz w:val="20"/>
        </w:rPr>
        <w:t xml:space="preserve">13.6 </w:t>
      </w:r>
      <w:r>
        <w:rPr>
          <w:rFonts w:ascii="Times New Roman" w:hAnsi="Times New Roman"/>
          <w:b/>
          <w:sz w:val="20"/>
        </w:rPr>
        <w:t>Governing Law</w:t>
      </w:r>
      <w:r>
        <w:rPr>
          <w:rFonts w:ascii="Times New Roman" w:hAnsi="Times New Roman"/>
          <w:sz w:val="20"/>
        </w:rPr>
        <w:t xml:space="preserve">. This Agreement, and all claims or causes of action (whether in contract, tort or statute) that may be 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New York, United States, without reference to its conflicts of law principles. The United Nations Convention on Contracts for the International Sale of Goods (CISG) of 11 April 1980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13.7 </w:t>
      </w:r>
      <w:r>
        <w:rPr>
          <w:rFonts w:ascii="Times New Roman" w:hAnsi="Times New Roman"/>
          <w:b/>
          <w:sz w:val="20"/>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dispute arising out of, relating to, or in connection with this Agreement shall be settled, if possible, through [***] negotiations between the Parties. Except as provided in </w:t>
      </w:r>
      <w:r>
        <w:rPr>
          <w:rFonts w:ascii="Times New Roman" w:hAnsi="Times New Roman"/>
          <w:sz w:val="20"/>
          <w:u w:val="single"/>
        </w:rPr>
        <w:t>Section 3.2</w:t>
      </w:r>
      <w:r>
        <w:rPr>
          <w:rFonts w:ascii="Times New Roman" w:hAnsi="Times New Roman"/>
          <w:sz w:val="20"/>
        </w:rPr>
        <w:t xml:space="preserve">, if the Parties are unable to settle such dispute within [***] of one Party notifying such dispute [***] to the other, such dispute shall be referred to the Executive Officers for resolution. The Executive Officers of both Parties shall meet to attempt to resolve such dispute. Such resolution, if any, of a referred dispute shall be final and binding on the Parties. All discussions between the Executive Officers pursuant to this </w:t>
      </w:r>
      <w:r>
        <w:rPr>
          <w:rFonts w:ascii="Times New Roman" w:hAnsi="Times New Roman"/>
          <w:sz w:val="20"/>
          <w:u w:val="single"/>
        </w:rPr>
        <w:t>Section 13.7</w:t>
      </w:r>
      <w:r>
        <w:rPr>
          <w:rFonts w:ascii="Times New Roman" w:hAnsi="Times New Roman"/>
          <w:sz w:val="20"/>
        </w:rPr>
        <w:t xml:space="preserve"> are confidential and shall be treated as compromise and settlement negotiations for purposes of applicable rules of evidence. If the Executive Officers do not resolve such dispute within [***] after either Party refers a dispute to the Executive Officers [***], then, except for any Excluded Claim (which shall be resolved in accordance with </w:t>
      </w:r>
      <w:r>
        <w:rPr>
          <w:rFonts w:ascii="Times New Roman" w:hAnsi="Times New Roman"/>
          <w:sz w:val="20"/>
          <w:u w:val="single"/>
        </w:rPr>
        <w:t>Section 13.7(e)</w:t>
      </w:r>
      <w:r>
        <w:rPr>
          <w:rFonts w:ascii="Times New Roman" w:hAnsi="Times New Roman"/>
          <w:sz w:val="20"/>
        </w:rPr>
        <w:t>), either Party shall have the right to commence arbitration. Such dispute shall be finally settled by arbitration administered by the International Chamber of Commerce (“</w:t>
      </w:r>
      <w:r>
        <w:rPr>
          <w:rFonts w:ascii="Times New Roman" w:hAnsi="Times New Roman"/>
          <w:b/>
          <w:i/>
          <w:sz w:val="20"/>
        </w:rPr>
        <w:t>ICC</w:t>
      </w:r>
      <w:r>
        <w:rPr>
          <w:rFonts w:ascii="Times New Roman" w:hAnsi="Times New Roman"/>
          <w:sz w:val="20"/>
        </w:rPr>
        <w:t xml:space="preserve">”) in accordance with the Rules of Arbitration in effect at the time of the arbitration, except as they may be modified herein.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The arbitration will be heard and determined by three (3) arbitrators with at least [***] of relevant experience in [***] industry, each of whom will be impartial and independent. An arbitrator shall be deemed to meet these qualifications unless a Party objects within [***] of the arbitrator’s nomination. Each Party will nominate [***] in accordance with the ICC Rules, and the third (3rd) arbitrator will be nominated by the two (2) Party-nominated arbitrators within [***] following appointment of the second (2nd) arbitrator. If any of the three (3) arbitrators are not nominated within the time prescribed above, then the ICC shall appoint the arbitrator(s). The seat, or legal place, of arbitration shall be New York, New York, United States and the arbitration will be conducted in English. The arbitration award will be final and binding on the Parties and judgment may be entered in any court of competent jurisdiction. The arbitrators do not have the power to award any damages expressly prohibited by </w:t>
      </w:r>
      <w:r>
        <w:rPr>
          <w:rFonts w:ascii="Times New Roman" w:hAnsi="Times New Roman"/>
          <w:sz w:val="20"/>
          <w:u w:val="single"/>
        </w:rPr>
        <w:t>Section 10.5</w:t>
      </w:r>
      <w:r>
        <w:rPr>
          <w:rFonts w:ascii="Times New Roman" w:hAnsi="Times New Roman"/>
          <w:sz w:val="20"/>
        </w:rPr>
        <w:t xml:space="preserve">. Subject to any award by the arbitration panel, each Party shall be responsible for its fees, costs and expenses for conducting the arbitration. Notwithstanding </w:t>
      </w:r>
      <w:r>
        <w:rPr>
          <w:rFonts w:ascii="Times New Roman" w:hAnsi="Times New Roman"/>
          <w:sz w:val="20"/>
          <w:u w:val="single"/>
        </w:rPr>
        <w:t>Section 13.6</w:t>
      </w:r>
      <w:r>
        <w:rPr>
          <w:rFonts w:ascii="Times New Roman" w:hAnsi="Times New Roman"/>
          <w:sz w:val="20"/>
        </w:rPr>
        <w:t xml:space="preserve">, with respect to the substantive governing law, the arbitration proceedings and this agreement to arbitrate shall be governed by the Federal Arbitration Act, 9 U.S.C. § 1 </w:t>
      </w:r>
      <w:r>
        <w:rPr>
          <w:rFonts w:ascii="Times New Roman" w:hAnsi="Times New Roman"/>
          <w:i/>
          <w:sz w:val="20"/>
        </w:rPr>
        <w:t>et seq.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necessary to comply with Applicable Law, legal process or a court order, to enforce a final settlement agreement, to prepare for or conduct the arbitration, or a judicial challenge to any arbitration award or its enforcement, the Parties agree that the existence, terms and content of any arbitration pursuant to </w:t>
      </w:r>
      <w:r>
        <w:rPr>
          <w:rFonts w:ascii="Times New Roman" w:hAnsi="Times New Roman"/>
          <w:sz w:val="20"/>
          <w:u w:val="single"/>
        </w:rPr>
        <w:t>Section 13.7(b)</w:t>
      </w:r>
      <w:r>
        <w:rPr>
          <w:rFonts w:ascii="Times New Roman" w:hAnsi="Times New Roman"/>
          <w:sz w:val="20"/>
        </w:rPr>
        <w:t xml:space="preserve">, all information and documents disclosed in any such arbitration or evidencing any such arbitration results, award, judgment or settlement, or the performance thereof, and any allegations, statements and admissions made or positions taken by either Party in any such arbitration, shall be treated and maintained in confidence and are not intended to be used or disclosed for any other purpose or in any other forum.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13.7</w:t>
      </w:r>
      <w:r>
        <w:rPr>
          <w:rFonts w:ascii="Times New Roman" w:hAnsi="Times New Roman"/>
          <w:sz w:val="20"/>
        </w:rPr>
        <w:t xml:space="preserve"> shall preclude either Party from seeking interim equitable relief or interim or provisional relief from a court of competent jurisdiction, including a temporary restraining order, preliminary injunction or other interim equitable relief, either prior to or during any mediation or arbitration, to protect the interests of such Party or to preserve the status quo pending the mediation or arbitration proceeding. </w:t>
      </w:r>
    </w:p>
    <w:p>
      <w:pPr>
        <w:pStyle w:val="TextBody"/>
        <w:bidi w:val="0"/>
        <w:spacing w:before="240" w:after="0"/>
        <w:jc w:val="left"/>
        <w:rPr>
          <w:rFonts w:ascii="Times New Roman" w:hAnsi="Times New Roman"/>
          <w:sz w:val="20"/>
        </w:rPr>
      </w:pPr>
      <w:r>
        <w:rPr>
          <w:rFonts w:ascii="Times New Roman" w:hAnsi="Times New Roman"/>
          <w:sz w:val="20"/>
        </w:rPr>
        <w:t>(e) Notwithstanding the foregoing, any dispute, controversy or claim relating to (a) the scope, validity, enforceability, infringement, ownership or inventorship of any patent, trademark or copyright or (b) any antitrust, anti-monopoly or competition law or regulation, whether or not statutory (collectively, “</w:t>
      </w:r>
      <w:r>
        <w:rPr>
          <w:rFonts w:ascii="Times New Roman" w:hAnsi="Times New Roman"/>
          <w:b/>
          <w:i/>
          <w:sz w:val="20"/>
        </w:rPr>
        <w:t>Excluded Claims</w:t>
      </w:r>
      <w:r>
        <w:rPr>
          <w:rFonts w:ascii="Times New Roman" w:hAnsi="Times New Roman"/>
          <w:sz w:val="20"/>
        </w:rPr>
        <w:t xml:space="preserve">”) shall be submitted to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13.8 </w:t>
      </w:r>
      <w:r>
        <w:rPr>
          <w:rFonts w:ascii="Times New Roman" w:hAnsi="Times New Roman"/>
          <w:b/>
          <w:sz w:val="20"/>
        </w:rPr>
        <w:t>Entire Agreement; Amendments</w:t>
      </w:r>
      <w:r>
        <w:rPr>
          <w:rFonts w:ascii="Times New Roman" w:hAnsi="Times New Roman"/>
          <w:sz w:val="20"/>
        </w:rPr>
        <w:t xml:space="preserve">. This Agreement, together with the Schedules hereto, contains the entire understanding of the Parties with respect to the subject matter hereof. Any other express or implied agreements and understandings, negotiations, writings and commitments, either oral or written, in respect to such subject matter are superseded by the terms of this Agreement. The Schedules to this Agreement are incorporated herein by reference and shall be deemed a part of this Agreement. This Agreement may be amended, or any term hereof modified, only by a written instrument duly executed by authorized representative(s) of both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13.9 </w:t>
      </w:r>
      <w:r>
        <w:rPr>
          <w:rFonts w:ascii="Times New Roman" w:hAnsi="Times New Roman"/>
          <w:b/>
          <w:sz w:val="20"/>
        </w:rPr>
        <w:t>Headings</w:t>
      </w:r>
      <w:r>
        <w:rPr>
          <w:rFonts w:ascii="Times New Roman" w:hAnsi="Times New Roman"/>
          <w:sz w:val="20"/>
        </w:rPr>
        <w:t xml:space="preserve">. The captions to the several Articles, Sections and subsections hereof are not a part of this Agreement, but are merely for convenience to assist in locating and reading the several Articles and Sections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13.10 </w:t>
      </w:r>
      <w:r>
        <w:rPr>
          <w:rFonts w:ascii="Times New Roman" w:hAnsi="Times New Roman"/>
          <w:b/>
          <w:sz w:val="20"/>
        </w:rPr>
        <w:t>Independent Contractors</w:t>
      </w:r>
      <w:r>
        <w:rPr>
          <w:rFonts w:ascii="Times New Roman" w:hAnsi="Times New Roman"/>
          <w:sz w:val="20"/>
        </w:rPr>
        <w:t xml:space="preserve">. It is expressly agreed that Licensor and Company shall be independent contractors and that the relationship between the Parties shall not constitute a partnership, joint venture or agency. Neither Licensor nor Company shall have the authority to make any statements, representations or commitments of any kind, or to take any action that is binding on the other Party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13.11 </w:t>
      </w:r>
      <w:r>
        <w:rPr>
          <w:rFonts w:ascii="Times New Roman" w:hAnsi="Times New Roman"/>
          <w:b/>
          <w:sz w:val="20"/>
        </w:rPr>
        <w:t>Waiver</w:t>
      </w:r>
      <w:r>
        <w:rPr>
          <w:rFonts w:ascii="Times New Roman" w:hAnsi="Times New Roman"/>
          <w:sz w:val="20"/>
        </w:rPr>
        <w:t xml:space="preserve">. Any waiver of any provision of this Agreement shall be effective only if in writing and signed by Licensor and Company.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13.12 </w:t>
      </w:r>
      <w:r>
        <w:rPr>
          <w:rFonts w:ascii="Times New Roman" w:hAnsi="Times New Roman"/>
          <w:b/>
          <w:sz w:val="20"/>
        </w:rPr>
        <w:t>Waiver of Rule of Construction</w:t>
      </w:r>
      <w:r>
        <w:rPr>
          <w:rFonts w:ascii="Times New Roman" w:hAnsi="Times New Roman"/>
          <w:sz w:val="20"/>
        </w:rPr>
        <w:t xml:space="preserve">. Each Party has had the opportunity to consult with counsel in connection with the review, drafting and negotiation of this Agreement. Accordingly, the rule of construction that any ambiguity in this Agreement shall be construed against the drafting Party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13.13 </w:t>
      </w:r>
      <w:r>
        <w:rPr>
          <w:rFonts w:ascii="Times New Roman" w:hAnsi="Times New Roman"/>
          <w:b/>
          <w:sz w:val="20"/>
        </w:rPr>
        <w:t>Cumulative Remedies</w:t>
      </w:r>
      <w:r>
        <w:rPr>
          <w:rFonts w:ascii="Times New Roman" w:hAnsi="Times New Roman"/>
          <w:sz w:val="20"/>
        </w:rPr>
        <w:t xml:space="preserve">. No remedy referred to in this Agreement is intended to be exclusive, but each shall be cumulative and in addition to any other remedy referred to in this Agreement or otherwise available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13.14 </w:t>
      </w:r>
      <w:r>
        <w:rPr>
          <w:rFonts w:ascii="Times New Roman" w:hAnsi="Times New Roman"/>
          <w:b/>
          <w:sz w:val="20"/>
        </w:rPr>
        <w:t>Business Day Requirements</w:t>
      </w:r>
      <w:r>
        <w:rPr>
          <w:rFonts w:ascii="Times New Roman" w:hAnsi="Times New Roman"/>
          <w:sz w:val="20"/>
        </w:rPr>
        <w:t xml:space="preserve">. In the event that any notice or other action or omission is required to be taken by a Party under this Agreement on a day that is not a Business Day then such notice or other action or omission shall be deemed to be required to be taken on the next occurring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13.15 </w:t>
      </w:r>
      <w:r>
        <w:rPr>
          <w:rFonts w:ascii="Times New Roman" w:hAnsi="Times New Roman"/>
          <w:b/>
          <w:sz w:val="20"/>
        </w:rPr>
        <w:t>Further Actions</w:t>
      </w:r>
      <w:r>
        <w:rPr>
          <w:rFonts w:ascii="Times New Roman" w:hAnsi="Times New Roman"/>
          <w:sz w:val="20"/>
        </w:rPr>
        <w:t xml:space="preserve">. Each Party agrees to execute, acknowledge and deliver such further instruments, and to do all such other acts, as necessary or appropriate in order to carry out the purposes and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13.16 </w:t>
      </w:r>
      <w:r>
        <w:rPr>
          <w:rFonts w:ascii="Times New Roman" w:hAnsi="Times New Roman"/>
          <w:b/>
          <w:sz w:val="20"/>
        </w:rPr>
        <w:t>Construction</w:t>
      </w:r>
      <w:r>
        <w:rPr>
          <w:rFonts w:ascii="Times New Roman" w:hAnsi="Times New Roman"/>
          <w:sz w:val="20"/>
        </w:rPr>
        <w:t xml:space="preserve">.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or Schedules shall be construed to refer to Sections or Schedules of this Agreement, and references to this Agreement include all Schedules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whether by written agreement, letter, approved minutes or otherwise (but excluding e-mail and instant messaging), (j) references to any specific law, rule or regulation, or Section, section or other division thereof, shall be deemed to include the then-current amendments thereto or any replacement or successor law, rule or regulation thereof, and (k) the term “or” shall be interpreted in the inclusive sense commonly associated with the term “and/or.” This Agreement was prepared in the English language, which language shall govern the interpretation of, and any dispute regarding,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13.17 </w:t>
      </w:r>
      <w:r>
        <w:rPr>
          <w:rFonts w:ascii="Times New Roman" w:hAnsi="Times New Roman"/>
          <w:b/>
          <w:sz w:val="20"/>
        </w:rPr>
        <w:t>Counterparts</w:t>
      </w:r>
      <w:r>
        <w:rPr>
          <w:rFonts w:ascii="Times New Roman" w:hAnsi="Times New Roman"/>
          <w:sz w:val="20"/>
        </w:rPr>
        <w:t>. This Agreement may be executed in two (2) counterparts, each of which shall be deemed an original, but both of which together shall constitute one and the same instrument. Each Party shall be entitled to rely on the delivery of executed digital (</w:t>
      </w:r>
      <w:r>
        <w:rPr>
          <w:rFonts w:ascii="Times New Roman" w:hAnsi="Times New Roman"/>
          <w:i/>
          <w:sz w:val="20"/>
        </w:rPr>
        <w:t>e.g.</w:t>
      </w:r>
      <w:r>
        <w:rPr>
          <w:rFonts w:ascii="Times New Roman" w:hAnsi="Times New Roman"/>
          <w:sz w:val="20"/>
        </w:rPr>
        <w:t xml:space="preserve">, PDF) copies of counterpart execution pages of this Agreement and such digital copies shall be legally effective to create a valid and binding agreement among the Parties.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intending to be bound have caused this Agreement to be executed by their duly authorized representatives as of the Effective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RTW N</w:t>
            </w:r>
            <w:r>
              <w:rPr>
                <w:b/>
                <w:sz w:val="20"/>
              </w:rPr>
              <w:t>EWCO</w:t>
            </w:r>
            <w:r>
              <w:rPr>
                <w:b/>
              </w:rPr>
              <w:t>10, I</w:t>
            </w:r>
            <w:r>
              <w:rPr>
                <w:b/>
                <w:sz w:val="20"/>
              </w:rPr>
              <w:t>NC</w:t>
            </w:r>
            <w:r>
              <w:rPr>
                <w:b/>
              </w:rPr>
              <w:t>.</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Alice Lee</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w:t>
            </w:r>
            <w:r>
              <w:rPr>
                <w:b/>
                <w:sz w:val="20"/>
              </w:rPr>
              <w:t>OL</w:t>
            </w:r>
            <w:r>
              <w:rPr>
                <w:b/>
              </w:rPr>
              <w:t>T</w:t>
            </w:r>
            <w:r>
              <w:rPr>
                <w:b/>
                <w:sz w:val="20"/>
              </w:rPr>
              <w:t>ECH</w:t>
            </w:r>
            <w:r>
              <w:rPr>
                <w:b/>
              </w:rPr>
              <w:t xml:space="preserve"> T</w:t>
            </w:r>
            <w:r>
              <w:rPr>
                <w:b/>
                <w:sz w:val="20"/>
              </w:rPr>
              <w:t>HERAPEUTICS</w:t>
            </w:r>
            <w:r>
              <w:rPr>
                <w:b/>
              </w:rPr>
              <w:t xml:space="preserve"> C</w:t>
            </w:r>
            <w:r>
              <w:rPr>
                <w:b/>
                <w:sz w:val="20"/>
              </w:rPr>
              <w:t>O</w:t>
            </w:r>
            <w:r>
              <w:rPr>
                <w:b/>
              </w:rPr>
              <w:t>., L</w:t>
            </w:r>
            <w:r>
              <w:rPr>
                <w:b/>
                <w:sz w:val="20"/>
              </w:rPr>
              <w:t>TD</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Yuxuan Wu</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Yuxuan Wu</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Legal Representative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List of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8"/>
        <w:gridCol w:w="121"/>
        <w:gridCol w:w="8046"/>
      </w:tblGrid>
      <w:tr>
        <w:trPr/>
        <w:tc>
          <w:tcPr>
            <w:tcW w:w="20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46"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1.55:</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Know-How</w:t>
            </w:r>
          </w:p>
        </w:tc>
      </w:tr>
      <w:tr>
        <w:trPr>
          <w:trHeight w:val="120" w:hRule="atLeast"/>
        </w:trPr>
        <w:tc>
          <w:tcPr>
            <w:tcW w:w="2038" w:type="dxa"/>
            <w:tcBorders/>
            <w:vAlign w:val="center"/>
          </w:tcPr>
          <w:p>
            <w:pPr>
              <w:pStyle w:val="TableContents"/>
              <w:bidi w:val="0"/>
              <w:spacing w:before="0" w:after="283"/>
              <w:jc w:val="left"/>
              <w:rPr>
                <w:sz w:val="4"/>
                <w:szCs w:val="4"/>
              </w:rPr>
            </w:pPr>
            <w:r>
              <w:rPr>
                <w:sz w:val="4"/>
                <w:szCs w:val="4"/>
              </w:rPr>
            </w:r>
          </w:p>
        </w:tc>
        <w:tc>
          <w:tcPr>
            <w:tcW w:w="8167"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1.56:</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Patents</w:t>
            </w:r>
          </w:p>
        </w:tc>
      </w:tr>
      <w:tr>
        <w:trPr>
          <w:trHeight w:val="120" w:hRule="atLeast"/>
        </w:trPr>
        <w:tc>
          <w:tcPr>
            <w:tcW w:w="2038" w:type="dxa"/>
            <w:tcBorders/>
            <w:vAlign w:val="center"/>
          </w:tcPr>
          <w:p>
            <w:pPr>
              <w:pStyle w:val="TableContents"/>
              <w:bidi w:val="0"/>
              <w:spacing w:before="0" w:after="283"/>
              <w:jc w:val="left"/>
              <w:rPr>
                <w:sz w:val="4"/>
                <w:szCs w:val="4"/>
              </w:rPr>
            </w:pPr>
            <w:r>
              <w:rPr>
                <w:sz w:val="4"/>
                <w:szCs w:val="4"/>
              </w:rPr>
            </w:r>
          </w:p>
        </w:tc>
        <w:tc>
          <w:tcPr>
            <w:tcW w:w="8167"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283"/>
              <w:jc w:val="left"/>
              <w:rPr>
                <w:b/>
              </w:rPr>
            </w:pPr>
            <w:r>
              <w:rPr>
                <w:b/>
              </w:rPr>
              <w:t>Schedule 1.60:</w:t>
            </w:r>
          </w:p>
        </w:tc>
        <w:tc>
          <w:tcPr>
            <w:tcW w:w="121" w:type="dxa"/>
            <w:tcBorders/>
            <w:vAlign w:val="bottom"/>
          </w:tcPr>
          <w:p>
            <w:pPr>
              <w:pStyle w:val="TableContents"/>
              <w:bidi w:val="0"/>
              <w:spacing w:before="0" w:after="283"/>
              <w:jc w:val="left"/>
              <w:rPr/>
            </w:pPr>
            <w:r>
              <w:rPr/>
              <w:t>  </w:t>
            </w:r>
          </w:p>
        </w:tc>
        <w:tc>
          <w:tcPr>
            <w:tcW w:w="8046" w:type="dxa"/>
            <w:tcBorders/>
            <w:vAlign w:val="bottom"/>
          </w:tcPr>
          <w:p>
            <w:pPr>
              <w:pStyle w:val="TableContents"/>
              <w:bidi w:val="0"/>
              <w:spacing w:before="0" w:after="283"/>
              <w:jc w:val="left"/>
              <w:rPr>
                <w:b/>
              </w:rPr>
            </w:pPr>
            <w:r>
              <w:rPr>
                <w:b/>
              </w:rPr>
              <w:t>Licensed Therapeutic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1.55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Know-How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1.56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Patents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1.60 </w:t>
      </w:r>
    </w:p>
    <w:p>
      <w:pPr>
        <w:pStyle w:val="TextBody"/>
        <w:bidi w:val="0"/>
        <w:spacing w:before="0" w:after="0"/>
        <w:jc w:val="center"/>
        <w:rPr>
          <w:rFonts w:ascii="Times New Roman" w:hAnsi="Times New Roman"/>
          <w:b/>
          <w:sz w:val="20"/>
        </w:rPr>
      </w:pPr>
      <w:r>
        <w:rPr>
          <w:rFonts w:ascii="Times New Roman" w:hAnsi="Times New Roman"/>
          <w:b/>
          <w:sz w:val="20"/>
        </w:rPr>
        <w:t xml:space="preserve">Licensed Therapeutic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CERTAIN CONFIDENTIAL INFORMATION CONTAINED IN THIS DOCUMENT, </w:t>
      </w:r>
    </w:p>
    <w:p>
      <w:pPr>
        <w:pStyle w:val="TextBody"/>
        <w:bidi w:val="0"/>
        <w:spacing w:before="0" w:after="0"/>
        <w:jc w:val="center"/>
        <w:rPr>
          <w:rFonts w:ascii="Times New Roman" w:hAnsi="Times New Roman"/>
          <w:sz w:val="20"/>
        </w:rPr>
      </w:pPr>
      <w:r>
        <w:rPr>
          <w:rFonts w:ascii="Times New Roman" w:hAnsi="Times New Roman"/>
          <w:sz w:val="20"/>
        </w:rPr>
        <w:t xml:space="preserve">MARKED BY [***], HAS BEEN OMITTED BECAUSE IT IS BOTH (I) NOT MATERIAL </w:t>
      </w:r>
    </w:p>
    <w:p>
      <w:pPr>
        <w:pStyle w:val="TextBody"/>
        <w:bidi w:val="0"/>
        <w:spacing w:before="0" w:after="0"/>
        <w:jc w:val="center"/>
        <w:rPr>
          <w:rFonts w:ascii="Times New Roman" w:hAnsi="Times New Roman"/>
          <w:sz w:val="20"/>
        </w:rPr>
      </w:pPr>
      <w:r>
        <w:rPr>
          <w:rFonts w:ascii="Times New Roman" w:hAnsi="Times New Roman"/>
          <w:sz w:val="20"/>
        </w:rPr>
        <w:t xml:space="preserve">AND (II) IS THE TYPE THAT REGISTRANT TREATS AS PRIVATE OR CONFIDENTIAL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 </w:t>
      </w:r>
    </w:p>
    <w:p>
      <w:pPr>
        <w:pStyle w:val="TextBody"/>
        <w:bidi w:val="0"/>
        <w:spacing w:before="0" w:after="0"/>
        <w:jc w:val="right"/>
        <w:rPr>
          <w:rFonts w:ascii="Times New Roman" w:hAnsi="Times New Roman"/>
          <w:b/>
          <w:sz w:val="20"/>
        </w:rPr>
      </w:pPr>
      <w:bookmarkStart w:id="259" w:name="d108148dex1019.htm"/>
      <w:bookmarkStart w:id="260" w:name="ksd108148dex1019"/>
      <w:bookmarkEnd w:id="259"/>
      <w:bookmarkEnd w:id="260"/>
      <w:r>
        <w:rPr>
          <w:rFonts w:ascii="Times New Roman" w:hAnsi="Times New Roman"/>
          <w:b/>
          <w:sz w:val="20"/>
        </w:rPr>
        <w:t xml:space="preserve">Exhibit 10.19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2026 EQUITY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Purpose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2026 Equity Incentive Plan (the “</w:t>
      </w:r>
      <w:r>
        <w:rPr>
          <w:rFonts w:ascii="Times New Roman" w:hAnsi="Times New Roman"/>
          <w:b/>
          <w:sz w:val="20"/>
        </w:rPr>
        <w:t>Plan</w:t>
      </w:r>
      <w:r>
        <w:rPr>
          <w:rFonts w:ascii="Times New Roman" w:hAnsi="Times New Roman"/>
          <w:sz w:val="20"/>
        </w:rPr>
        <w:t>”) of RTW Newco10, Inc., a Delaware corporation (the “</w:t>
      </w:r>
      <w:r>
        <w:rPr>
          <w:rFonts w:ascii="Times New Roman" w:hAnsi="Times New Roman"/>
          <w:b/>
          <w:sz w:val="20"/>
        </w:rPr>
        <w:t>Company</w:t>
      </w:r>
      <w:r>
        <w:rPr>
          <w:rFonts w:ascii="Times New Roman" w:hAnsi="Times New Roman"/>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Times New Roman" w:hAnsi="Times New Roman"/>
          <w:b/>
          <w:sz w:val="20"/>
        </w:rPr>
        <w:t>Code</w:t>
      </w:r>
      <w:r>
        <w:rPr>
          <w:rFonts w:ascii="Times New Roman" w:hAnsi="Times New Roman"/>
          <w:sz w:val="20"/>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sz w:val="20"/>
        </w:rPr>
        <w:t>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Eligibility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of the Company’s employees, officers, directors, consultants and advisors are eligible to be granted options, restricted stock, restricted stock units, and other stock-based awards (each, an “</w:t>
      </w:r>
      <w:r>
        <w:rPr>
          <w:rFonts w:ascii="Times New Roman" w:hAnsi="Times New Roman"/>
          <w:b/>
          <w:sz w:val="20"/>
        </w:rPr>
        <w:t>Award</w:t>
      </w:r>
      <w:r>
        <w:rPr>
          <w:rFonts w:ascii="Times New Roman" w:hAnsi="Times New Roman"/>
          <w:sz w:val="20"/>
        </w:rPr>
        <w:t>”) under the Plan. Each person who receives an Award under the Plan is deemed a “</w:t>
      </w:r>
      <w:r>
        <w:rPr>
          <w:rFonts w:ascii="Times New Roman" w:hAnsi="Times New Roman"/>
          <w:b/>
          <w:sz w:val="20"/>
        </w:rPr>
        <w:t>Participant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Administration and Delegation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by Board of Directors</w:t>
      </w:r>
      <w:r>
        <w:rPr>
          <w:rFonts w:ascii="Times New Roman" w:hAnsi="Times New Roman"/>
          <w:sz w:val="20"/>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Appointment of Committees</w:t>
      </w:r>
      <w:r>
        <w:rPr>
          <w:rFonts w:ascii="Times New Roman" w:hAnsi="Times New Roman"/>
          <w:sz w:val="20"/>
        </w:rPr>
        <w:t>. To the extent permitted by applicable law, the Board may delegate any or all of its powers under the Plan to one or more committees or subcommittees of the Board (a “</w:t>
      </w:r>
      <w:r>
        <w:rPr>
          <w:rFonts w:ascii="Times New Roman" w:hAnsi="Times New Roman"/>
          <w:b/>
          <w:sz w:val="20"/>
        </w:rPr>
        <w:t>Committee</w:t>
      </w:r>
      <w:r>
        <w:rPr>
          <w:rFonts w:ascii="Times New Roman" w:hAnsi="Times New Roman"/>
          <w:sz w:val="20"/>
        </w:rPr>
        <w:t>”). All references in the Plan to the “</w:t>
      </w:r>
      <w:r>
        <w:rPr>
          <w:rFonts w:ascii="Times New Roman" w:hAnsi="Times New Roman"/>
          <w:b/>
          <w:sz w:val="20"/>
        </w:rPr>
        <w:t>Board</w:t>
      </w:r>
      <w:r>
        <w:rPr>
          <w:rFonts w:ascii="Times New Roman" w:hAnsi="Times New Roman"/>
          <w:sz w:val="20"/>
        </w:rPr>
        <w:t xml:space="preserve">” shall mean the Board or a Committee of the Board or the officers referred to in Section 3(c) to the extent that the Board’s powers or authority under the Plan have been delegated to such Committee or officers. The Board may abolish any Committee at any time, and notwithstanding any delegation of authority, the Board will always retain full authority to take any action permitted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to Officers</w:t>
      </w:r>
      <w:r>
        <w:rPr>
          <w:rFonts w:ascii="Times New Roman" w:hAnsi="Times New Roman"/>
          <w:sz w:val="20"/>
        </w:rPr>
        <w:t xml:space="preserve">.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w:t>
      </w:r>
      <w:r>
        <w:rPr>
          <w:rFonts w:ascii="Times New Roman" w:hAnsi="Times New Roman"/>
          <w:i/>
          <w:sz w:val="20"/>
        </w:rPr>
        <w:t>provided that</w:t>
      </w:r>
      <w:r>
        <w:rPr>
          <w:rFonts w:ascii="Times New Roman" w:hAnsi="Times New Roman"/>
          <w:sz w:val="20"/>
        </w:rPr>
        <w:t xml:space="preserve">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Times New Roman" w:hAnsi="Times New Roman"/>
          <w:i/>
          <w:sz w:val="20"/>
        </w:rPr>
        <w:t>provided further, however</w:t>
      </w:r>
      <w:r>
        <w:rPr>
          <w:rFonts w:ascii="Times New Roman" w:hAnsi="Times New Roman"/>
          <w:sz w:val="20"/>
        </w:rPr>
        <w:t>, that no officer shall be authorized to grant Awards to any “executive officer” of the Company (as defined by Rule 3b-7 under the Securities Exchange Act of 1934, as amended (the “</w:t>
      </w:r>
      <w:r>
        <w:rPr>
          <w:rFonts w:ascii="Times New Roman" w:hAnsi="Times New Roman"/>
          <w:b/>
          <w:sz w:val="20"/>
        </w:rPr>
        <w:t>Exchange Act</w:t>
      </w:r>
      <w:r>
        <w:rPr>
          <w:rFonts w:ascii="Times New Roman" w:hAnsi="Times New Roman"/>
          <w:sz w:val="20"/>
        </w:rPr>
        <w:t xml:space="preserve">”)) or to any “officer” of the Company (as defined by Rule 16a-1 under the Exchange Act). The Board may rescind any such delegation at any time.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Available for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of Shares</w:t>
      </w:r>
      <w:r>
        <w:rPr>
          <w:rFonts w:ascii="Times New Roman" w:hAnsi="Times New Roman"/>
          <w:sz w:val="20"/>
        </w:rPr>
        <w:t>. Subject to adjustment under Section 8 hereof, Awards may be made under the Plan covering up to 10,278,705 shares of common stock of the Company (the “</w:t>
      </w:r>
      <w:r>
        <w:rPr>
          <w:rFonts w:ascii="Times New Roman" w:hAnsi="Times New Roman"/>
          <w:b/>
          <w:sz w:val="20"/>
        </w:rPr>
        <w:t>Common Stock</w:t>
      </w:r>
      <w:r>
        <w:rPr>
          <w:rFonts w:ascii="Times New Roman" w:hAnsi="Times New Roman"/>
          <w:sz w:val="20"/>
        </w:rPr>
        <w:t>”), all of which may be granted as Incentive Stock Options (as defined below).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again be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Times New Roman" w:hAnsi="Times New Roman"/>
          <w:b/>
          <w:sz w:val="20"/>
        </w:rPr>
        <w:t>California Regulations</w:t>
      </w:r>
      <w:r>
        <w:rPr>
          <w:rFonts w:ascii="Times New Roman" w:hAnsi="Times New Roman"/>
          <w:sz w:val="20"/>
        </w:rPr>
        <w:t xml:space="preserve">”), to the extent applicable, based on the shares of the Company which are outstanding at the time the calculation is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Substitute Awards</w:t>
      </w:r>
      <w:r>
        <w:rPr>
          <w:rFonts w:ascii="Times New Roman" w:hAnsi="Times New Roman"/>
          <w:sz w:val="20"/>
        </w:rPr>
        <w:t xml:space="preserve">. In connection with a merger or consolidation of an entity with the Company or the acquisition by the Company of property or stock of an entity, the Board may grant Awards in substitution for any options or other stock or stock-based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options to purchase Common Stock (each, an “</w:t>
      </w:r>
      <w:r>
        <w:rPr>
          <w:rFonts w:ascii="Times New Roman" w:hAnsi="Times New Roman"/>
          <w:b/>
          <w:sz w:val="20"/>
        </w:rPr>
        <w:t>Option</w:t>
      </w:r>
      <w:r>
        <w:rPr>
          <w:rFonts w:ascii="Times New Roman" w:hAnsi="Times New Roman"/>
          <w:sz w:val="20"/>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shall be designated a “</w:t>
      </w:r>
      <w:r>
        <w:rPr>
          <w:rFonts w:ascii="Times New Roman" w:hAnsi="Times New Roman"/>
          <w:b/>
          <w:sz w:val="20"/>
        </w:rPr>
        <w:t>Nonstatutory Stock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Incentive Stock Options</w:t>
      </w:r>
      <w:r>
        <w:rPr>
          <w:rFonts w:ascii="Times New Roman" w:hAnsi="Times New Roman"/>
          <w:sz w:val="20"/>
        </w:rPr>
        <w:t>. An Option that the Board intends to be an “incentive stock option” as defined in Section 422 of the Code (an “</w:t>
      </w:r>
      <w:r>
        <w:rPr>
          <w:rFonts w:ascii="Times New Roman" w:hAnsi="Times New Roman"/>
          <w:b/>
          <w:sz w:val="20"/>
        </w:rPr>
        <w:t>Incentive Stock Option</w:t>
      </w:r>
      <w:r>
        <w:rPr>
          <w:rFonts w:ascii="Times New Roman" w:hAnsi="Times New Roman"/>
          <w:sz w:val="20"/>
        </w:rPr>
        <w:t xml:space="preserve">”) shall only be granted to employees of the Company (including any of the Company’s present or future parent or subsidiary corporations as defined in Sections 424(e) or (f) of the Code but excluding any other business venture (including, without limitation, joint venture or limited liability company) in which the Company has a controlling interest).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Options intended to qualify as Incentive Stock Options shall be subject to and shall be construed consistently with the requirements of Section 422 of the Code, and without limiting generality of the foregoing, such Options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Neither the Company nor the Board shall have any liability to a Participant, or any other party, (i) if an Option (or any part thereof) which is intended to qualify as an Incentive Stock Option fails to qualify as such or (ii) for any action or omission by the Company or Board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sz w:val="20"/>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(such employee, a “</w:t>
      </w:r>
      <w:r>
        <w:rPr>
          <w:rFonts w:ascii="Times New Roman" w:hAnsi="Times New Roman"/>
          <w:b/>
          <w:sz w:val="20"/>
        </w:rPr>
        <w:t>10% Holder</w:t>
      </w:r>
      <w:r>
        <w:rPr>
          <w:rFonts w:ascii="Times New Roman" w:hAnsi="Times New Roman"/>
          <w:sz w:val="20"/>
        </w:rPr>
        <w:t xml:space="preserve">”), the per share exercise price shall be no less than 110% of the Fair Market Value on the date the Option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Duration of Options</w:t>
      </w:r>
      <w:r>
        <w:rPr>
          <w:rFonts w:ascii="Times New Roman" w:hAnsi="Times New Roman"/>
          <w:sz w:val="20"/>
        </w:rPr>
        <w:t xml:space="preserve">. Each Option shall be exercisable at such times and subject to such terms and conditions as the Board may specify in the applicable option agreement, </w:t>
      </w:r>
      <w:r>
        <w:rPr>
          <w:rFonts w:ascii="Times New Roman" w:hAnsi="Times New Roman"/>
          <w:i/>
          <w:sz w:val="20"/>
        </w:rPr>
        <w:t>provided that</w:t>
      </w:r>
      <w:r>
        <w:rPr>
          <w:rFonts w:ascii="Times New Roman" w:hAnsi="Times New Roman"/>
          <w:sz w:val="20"/>
        </w:rPr>
        <w:t xml:space="preserve"> the term of any Option shall not exceed 10 years. In the case of an Incentive Stock Option granted to a 10% Holder, the term of the Option shall not exceed five years.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 of Option; Notification of Disposition</w:t>
      </w:r>
      <w:r>
        <w:rPr>
          <w:rFonts w:ascii="Times New Roman" w:hAnsi="Times New Roman"/>
          <w:sz w:val="20"/>
        </w:rPr>
        <w:t xml:space="preserve">.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 share of Common Stock. Shares of Common Stock subject to the Option will be delivered by the Company as soon as practicable following exercise.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Upon Exercise.</w:t>
      </w:r>
      <w:r>
        <w:rPr>
          <w:rFonts w:ascii="Times New Roman" w:hAnsi="Times New Roman"/>
          <w:sz w:val="20"/>
        </w:rPr>
        <w:t xml:space="preserve"> Common Stock purchased upon the exercise of an Option granted under the Plan shall be paid for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in cash or by check, payable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when the Common Stock is registered under the Exchange Act, except as may otherwise be provided in the applicable option agreement, by (A) delivery of an irrevocable and unconditional undertaking by a creditworthy broker acceptable to the Company to deliver promptly to the Company sufficient funds to pay the exercise price and any required tax withholding or (B) delivery by the Participant to the Company of a copy of irrevocable and unconditional instructions to a creditworthy broker acceptable to the Company to deliver promptly to the Company cash or a check sufficient to pay the exercise price and any required tax withholding; </w:t>
      </w:r>
    </w:p>
    <w:p>
      <w:pPr>
        <w:pStyle w:val="TextBody"/>
        <w:bidi w:val="0"/>
        <w:spacing w:before="240" w:after="0"/>
        <w:jc w:val="left"/>
        <w:rPr>
          <w:rFonts w:ascii="Times New Roman" w:hAnsi="Times New Roman"/>
          <w:sz w:val="20"/>
        </w:rPr>
      </w:pPr>
      <w:r>
        <w:rPr>
          <w:rFonts w:ascii="Times New Roman" w:hAnsi="Times New Roman"/>
          <w:sz w:val="20"/>
        </w:rPr>
        <w:t>(iii) 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Times New Roman" w:hAnsi="Times New Roman"/>
          <w:b/>
          <w:sz w:val="20"/>
        </w:rPr>
        <w:t>Fair Market Value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(A) such method of payment is then permitted under applicable law, (B) such Common Stock, if acquired directly from the Company, was owned by the Participant for such minimum period of time, if any, as may be established by the Board in its discretion and (C) such Common Stock is not subject to any repurchase, forfeiture, unfulfilled vesting or other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permitted by applicable law and provided for in the applicable option agreement or approved by the Board, in its sole discretion, by (A) delivery of a promissory note of the Participant to the Company on terms determined by the Board, or (B) payment of such other lawful consideration as the Board may determine; </w:t>
      </w:r>
    </w:p>
    <w:p>
      <w:pPr>
        <w:pStyle w:val="TextBody"/>
        <w:bidi w:val="0"/>
        <w:spacing w:before="240" w:after="0"/>
        <w:jc w:val="left"/>
        <w:rPr>
          <w:rFonts w:ascii="Times New Roman" w:hAnsi="Times New Roman"/>
          <w:sz w:val="20"/>
        </w:rPr>
      </w:pPr>
      <w:r>
        <w:rPr>
          <w:rFonts w:ascii="Times New Roman" w:hAnsi="Times New Roman"/>
          <w:sz w:val="20"/>
        </w:rPr>
        <w:t xml:space="preserve">(v) to the extent provided for in the applicable option agreement or approved by the Board, in its sole discretion, by having the Company retain from the shares of Common Stock otherwise issuable upon the exercise of such Option a number of shares valued at their Fair Market Value; or </w:t>
      </w:r>
    </w:p>
    <w:p>
      <w:pPr>
        <w:pStyle w:val="TextBody"/>
        <w:bidi w:val="0"/>
        <w:spacing w:before="240" w:after="0"/>
        <w:jc w:val="left"/>
        <w:rPr>
          <w:rFonts w:ascii="Times New Roman" w:hAnsi="Times New Roman"/>
          <w:sz w:val="20"/>
        </w:rPr>
      </w:pPr>
      <w:r>
        <w:rPr>
          <w:rFonts w:ascii="Times New Roman" w:hAnsi="Times New Roman"/>
          <w:sz w:val="20"/>
        </w:rPr>
        <w:t xml:space="preserve">(vi) by any combination of the above permitted forms of payment or any other lawful consideration as approved by the Board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Early Exercise of Options</w:t>
      </w:r>
      <w:r>
        <w:rPr>
          <w:rFonts w:ascii="Times New Roman" w:hAnsi="Times New Roman"/>
          <w:sz w:val="20"/>
        </w:rPr>
        <w:t xml:space="preserve">.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Restricted Stock; Restricted Stock Units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Awards entitling recipients to acquire shares of Common Stock (“</w:t>
      </w:r>
      <w:r>
        <w:rPr>
          <w:rFonts w:ascii="Times New Roman" w:hAnsi="Times New Roman"/>
          <w:b/>
          <w:sz w:val="20"/>
        </w:rPr>
        <w:t>Restricted Stock</w:t>
      </w:r>
      <w:r>
        <w:rPr>
          <w:rFonts w:ascii="Times New Roman" w:hAnsi="Times New Roman"/>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or following the time such Award vests (“</w:t>
      </w:r>
      <w:r>
        <w:rPr>
          <w:rFonts w:ascii="Times New Roman" w:hAnsi="Times New Roman"/>
          <w:b/>
          <w:sz w:val="20"/>
        </w:rPr>
        <w:t>Restricted Stock Units</w:t>
      </w:r>
      <w:r>
        <w:rPr>
          <w:rFonts w:ascii="Times New Roman" w:hAnsi="Times New Roman"/>
          <w:sz w:val="20"/>
        </w:rPr>
        <w:t>” or “</w:t>
      </w:r>
      <w:r>
        <w:rPr>
          <w:rFonts w:ascii="Times New Roman" w:hAnsi="Times New Roman"/>
          <w:b/>
          <w:sz w:val="20"/>
        </w:rPr>
        <w:t>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w:t>
      </w:r>
      <w:r>
        <w:rPr>
          <w:rFonts w:ascii="Times New Roman" w:hAnsi="Times New Roman"/>
          <w:sz w:val="20"/>
        </w:rPr>
        <w:t xml:space="preserve">. The Board shall determine and set forth in the applicable award agreement the terms and conditions of Restricted Stock or RSUs, including the conditions for vesting and repurchase (or forfeiture) and the issue price,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Provisions Relating to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w:t>
      </w:r>
      <w:r>
        <w:rPr>
          <w:rFonts w:ascii="Times New Roman" w:hAnsi="Times New Roman"/>
          <w:sz w:val="20"/>
        </w:rPr>
        <w:t xml:space="preserve">.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Common Stock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Stock Certificates</w:t>
      </w:r>
      <w:r>
        <w:rPr>
          <w:rFonts w:ascii="Times New Roman" w:hAnsi="Times New Roman"/>
          <w:sz w:val="20"/>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hAnsi="Times New Roman"/>
          <w:b/>
          <w:sz w:val="20"/>
        </w:rPr>
        <w:t>Designated Beneficiary</w:t>
      </w:r>
      <w:r>
        <w:rPr>
          <w:rFonts w:ascii="Times New Roman" w:hAnsi="Times New Roman"/>
          <w:sz w:val="20"/>
        </w:rPr>
        <w:t xml:space="preserve">”). In the absence of an effective designation by a Participant, “Designated Beneficiary” shall mean the Participant’s estate.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Provisions Relating to 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Settlement</w:t>
      </w:r>
      <w:r>
        <w:rPr>
          <w:rFonts w:ascii="Times New Roman" w:hAnsi="Times New Roman"/>
          <w:sz w:val="20"/>
        </w:rPr>
        <w:t xml:space="preserve">. Upon or following the vesting of a Restricted Stock Unit, the Participant shall be entitled to receive from the Company one share of Common Stock or an amount of cash or other property equal to the Fair Market Value of one share of Common Stock on the settlement date (or such other date), as the Board shall determine and as provided in the applicable award agreement. The Board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Voting Rights</w:t>
      </w:r>
      <w:r>
        <w:rPr>
          <w:rFonts w:ascii="Times New Roman" w:hAnsi="Times New Roman"/>
          <w:sz w:val="20"/>
        </w:rPr>
        <w:t>. A Participant shall have no voting rights with respect to any Restricted Stock Units unless and until shares are delivered in settlement thereof.</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Dividend Equivalents</w:t>
      </w:r>
      <w:r>
        <w:rPr>
          <w:rFonts w:ascii="Times New Roman" w:hAnsi="Times New Roman"/>
          <w:sz w:val="20"/>
        </w:rPr>
        <w:t>. To the extent provided by the Board,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w:t>
      </w:r>
      <w:r>
        <w:rPr>
          <w:rFonts w:ascii="Times New Roman" w:hAnsi="Times New Roman"/>
          <w:b/>
          <w:sz w:val="20"/>
        </w:rPr>
        <w:t>Dividend Equivalents</w:t>
      </w:r>
      <w:r>
        <w:rPr>
          <w:rFonts w:ascii="Times New Roman" w:hAnsi="Times New Roman"/>
          <w:sz w:val="20"/>
        </w:rPr>
        <w:t xml:space="preserve">” means a right granted to a Participant to receive the equivalent value (in cash or shares of Common Stock) of dividends paid on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Other Awards of shares of Common Stock, and other Awards that are valued in whole or in part by reference to, or are otherwise based on, shares of Common Stock or other property, may be granted hereunder to Participants (“</w:t>
      </w:r>
      <w:r>
        <w:rPr>
          <w:rFonts w:ascii="Times New Roman" w:hAnsi="Times New Roman"/>
          <w:b/>
          <w:sz w:val="20"/>
        </w:rPr>
        <w:t>Other Stock-Based Awards</w:t>
      </w:r>
      <w:r>
        <w:rPr>
          <w:rFonts w:ascii="Times New Roman" w:hAnsi="Times New Roman"/>
          <w:sz w:val="20"/>
        </w:rPr>
        <w:t xml:space="preserve">”), including without limitation stock appreciation rights (which shall be subject to the same limitations applicable to awards of Nonstatutory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transfer restrictions, vesting conditions and other terms and conditions applicable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Adjustments for Changes in Common Stock and Certain Other Events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In the event of any stock split, reverse stock split, stock dividend, recapitalization, combination of shares, reclassification of shares, spin-off, merger, consolidation, liquidation, reorganization,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other outstanding Award, and (iv) the terms of each other outstanding Award shall be equitably adjusted by the Company (or substituted Awards may be made, if applicable) in the manner determined by the Board; </w:t>
      </w:r>
      <w:r>
        <w:rPr>
          <w:rFonts w:ascii="Times New Roman" w:hAnsi="Times New Roman"/>
          <w:i/>
          <w:sz w:val="20"/>
        </w:rPr>
        <w:t>provided that</w:t>
      </w:r>
      <w:r>
        <w:rPr>
          <w:rFonts w:ascii="Times New Roman" w:hAnsi="Times New Roman"/>
          <w:sz w:val="20"/>
        </w:rPr>
        <w:t xml:space="preserve">, unless otherwise determined by the Board, such changes to the Options shall comply with Section 1.424-1 of the Treasury Regulations and Section 409A of the Code.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 Participant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Reorganization Events and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w:t>
      </w:r>
      <w:r>
        <w:rPr>
          <w:rFonts w:ascii="Times New Roman" w:hAnsi="Times New Roman"/>
          <w:sz w:val="20"/>
        </w:rPr>
        <w:t xml:space="preserve">” shall have the meaning set forth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(B) A “</w:t>
      </w:r>
      <w:r>
        <w:rPr>
          <w:rFonts w:ascii="Times New Roman" w:hAnsi="Times New Roman"/>
          <w:b/>
          <w:sz w:val="20"/>
        </w:rPr>
        <w:t>Change in Control</w:t>
      </w:r>
      <w:r>
        <w:rPr>
          <w:rFonts w:ascii="Times New Roman" w:hAnsi="Times New Roman"/>
          <w:sz w:val="20"/>
        </w:rPr>
        <w:t xml:space="preserve">” means, except as otherwise provided in an Award agreement, the occurrence of any one of the following events: </w:t>
      </w:r>
    </w:p>
    <w:p>
      <w:pPr>
        <w:pStyle w:val="TextBody"/>
        <w:bidi w:val="0"/>
        <w:spacing w:before="120" w:after="0"/>
        <w:jc w:val="left"/>
        <w:rPr>
          <w:rFonts w:ascii="Times New Roman" w:hAnsi="Times New Roman"/>
          <w:sz w:val="20"/>
        </w:rPr>
      </w:pPr>
      <w:r>
        <w:rPr>
          <w:rFonts w:ascii="Times New Roman" w:hAnsi="Times New Roman"/>
          <w:sz w:val="20"/>
        </w:rPr>
        <w:t>(I) any Person (as defined below) (other than any Designated Affiliate (as defined below)) is or becomes the Beneficial Owner, directly or indirectly, of securities of the Company (not including the securities beneficially owned by such Person or any securities acquired directly from the Company or any entity in which the Company has a substantial direct or indirect equity interest, as determined by the Board from time to time (an “</w:t>
      </w:r>
      <w:r>
        <w:rPr>
          <w:rFonts w:ascii="Times New Roman" w:hAnsi="Times New Roman"/>
          <w:b/>
          <w:sz w:val="20"/>
        </w:rPr>
        <w:t>Affiliate</w:t>
      </w:r>
      <w:r>
        <w:rPr>
          <w:rFonts w:ascii="Times New Roman" w:hAnsi="Times New Roman"/>
          <w:sz w:val="20"/>
        </w:rPr>
        <w:t xml:space="preserve">”)) representing 50% or more of the combined voting power of the Company’s then outstanding securities, excluding any Person who becomes such a Beneficial Owner in connection with a transaction described in clause (III)(1) or (2) below; </w:t>
      </w:r>
    </w:p>
    <w:p>
      <w:pPr>
        <w:pStyle w:val="TextBody"/>
        <w:bidi w:val="0"/>
        <w:spacing w:before="24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(1) individuals who, on the Effective Date (as defined below), constitute the Board and (2)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with any Designated Affiliate), other than (1)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 (2) a reverse merger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(1) an entity, at least 50% of the combined voting power of the voting securities of which is owned by stockholders of the Company in substantially the same proportions as their ownership of the Company immediately prior to such sale or (2) any Designated Affiliate.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Designated Affiliates</w:t>
      </w:r>
      <w:r>
        <w:rPr>
          <w:rFonts w:ascii="Times New Roman" w:hAnsi="Times New Roman"/>
          <w:sz w:val="20"/>
        </w:rPr>
        <w:t>” means Fairmount Healthcare Fund II, L.P., its respective Controlled Affiliates, and any entity in which any such entity has a substantial direct or indirect equity interest, as determined by the Board from time to time; provided, however, that Fairmount Healthcare Fund II, L.P., its Controlled Affiliates, and any entity in which any such entity has a substantial direct or indirect equity interest, as determined by the Board from time to time, will cease to be Designated Affiliates at the time they no longer are the Beneficial Owner of securities of the Company represents at least 10% of the combined voting power of the Company’s then outstanding securities. For purposes of this definition, “</w:t>
      </w:r>
      <w:r>
        <w:rPr>
          <w:rFonts w:ascii="Times New Roman" w:hAnsi="Times New Roman"/>
          <w:b/>
          <w:sz w:val="20"/>
        </w:rPr>
        <w:t>Controlled Affiliates</w:t>
      </w:r>
      <w:r>
        <w:rPr>
          <w:rFonts w:ascii="Times New Roman" w:hAnsi="Times New Roman"/>
          <w:sz w:val="20"/>
        </w:rPr>
        <w:t xml:space="preserve">” means any Person referred to in the preceding sentence that, directly or indirectly, through one or more intermediaries, is controlling, controlled by, or under common control with, such other Person.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Person</w:t>
      </w:r>
      <w:r>
        <w:rPr>
          <w:rFonts w:ascii="Times New Roman" w:hAnsi="Times New Roman"/>
          <w:sz w:val="20"/>
        </w:rPr>
        <w:t xml:space="preserve">” shall have the meaning given in Section 3(a)(9) of the Exchange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240" w:after="0"/>
        <w:jc w:val="left"/>
        <w:rPr>
          <w:rFonts w:ascii="Times New Roman" w:hAnsi="Times New Roman"/>
          <w:sz w:val="20"/>
        </w:rPr>
      </w:pPr>
      <w:r>
        <w:rPr>
          <w:rFonts w:ascii="Times New Roman" w:hAnsi="Times New Roman"/>
          <w:sz w:val="20"/>
        </w:rPr>
        <w:t>(E) A “</w:t>
      </w:r>
      <w:r>
        <w:rPr>
          <w:rFonts w:ascii="Times New Roman" w:hAnsi="Times New Roman"/>
          <w:b/>
          <w:sz w:val="20"/>
        </w:rPr>
        <w:t>Reorganization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(III) a merger, reorganization or consolidation pursuant to which all or substantially all of the Persons who were Beneficial Owners of the Company’s outstanding voting power immediately prior to such transaction do not own, directly or indirectly, a majority (determined on an as-converted basis) of the outstanding voting power of the surviving or resulting entity (or its ultimate parent, if applicable), (IV) the acquisition of all or a majority of the outstanding voting stock of the Company in a single transaction or a series of a related transactions by a Person or group of Persons, or (V) any other acquisition of the business of the Company, as determined by the Board; </w:t>
      </w:r>
      <w:r>
        <w:rPr>
          <w:rFonts w:ascii="Times New Roman" w:hAnsi="Times New Roman"/>
          <w:i/>
          <w:sz w:val="20"/>
        </w:rPr>
        <w:t>provided, however</w:t>
      </w:r>
      <w:r>
        <w:rPr>
          <w:rFonts w:ascii="Times New Roman" w:hAnsi="Times New Roman"/>
          <w:sz w:val="20"/>
        </w:rPr>
        <w:t xml:space="preserve">, that the first firm commitment underwritten public offering pursuant to an effective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under the Securities Act of 1933, as amended, covering the offer and sale by the Company of its equity securities, as a result of or following which the Common Stock shall be public, any subsequent public offering or another capital raising event, or a merger effected solely to change the Company’s domicile shall not constitute a “Reorganization Event.”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Consequences of a Reorganization Event or Change in Control on Awards</w:t>
      </w:r>
      <w:r>
        <w:rPr>
          <w:rFonts w:ascii="Times New Roman" w:hAnsi="Times New Roman"/>
          <w:sz w:val="20"/>
        </w:rPr>
        <w:t xml:space="preserve">. In connection with a Reorganization Event and/or a Change in Control, the Board may take any one or more of the following actions as to all or any (or any portion of) outstanding Awards on such terms as the Board determines: (A) provide that Awards shall be assumed, or substantially equivalent Awards shall be substituted, by the acquiring or succeeding corporation (or an affiliate thereof); </w:t>
      </w:r>
      <w:r>
        <w:rPr>
          <w:rFonts w:ascii="Times New Roman" w:hAnsi="Times New Roman"/>
          <w:i/>
          <w:sz w:val="20"/>
        </w:rPr>
        <w:t>provided that</w:t>
      </w:r>
      <w:r>
        <w:rPr>
          <w:rFonts w:ascii="Times New Roman" w:hAnsi="Times New Roman"/>
          <w:sz w:val="20"/>
        </w:rPr>
        <w:t>, unless otherwise determined by the Board, such assumption or substitution of the Options shall comply with Section 1.424-1 of the Treasury Regulations and Section 409A of the Code, (B) upon written notice to a Participant, provide that the Participant’s unexercised Awards will terminate immediately prior to the consummation of such Reorganization Event unless exercised by the Participant within a specified period following the date of such notice, (C) provide that outstanding Awards shall become vested, exercisable, realizable, or deliverable, or restrictions applicable to an Award shall lapse, in whole or in part prior to or upon such Reorganization Event, (D) in the event of a Reorganization Event under the terms of which holders of Common Stock will receive upon consummation thereof a cash payment for each share surrendered in the Reorganization Event (the “</w:t>
      </w:r>
      <w:r>
        <w:rPr>
          <w:rFonts w:ascii="Times New Roman" w:hAnsi="Times New Roman"/>
          <w:b/>
          <w:sz w:val="20"/>
        </w:rPr>
        <w:t>Acquisition Price</w:t>
      </w:r>
      <w:r>
        <w:rPr>
          <w:rFonts w:ascii="Times New Roman" w:hAnsi="Times New Roman"/>
          <w:sz w:val="20"/>
        </w:rPr>
        <w:t xml:space="preserve">”), make or provide for a cash payment to a Participant equal to the excess, if any, of (I) the Acquisition Price times the number of shares of Common Stock subject to the Participant’s Awards (to the extent the exercise price does not equal or exceed the Acquisition Price) over (II) the aggregate exercise price of all such outstanding Awards and any applicable tax withholdings, in exchange for the termination of such Awards (and the Board may cancel and terminate without payment or consideration any Award with an exercise price equal to or in excess of the Acquisition Price), (E) provide that, in connection with a liquidation or dissolution of the Company, Awards shall convert into the right to receive liquidation proceeds (if applicable, net of the exercise price thereof and any applicable tax withholdings) and (F) any combination of the foregoing. In taking any of the actions permitted under this Section 8(b), the Board shall not be obligated by the Plan to treat all Awards, all Awards held by a Participant, or all Awards of the same type, identically.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clause (A) above, an Option shall be considered assumed if, following consummation of the Reorganization Event or Change in Control, the Option confers the right to purchase, for each share of Common Stock subject to the Option immediately prior to the consummation of the Reorganization Event or Change in Control, the consideration (whether cash, securities or other property) received as a result of the Reorganization Event or Change in Control by holders of Common Stock for each share of Common Stock held immediately prior to the consummation of the Reorganization Event or Change in Control (and if holders were offered a choice of consideration, the type of consideration chosen by the holders of a majority of the outstanding shares of Common Stock); </w:t>
      </w:r>
      <w:r>
        <w:rPr>
          <w:rFonts w:ascii="Times New Roman" w:hAnsi="Times New Roman"/>
          <w:i/>
          <w:sz w:val="20"/>
        </w:rPr>
        <w:t>provided, however</w:t>
      </w:r>
      <w:r>
        <w:rPr>
          <w:rFonts w:ascii="Times New Roman" w:hAnsi="Times New Roman"/>
          <w:sz w:val="20"/>
        </w:rPr>
        <w:t xml:space="preserve">, that if the consideration received as a result of the Reorganization Event or Change in Control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Provisions Applicable to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 of Awards</w:t>
      </w:r>
      <w:r>
        <w:rPr>
          <w:rFonts w:ascii="Times New Roman" w:hAnsi="Times New Roman"/>
          <w:sz w:val="20"/>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Notwithstanding the foregoing, as permitted by the Committee, a Participant may transfer or assign an Award as a gift to any “family member” (as such term is defined in Rule 701 promulgated under the Securities Act)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References to a Participant, to the extent relevant in the context, shall include references to authorized transferees.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Documentation</w:t>
      </w:r>
      <w:r>
        <w:rPr>
          <w:rFonts w:ascii="Times New Roman" w:hAnsi="Times New Roman"/>
          <w:sz w:val="20"/>
        </w:rPr>
        <w:t xml:space="preserve">. Each Award shall be evidenced in such form (written, electronic or otherwise) as the Board shall determine. Each Award may contain terms and conditions in addition to those set forth in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Discretion</w:t>
      </w:r>
      <w:r>
        <w:rPr>
          <w:rFonts w:ascii="Times New Roman" w:hAnsi="Times New Roman"/>
          <w:sz w:val="20"/>
        </w:rPr>
        <w:t xml:space="preserve">.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Status</w:t>
      </w:r>
      <w:r>
        <w:rPr>
          <w:rFonts w:ascii="Times New Roman" w:hAnsi="Times New Roman"/>
          <w:sz w:val="20"/>
        </w:rPr>
        <w:t xml:space="preserve">.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spacing w:before="240" w:after="0"/>
        <w:jc w:val="left"/>
        <w:rPr>
          <w:rFonts w:ascii="Times New Roman" w:hAnsi="Times New Roman"/>
          <w:sz w:val="20"/>
        </w:rPr>
      </w:pPr>
      <w:r>
        <w:rPr>
          <w:rFonts w:ascii="Times New Roman" w:hAnsi="Times New Roman"/>
          <w:sz w:val="20"/>
        </w:rPr>
        <w:t>(i) For purposes of the Plan, “</w:t>
      </w:r>
      <w:r>
        <w:rPr>
          <w:rFonts w:ascii="Times New Roman" w:hAnsi="Times New Roman"/>
          <w:b/>
          <w:sz w:val="20"/>
        </w:rPr>
        <w:t>Cause</w:t>
      </w:r>
      <w:r>
        <w:rPr>
          <w:rFonts w:ascii="Times New Roman" w:hAnsi="Times New Roman"/>
          <w:sz w:val="20"/>
        </w:rPr>
        <w:t xml:space="preserve">” has the meaning set forth in the written employment, offer, services or severance agreement or letter between the Participant and the Company or its subsidiary, or in any severance plan in which the Participant participates, or if there is no such agreement or plan or no such term is defined in such agreement or plan, means (A) the Participant’s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(B) the Participant’s conviction or plea of no contest to (1) a felony or (2) any misdemeanor involving moral turpitude, deceit, dishonesty or fraud; (C) the Participant’s failure to perform in all material respects the Participant’s assigned duties and responsibilities; (D) the Participant’s gross negligence, willful misconduct that results in or is reasonably anticipated to result in harm to the Company; or (E) the Participant’s violation of any material provision of any agreement(s) between the Participant and the Company or its subsidiary or any Company policies including, without limitation, agreements relating to non-competition, non-solicitation, non-disparagement, non-disclosure and/or assignment of inventions or policies related to ethics or workplace conduct. </w:t>
      </w:r>
    </w:p>
    <w:p>
      <w:pPr>
        <w:pStyle w:val="TextBody"/>
        <w:bidi w:val="0"/>
        <w:spacing w:before="240" w:after="0"/>
        <w:jc w:val="left"/>
        <w:rPr>
          <w:rFonts w:ascii="Times New Roman" w:hAnsi="Times New Roman"/>
          <w:sz w:val="20"/>
        </w:rPr>
      </w:pPr>
      <w:r>
        <w:rPr>
          <w:rFonts w:ascii="Times New Roman" w:hAnsi="Times New Roman"/>
          <w:sz w:val="20"/>
        </w:rPr>
        <w:t>(ii) For purposes of the Plan, “</w:t>
      </w:r>
      <w:r>
        <w:rPr>
          <w:rFonts w:ascii="Times New Roman" w:hAnsi="Times New Roman"/>
          <w:b/>
          <w:sz w:val="20"/>
        </w:rPr>
        <w:t>Disability</w:t>
      </w:r>
      <w:r>
        <w:rPr>
          <w:rFonts w:ascii="Times New Roman" w:hAnsi="Times New Roman"/>
          <w:sz w:val="20"/>
        </w:rPr>
        <w:t xml:space="preserve">” shall mean a permanent and total disability within the meaning of Section 22(e)(3)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Withholding</w:t>
      </w:r>
      <w:r>
        <w:rPr>
          <w:rFonts w:ascii="Times New Roman" w:hAnsi="Times New Roman"/>
          <w:sz w:val="20"/>
        </w:rPr>
        <w:t xml:space="preserve">.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to additional withholding on the Participant’s salary or wages, or from proceeds from the sale of Common Stock issued pursuant to an Award; (iv) delivery of shares of Common Stock, including shares retained from the Award creating the tax obligation, valued at their Fair Market Value; </w:t>
      </w:r>
      <w:r>
        <w:rPr>
          <w:rFonts w:ascii="Times New Roman" w:hAnsi="Times New Roman"/>
          <w:i/>
          <w:sz w:val="20"/>
        </w:rPr>
        <w:t>provided, however</w:t>
      </w:r>
      <w:r>
        <w:rPr>
          <w:rFonts w:ascii="Times New Roman" w:hAnsi="Times New Roman"/>
          <w:sz w:val="20"/>
        </w:rPr>
        <w:t xml:space="preserve">, except as otherwise provided by the Board, that the total tax withholding where stock is being used to satisfy such tax obligations cannot exceed the Company’s maximum statutory withholding obligations (based on maximum statutory withholding rates for federal and state tax purposes, including payroll taxes, that are applicable to such supplemental taxable income), and </w:t>
      </w:r>
      <w:r>
        <w:rPr>
          <w:rFonts w:ascii="Times New Roman" w:hAnsi="Times New Roman"/>
          <w:i/>
          <w:sz w:val="20"/>
        </w:rPr>
        <w:t>provided, further</w:t>
      </w:r>
      <w:r>
        <w:rPr>
          <w:rFonts w:ascii="Times New Roman" w:hAnsi="Times New Roman"/>
          <w:sz w:val="20"/>
        </w:rPr>
        <w:t xml:space="preserve">, shares surrendered to satisfy tax withholding requirements cannot be subject to any repurchase, forfeiture, unfulfilled vesting or other similar requirements; or (v) by such other method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(A) the Board determines that the action, taking into account any related action, would not materially and adversely affect the Participant’s rights under the Plan, (B) the change is permitted under Section 8 hereof, or (C) the change is to ensure that an Option intended to qualify as an Incentive Stock Option qualifies as such. </w:t>
      </w:r>
    </w:p>
    <w:p>
      <w:pPr>
        <w:pStyle w:val="TextBody"/>
        <w:bidi w:val="0"/>
        <w:spacing w:before="240" w:after="0"/>
        <w:jc w:val="left"/>
        <w:rPr>
          <w:rFonts w:ascii="Times New Roman" w:hAnsi="Times New Roman"/>
          <w:sz w:val="20"/>
        </w:rPr>
      </w:pPr>
      <w:r>
        <w:rPr>
          <w:rFonts w:ascii="Times New Roman" w:hAnsi="Times New Roman"/>
          <w:sz w:val="20"/>
        </w:rPr>
        <w:t xml:space="preserve">(ii) 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as to which such requisite authority was not obtained.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Acceleration</w:t>
      </w:r>
      <w:r>
        <w:rPr>
          <w:rFonts w:ascii="Times New Roman" w:hAnsi="Times New Roman"/>
          <w:sz w:val="20"/>
        </w:rPr>
        <w:t xml:space="preserve">. The Board may at any time provide that any Award shall become immediately exercisable in full or in part, free of some or all restrictions or conditions, or otherwise realizable in full or in part,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 To Employment or Other Status</w:t>
      </w:r>
      <w:r>
        <w:rPr>
          <w:rFonts w:ascii="Times New Roman" w:hAnsi="Times New Roman"/>
          <w:sz w:val="20"/>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Stockholder</w:t>
      </w:r>
      <w:r>
        <w:rPr>
          <w:rFonts w:ascii="Times New Roman" w:hAnsi="Times New Roman"/>
          <w:sz w:val="20"/>
        </w:rPr>
        <w:t xml:space="preserve">.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Board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Board in order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 Date and Term of Plan</w:t>
      </w:r>
      <w:r>
        <w:rPr>
          <w:rFonts w:ascii="Times New Roman" w:hAnsi="Times New Roman"/>
          <w:sz w:val="20"/>
        </w:rPr>
        <w:t>. The Plan shall become effective on the date on which it is adopted by the Board (the “</w:t>
      </w:r>
      <w:r>
        <w:rPr>
          <w:rFonts w:ascii="Times New Roman" w:hAnsi="Times New Roman"/>
          <w:b/>
          <w:sz w:val="20"/>
        </w:rPr>
        <w:t>Effective Date</w:t>
      </w:r>
      <w:r>
        <w:rPr>
          <w:rFonts w:ascii="Times New Roman" w:hAnsi="Times New Roman"/>
          <w:sz w:val="20"/>
        </w:rPr>
        <w:t xml:space="preserve">”). No Awards shall be granted under the Plan after the expiration of 10 years from the earlier of (i) the Effective Date or (ii) the date the Plan was approved by the Company’s stockholders, but Awards previously granted may extend beyond that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Plan</w:t>
      </w:r>
      <w:r>
        <w:rPr>
          <w:rFonts w:ascii="Times New Roman" w:hAnsi="Times New Roman"/>
          <w:sz w:val="20"/>
        </w:rPr>
        <w:t xml:space="preserve">. The Board may amend, suspend or terminate the Plan or any portion thereof at any time; </w:t>
      </w:r>
      <w:r>
        <w:rPr>
          <w:rFonts w:ascii="Times New Roman" w:hAnsi="Times New Roman"/>
          <w:i/>
          <w:sz w:val="20"/>
        </w:rPr>
        <w:t>provided that</w:t>
      </w:r>
      <w:r>
        <w:rPr>
          <w:rFonts w:ascii="Times New Roman" w:hAnsi="Times New Roman"/>
          <w:sz w:val="20"/>
        </w:rPr>
        <w:t xml:space="preserve"> if at any time the approval of a Company stockholder is required as to any modification or amendment under Section 422 of the Code or any successor provision with respect to Incentive Stock Options or pursuant to any other applicable law or regulation, the Board may not effect such modification or amendment without stockholder approval. Unless otherwise specified in the amendment, any amendment to the Plan adopted in accordance with this Section 10(d) shall apply to, and be binding on the holders of, all Awards outstanding under the Plan at the time the amendment is adopted, </w:t>
      </w:r>
      <w:r>
        <w:rPr>
          <w:rFonts w:ascii="Times New Roman" w:hAnsi="Times New Roman"/>
          <w:i/>
          <w:sz w:val="20"/>
        </w:rPr>
        <w:t>provided</w:t>
      </w:r>
      <w:r>
        <w:rPr>
          <w:rFonts w:ascii="Times New Roman" w:hAnsi="Times New Roman"/>
          <w:sz w:val="20"/>
        </w:rPr>
        <w:t xml:space="preserve"> the Board determines that such amendment does not materially and adversely affect the rights of Participants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Authorization of Sub-Plans</w:t>
      </w:r>
      <w:r>
        <w:rPr>
          <w:rFonts w:ascii="Times New Roman" w:hAnsi="Times New Roman"/>
          <w:sz w:val="20"/>
        </w:rPr>
        <w:t xml:space="preserve">.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Code Section 409A</w:t>
      </w:r>
      <w:r>
        <w:rPr>
          <w:rFonts w:ascii="Times New Roman" w:hAnsi="Times New Roman"/>
          <w:sz w:val="20"/>
        </w:rPr>
        <w:t xml:space="preserve">.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 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w:t>
      </w:r>
      <w:r>
        <w:rPr>
          <w:rFonts w:ascii="Times New Roman" w:hAnsi="Times New Roman"/>
          <w:sz w:val="20"/>
        </w:rPr>
        <w:t xml:space="preserve">.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hAnsi="Times New Roman"/>
          <w:b/>
          <w:sz w:val="20"/>
        </w:rPr>
        <w:t>Data</w:t>
      </w:r>
      <w:r>
        <w:rPr>
          <w:rFonts w:ascii="Times New Roman" w:hAnsi="Times New Roman"/>
          <w:sz w:val="20"/>
        </w:rPr>
        <w:t xml:space="preserve">”).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Restrictions on Shares; Clawback Provisions</w:t>
      </w:r>
      <w:r>
        <w:rPr>
          <w:rFonts w:ascii="Times New Roman" w:hAnsi="Times New Roman"/>
          <w:sz w:val="20"/>
        </w:rPr>
        <w:t xml:space="preserve">. Shares of Common Stock acquired in respect of Awards shall be subject to such terms and conditions as the Board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stockholders’ agreement or in such other agreement as the Board shall determine, in each case in a form determined by the Board.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RTW NEWCO10,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2026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CALIFORNIA SUPPLEMENT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10(e) of the Plan, the Board has adopted this supplement for purposes of satisfying the requirements of Section 25102(o) of the California Corporations Code: </w:t>
      </w:r>
    </w:p>
    <w:p>
      <w:pPr>
        <w:pStyle w:val="TextBody"/>
        <w:bidi w:val="0"/>
        <w:spacing w:before="120" w:after="0"/>
        <w:jc w:val="left"/>
        <w:rPr>
          <w:rFonts w:ascii="Times New Roman" w:hAnsi="Times New Roman"/>
          <w:sz w:val="20"/>
        </w:rPr>
      </w:pPr>
      <w:r>
        <w:rPr>
          <w:rFonts w:ascii="Times New Roman" w:hAnsi="Times New Roman"/>
          <w:sz w:val="20"/>
        </w:rPr>
        <w:t>Any Awards granted under the Plan to a Participant who is a resident of the State of California on the date of grant (a “</w:t>
      </w:r>
      <w:r>
        <w:rPr>
          <w:rFonts w:ascii="Times New Roman" w:hAnsi="Times New Roman"/>
          <w:b/>
          <w:sz w:val="20"/>
        </w:rPr>
        <w:t>California Participant</w:t>
      </w:r>
      <w:r>
        <w:rPr>
          <w:rFonts w:ascii="Times New Roman" w:hAnsi="Times New Roman"/>
          <w:sz w:val="20"/>
        </w:rPr>
        <w:t xml:space="preserve">”) shall be subject to the following additional limitations,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Duration of Options</w:t>
      </w:r>
      <w:r>
        <w:rPr>
          <w:rFonts w:ascii="Times New Roman" w:hAnsi="Times New Roman"/>
          <w:sz w:val="20"/>
        </w:rPr>
        <w:t xml:space="preserve">. No Options granted to California Participants shall have a term in excess of 10 years measured from the Option grant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Exercise Period Following Termination</w:t>
      </w:r>
      <w:r>
        <w:rPr>
          <w:rFonts w:ascii="Times New Roman" w:hAnsi="Times New Roman"/>
          <w:sz w:val="20"/>
        </w:rPr>
        <w:t xml:space="preserve">.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for 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terms of all Awards granted to a California Participant under Section 7 of the Plan shall comply, to the extent applicable, with Section 260.140.41 or Section 260.140.42 of the California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Requirement to Provide Information to California Participants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Section 260.140.46 of the California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Timing of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Restriction Regarding Recapitalizations, Stock Splits, Etc</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p>
    <w:p>
      <w:pPr>
        <w:pStyle w:val="TextBody"/>
        <w:bidi w:val="0"/>
        <w:spacing w:before="0" w:after="0"/>
        <w:jc w:val="right"/>
        <w:rPr>
          <w:rFonts w:ascii="Times New Roman" w:hAnsi="Times New Roman"/>
          <w:b/>
          <w:sz w:val="20"/>
        </w:rPr>
      </w:pPr>
      <w:bookmarkStart w:id="261" w:name="d108148dex1022.htm"/>
      <w:bookmarkStart w:id="262" w:name="ksd108148dex1022"/>
      <w:bookmarkEnd w:id="261"/>
      <w:bookmarkEnd w:id="262"/>
      <w:r>
        <w:rPr>
          <w:rFonts w:ascii="Times New Roman" w:hAnsi="Times New Roman"/>
          <w:b/>
          <w:sz w:val="20"/>
        </w:rPr>
        <w:t xml:space="preserve">Exhibit 10.22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(the “</w:t>
      </w:r>
      <w:r>
        <w:rPr>
          <w:rFonts w:ascii="Times New Roman" w:hAnsi="Times New Roman"/>
          <w:b/>
          <w:sz w:val="20"/>
        </w:rPr>
        <w:t>Agreement</w:t>
      </w:r>
      <w:r>
        <w:rPr>
          <w:rFonts w:ascii="Times New Roman" w:hAnsi="Times New Roman"/>
          <w:sz w:val="20"/>
        </w:rPr>
        <w:t xml:space="preserve">”) is made and entered into as of [], 2026, by and between </w:t>
      </w:r>
      <w:r>
        <w:rPr>
          <w:rFonts w:ascii="Times New Roman" w:hAnsi="Times New Roman"/>
          <w:b/>
          <w:sz w:val="20"/>
        </w:rPr>
        <w:t>RTW Newco10,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and </w:t>
      </w:r>
      <w:r>
        <w:rPr>
          <w:rFonts w:ascii="Times New Roman" w:hAnsi="Times New Roman"/>
          <w:b/>
          <w:sz w:val="20"/>
        </w:rPr>
        <w:t xml:space="preserve">[] </w:t>
      </w:r>
      <w:r>
        <w:rPr>
          <w:rFonts w:ascii="Times New Roman" w:hAnsi="Times New Roman"/>
          <w:sz w:val="20"/>
        </w:rPr>
        <w:t>(“</w:t>
      </w:r>
      <w:r>
        <w:rPr>
          <w:rFonts w:ascii="Times New Roman" w:hAnsi="Times New Roman"/>
          <w:b/>
          <w:sz w:val="20"/>
        </w:rPr>
        <w:t>Indemnitee</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WITNESSETH THAT: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b/>
          <w:sz w:val="20"/>
        </w:rPr>
        <w:t>Board</w:t>
      </w:r>
      <w:r>
        <w:rPr>
          <w:rFonts w:ascii="Times New Roman" w:hAnsi="Times New Roman"/>
          <w:sz w:val="20"/>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w:t>
      </w:r>
      <w:r>
        <w:rPr>
          <w:rFonts w:ascii="Times New Roman" w:hAnsi="Times New Roman"/>
          <w:b/>
          <w:sz w:val="20"/>
        </w:rPr>
        <w:t>Bylaws</w:t>
      </w:r>
      <w:r>
        <w:rPr>
          <w:rFonts w:ascii="Times New Roman" w:hAnsi="Times New Roman"/>
          <w:sz w:val="20"/>
        </w:rPr>
        <w:t>”) require indemnification of the officers and directors of the Company. Indemnitee may also be entitled to indemnification pursuant to the General Corporation Law of the State of Delaware (“</w:t>
      </w:r>
      <w:r>
        <w:rPr>
          <w:rFonts w:ascii="Times New Roman" w:hAnsi="Times New Roman"/>
          <w:b/>
          <w:sz w:val="20"/>
        </w:rPr>
        <w:t>DGCL</w:t>
      </w:r>
      <w:r>
        <w:rPr>
          <w:rFonts w:ascii="Times New Roman" w:hAnsi="Times New Roman"/>
          <w:sz w:val="20"/>
        </w:rPr>
        <w:t xml:space="preserve">”). The Bylaws and the DGCL expressly provide that the indemnification provisions set forth therein are not exclusive, and thereby contemplate that contracts may be entered into between the Company and members of the Board,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uncertainties relating to such insurance and to indemnification have increased the difficulty of attracting and retaining such persons;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this Agreement is a supplement to and in furtherance of the Bylaws and the Certificate of Incorporation of the Company (the “</w:t>
      </w:r>
      <w:r>
        <w:rPr>
          <w:rFonts w:ascii="Times New Roman" w:hAnsi="Times New Roman"/>
          <w:b/>
          <w:sz w:val="20"/>
        </w:rPr>
        <w:t>Certificate of Incorporation</w:t>
      </w:r>
      <w:r>
        <w:rPr>
          <w:rFonts w:ascii="Times New Roman" w:hAnsi="Times New Roman"/>
          <w:sz w:val="20"/>
        </w:rPr>
        <w:t xml:space="preserve">”) and any resolutions adopted pursuant thereto,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Indemnitee does not regard the protection available under the Bylaws and the Certificate of Incorporation and insurance as adequate in the 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Indemnitee be so indemnified;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Indemnitee has certain rights to indemnification and/or insurance provided by [] and/or its affiliated investment funds (collectively, “</w:t>
      </w:r>
      <w:r>
        <w:rPr>
          <w:rFonts w:ascii="Times New Roman" w:hAnsi="Times New Roman"/>
          <w:b/>
          <w:sz w:val="20"/>
        </w:rPr>
        <w:t>[]</w:t>
      </w:r>
      <w:r>
        <w:rPr>
          <w:rFonts w:ascii="Times New Roman" w:hAnsi="Times New Roman"/>
          <w:sz w:val="20"/>
        </w:rPr>
        <w:t xml:space="preserve">”) which Indemnitee and [] intend to be secondary to the primary obligation of the Company to indemnify Indemnitee as provided herein, with the Company’s acknowledgement and agreement to the foregoing being a material condition to Indemnitee’s willingness to serve on the Board.]1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Indemnitee’s agreement to serve as a director from and after the date hereof,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Indemnity of Indemnitee</w:t>
      </w:r>
      <w:r>
        <w:rPr>
          <w:rFonts w:ascii="Times New Roman" w:hAnsi="Times New Roman"/>
          <w:sz w:val="20"/>
        </w:rPr>
        <w:t xml:space="preserve">. The Company hereby agrees to hold harmless and indemnify Indemnitee to the fullest extent permitted by law, as such may be amended from time to time. In furtherance of the foregoing indemnification, and without limiting the generality thereof: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Proceedings Other Than Proceedings by or in the Right of the Company</w:t>
      </w:r>
      <w:r>
        <w:rPr>
          <w:rFonts w:ascii="Times New Roman" w:hAnsi="Times New Roman"/>
          <w:sz w:val="20"/>
        </w:rPr>
        <w:t xml:space="preserve">. Indemnitee shall be entitled to the rights of indemnification provided in this </w:t>
      </w:r>
      <w:r>
        <w:rPr>
          <w:rFonts w:ascii="Times New Roman" w:hAnsi="Times New Roman"/>
          <w:sz w:val="20"/>
          <w:u w:val="single"/>
        </w:rPr>
        <w:t>Section 1(a)</w:t>
      </w:r>
      <w:r>
        <w:rPr>
          <w:rFonts w:ascii="Times New Roman" w:hAnsi="Times New Roman"/>
          <w:sz w:val="20"/>
        </w:rPr>
        <w:t xml:space="preserve"> if, by reason of Indemnitee’s Corporate Status (as hereinafter defined), the Indemnitee is, or is threatened to be made, a party to or participant in any Proceeding (as hereinafter defined) other than a Proceeding by or in the right of the Company. Pursuant to this </w:t>
      </w:r>
      <w:r>
        <w:rPr>
          <w:rFonts w:ascii="Times New Roman" w:hAnsi="Times New Roman"/>
          <w:sz w:val="20"/>
          <w:u w:val="single"/>
        </w:rPr>
        <w:t>Section 1(a)</w:t>
      </w:r>
      <w:r>
        <w:rPr>
          <w:rFonts w:ascii="Times New Roman" w:hAnsi="Times New Roman"/>
          <w:sz w:val="20"/>
        </w:rPr>
        <w:t xml:space="preserve">, Indemnitee shall be indemnified against all Expenses (as hereinafter defined), judgments, penalties, fines and amounts paid in settlement actually and reasonably incurred by Indemnitee, or on Indemnitee’s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Proceedings by or in the Right of the Company</w:t>
      </w:r>
      <w:r>
        <w:rPr>
          <w:rFonts w:ascii="Times New Roman" w:hAnsi="Times New Roman"/>
          <w:sz w:val="20"/>
        </w:rPr>
        <w:t xml:space="preserve">. Indemnitee shall be entitled to the rights of indemnification provided in this </w:t>
      </w:r>
      <w:r>
        <w:rPr>
          <w:rFonts w:ascii="Times New Roman" w:hAnsi="Times New Roman"/>
          <w:sz w:val="20"/>
          <w:u w:val="single"/>
        </w:rPr>
        <w:t>Section 1(b)</w:t>
      </w:r>
      <w:r>
        <w:rPr>
          <w:rFonts w:ascii="Times New Roman" w:hAnsi="Times New Roman"/>
          <w:sz w:val="20"/>
        </w:rPr>
        <w:t xml:space="preserve"> if, by reason of Indemnitee’s Corporate Status, the Indemnitee is, or is threatened to be made, a party to or participant in any Proceeding brought by or in the right of the Company. Pursuant to this </w:t>
      </w:r>
      <w:r>
        <w:rPr>
          <w:rFonts w:ascii="Times New Roman" w:hAnsi="Times New Roman"/>
          <w:sz w:val="20"/>
          <w:u w:val="single"/>
        </w:rPr>
        <w:t>Section 1(b)</w:t>
      </w:r>
      <w:r>
        <w:rPr>
          <w:rFonts w:ascii="Times New Roman" w:hAnsi="Times New Roman"/>
          <w:sz w:val="20"/>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 of this Agreement, to the extent that Indemnitee is, by reason of Indemnitee’s Corporate Status, a party to (or participant in)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(1)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fund-affiliated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of Appointing Stockholder</w:t>
      </w:r>
      <w:r>
        <w:rPr>
          <w:rFonts w:ascii="Times New Roman" w:hAnsi="Times New Roman"/>
          <w:sz w:val="20"/>
        </w:rPr>
        <w:t>. If (i) Indemnitee is or was affiliated with one (1) or more venture capital or other investment funds that has invested in the Company (an “</w:t>
      </w:r>
      <w:r>
        <w:rPr>
          <w:rFonts w:ascii="Times New Roman" w:hAnsi="Times New Roman"/>
          <w:b/>
          <w:sz w:val="20"/>
        </w:rPr>
        <w:t>Appointing Stockholder</w:t>
      </w:r>
      <w:r>
        <w:rPr>
          <w:rFonts w:ascii="Times New Roman" w:hAnsi="Times New Roman"/>
          <w:sz w:val="20"/>
        </w:rPr>
        <w:t xml:space="preserve">”), and (ii) the Appointing Stockholder is, or is threatened to be made, a party to or a participant in any Proceeding, and (iii) the Appointing Stockholder’s involvement in the Proceeding (A) arises primarily out of, or relates to, any action taken by the Company that was approved by the Company’s Board, and (B) arises out of facts or circumstances that are the same or substantially similar to the facts and circumstances that form the basis of claims that have been, could have been or could be brought against the Indemnitee in a Proceeding, regardless of whether the legal basis of the claims against the Indemnitee and the Appointing Stockholder are the same or similar, then the Appointing Stockholder shall be entitled to all rights and remedies, including with respect to indemnification and advancement, provided to the Indemnitee under this Agreement as if the Appointing Stockholder were the Indemnitee. The rights provided to the Appointing Stockholder under this </w:t>
      </w:r>
      <w:r>
        <w:rPr>
          <w:rFonts w:ascii="Times New Roman" w:hAnsi="Times New Roman"/>
          <w:sz w:val="20"/>
          <w:u w:val="single"/>
        </w:rPr>
        <w:t>Section 1(d)</w:t>
      </w:r>
      <w:r>
        <w:rPr>
          <w:rFonts w:ascii="Times New Roman" w:hAnsi="Times New Roman"/>
          <w:sz w:val="20"/>
        </w:rPr>
        <w:t xml:space="preserve"> shall (i) be suspended during any period during which the Appointing Stockholder does not have a representative on the Company’s Board, and (ii) terminate on an initial public offering of the Company’s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any such suspension or termination, the Appointing Stockholder’s rights to indemnification and advancement of expenses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intend and agree that the Appointing Stockholder is an express third-party beneficiary of the terms of this </w:t>
      </w:r>
      <w:r>
        <w:rPr>
          <w:rFonts w:ascii="Times New Roman" w:hAnsi="Times New Roman"/>
          <w:sz w:val="20"/>
          <w:u w:val="single"/>
        </w:rPr>
        <w:t>Section 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Partial Indemnification</w:t>
      </w:r>
      <w:r>
        <w:rPr>
          <w:rFonts w:ascii="Times New Roman" w:hAnsi="Times New Roman"/>
          <w:sz w:val="20"/>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Additional Indemnity</w:t>
      </w:r>
      <w:r>
        <w:rPr>
          <w:rFonts w:ascii="Times New Roman" w:hAnsi="Times New Roman"/>
          <w:sz w:val="20"/>
        </w:rPr>
        <w:t xml:space="preserve">. In addition to, and without regard to any limitations on, the indemnification provided for in </w:t>
      </w:r>
      <w:r>
        <w:rPr>
          <w:rFonts w:ascii="Times New Roman" w:hAnsi="Times New Roman"/>
          <w:sz w:val="20"/>
          <w:u w:val="single"/>
        </w:rPr>
        <w:t>Section 1</w:t>
      </w:r>
      <w:r>
        <w:rPr>
          <w:rFonts w:ascii="Times New Roman" w:hAnsi="Times New Roman"/>
          <w:sz w:val="20"/>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hAnsi="Times New Roman"/>
          <w:sz w:val="20"/>
          <w:u w:val="single"/>
        </w:rPr>
        <w:t>Sections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hereof) to be unlawful.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indemnification provided in </w:t>
      </w:r>
      <w:r>
        <w:rPr>
          <w:rFonts w:ascii="Times New Roman" w:hAnsi="Times New Roman"/>
          <w:sz w:val="20"/>
          <w:u w:val="single"/>
        </w:rPr>
        <w:t>Sections 1</w:t>
      </w:r>
      <w:r>
        <w:rPr>
          <w:rFonts w:ascii="Times New Roman" w:hAnsi="Times New Roman"/>
          <w:sz w:val="20"/>
        </w:rPr>
        <w:t xml:space="preserve"> and </w:t>
      </w:r>
      <w:r>
        <w:rPr>
          <w:rFonts w:ascii="Times New Roman" w:hAnsi="Times New Roman"/>
          <w:sz w:val="20"/>
          <w:u w:val="single"/>
        </w:rPr>
        <w:t>2</w:t>
      </w:r>
      <w:r>
        <w:rPr>
          <w:rFonts w:ascii="Times New Roman" w:hAnsi="Times New Roman"/>
          <w:sz w:val="20"/>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without the prior written consent of Indemnitee, enter into any settlement of any action, suit or proceeding in which the Company is jointly liable with Indemnitee (or would be if joined in such action, suit or proceeding) unless such settlement provides for a full and final release of all claims asserted against Indemnitee. </w:t>
      </w:r>
    </w:p>
    <w:p>
      <w:pPr>
        <w:pStyle w:val="TextBody"/>
        <w:bidi w:val="0"/>
        <w:spacing w:before="240" w:after="0"/>
        <w:jc w:val="left"/>
        <w:rPr>
          <w:rFonts w:ascii="Times New Roman" w:hAnsi="Times New Roman"/>
          <w:sz w:val="20"/>
        </w:rPr>
      </w:pPr>
      <w:r>
        <w:rPr>
          <w:rFonts w:ascii="Times New Roman" w:hAnsi="Times New Roman"/>
          <w:sz w:val="20"/>
        </w:rPr>
        <w:t xml:space="preserve">(b)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hereby agrees to fully indemnify and hold Indemnitee harmless from any claims of contribution which may be brought by officers, directors, or employees of the Company, other than Indemnitee, who may be jointly liable with Indemnitee. </w:t>
      </w:r>
    </w:p>
    <w:p>
      <w:pPr>
        <w:pStyle w:val="TextBody"/>
        <w:bidi w:val="0"/>
        <w:spacing w:before="240" w:after="0"/>
        <w:jc w:val="left"/>
        <w:rPr>
          <w:rFonts w:ascii="Times New Roman" w:hAnsi="Times New Roman"/>
          <w:sz w:val="20"/>
        </w:rPr>
      </w:pPr>
      <w:r>
        <w:rPr>
          <w:rFonts w:ascii="Times New Roman" w:hAnsi="Times New Roman"/>
          <w:sz w:val="20"/>
        </w:rPr>
        <w:t xml:space="preserve">(d)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Indemnification for Expenses of a Witness</w:t>
      </w:r>
      <w:r>
        <w:rPr>
          <w:rFonts w:ascii="Times New Roman" w:hAnsi="Times New Roman"/>
          <w:sz w:val="20"/>
        </w:rPr>
        <w:t xml:space="preserve">. Notwithstanding any other provision of this Agreement,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Advancement of Expenses</w:t>
      </w:r>
      <w:r>
        <w:rPr>
          <w:rFonts w:ascii="Times New Roman" w:hAnsi="Times New Roman"/>
          <w:sz w:val="20"/>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hAnsi="Times New Roman"/>
          <w:sz w:val="20"/>
          <w:u w:val="single"/>
        </w:rPr>
        <w:t>Section 5</w:t>
      </w:r>
      <w:r>
        <w:rPr>
          <w:rFonts w:ascii="Times New Roman" w:hAnsi="Times New Roman"/>
          <w:sz w:val="20"/>
        </w:rPr>
        <w:t xml:space="preserve"> shall be unsecured and interest free. This </w:t>
      </w:r>
      <w:r>
        <w:rPr>
          <w:rFonts w:ascii="Times New Roman" w:hAnsi="Times New Roman"/>
          <w:sz w:val="20"/>
          <w:u w:val="single"/>
        </w:rPr>
        <w:t>Section 5</w:t>
      </w:r>
      <w:r>
        <w:rPr>
          <w:rFonts w:ascii="Times New Roman" w:hAnsi="Times New Roman"/>
          <w:sz w:val="20"/>
        </w:rPr>
        <w:t xml:space="preserve"> shall not apply to any claim made by Indemnitee for which indemnity is excluded pursuant to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Procedures and Presumptions for Determination of Entitlement to Indemnification</w:t>
      </w:r>
      <w:r>
        <w:rPr>
          <w:rFonts w:ascii="Times New Roman" w:hAnsi="Times New Roman"/>
          <w:sz w:val="20"/>
        </w:rPr>
        <w:t xml:space="preserve">.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(b) Upon written request by Indemnitee for indemnification pursuant to the first sentence of </w:t>
      </w:r>
      <w:r>
        <w:rPr>
          <w:rFonts w:ascii="Times New Roman" w:hAnsi="Times New Roman"/>
          <w:sz w:val="20"/>
          <w:u w:val="single"/>
        </w:rPr>
        <w:t>Section 6(a)</w:t>
      </w:r>
      <w:r>
        <w:rPr>
          <w:rFonts w:ascii="Times New Roman" w:hAnsi="Times New Roman"/>
          <w:sz w:val="20"/>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 </w:t>
      </w:r>
    </w:p>
    <w:p>
      <w:pPr>
        <w:pStyle w:val="TextBody"/>
        <w:bidi w:val="0"/>
        <w:spacing w:before="240" w:after="0"/>
        <w:jc w:val="left"/>
        <w:rPr>
          <w:rFonts w:ascii="Times New Roman" w:hAnsi="Times New Roman"/>
          <w:sz w:val="20"/>
        </w:rPr>
      </w:pPr>
      <w:r>
        <w:rPr>
          <w:rFonts w:ascii="Times New Roman" w:hAnsi="Times New Roman"/>
          <w:sz w:val="20"/>
        </w:rPr>
        <w:t xml:space="preserve">(c) If the determination of entitlement to indemnification is to be made by Independent Counsel pursuant to </w:t>
      </w:r>
      <w:r>
        <w:rPr>
          <w:rFonts w:ascii="Times New Roman" w:hAnsi="Times New Roman"/>
          <w:sz w:val="20"/>
          <w:u w:val="single"/>
        </w:rPr>
        <w:t>Section 6(b)</w:t>
      </w:r>
      <w:r>
        <w:rPr>
          <w:rFonts w:ascii="Times New Roman" w:hAnsi="Times New Roman"/>
          <w:sz w:val="20"/>
        </w:rPr>
        <w:t xml:space="preserve"> hereof, the Independent Counsel shall be selected as provided in this </w:t>
      </w:r>
      <w:r>
        <w:rPr>
          <w:rFonts w:ascii="Times New Roman" w:hAnsi="Times New Roman"/>
          <w:sz w:val="20"/>
          <w:u w:val="single"/>
        </w:rPr>
        <w:t>Section 6(c)</w:t>
      </w:r>
      <w:r>
        <w:rPr>
          <w:rFonts w:ascii="Times New Roman" w:hAnsi="Times New Roman"/>
          <w:sz w:val="20"/>
        </w:rPr>
        <w:t>.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hAnsi="Times New Roman"/>
          <w:b/>
          <w:sz w:val="20"/>
        </w:rPr>
        <w:t>Independent Counsel</w:t>
      </w:r>
      <w:r>
        <w:rPr>
          <w:rFonts w:ascii="Times New Roman" w:hAnsi="Times New Roman"/>
          <w:sz w:val="20"/>
        </w:rPr>
        <w:t xml:space="preserve">” as defined in </w:t>
      </w:r>
      <w:r>
        <w:rPr>
          <w:rFonts w:ascii="Times New Roman" w:hAnsi="Times New Roman"/>
          <w:sz w:val="20"/>
          <w:u w:val="single"/>
        </w:rPr>
        <w:t>Section 13</w:t>
      </w:r>
      <w:r>
        <w:rPr>
          <w:rFonts w:ascii="Times New Roman" w:hAnsi="Times New Roman"/>
          <w:sz w:val="20"/>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hAnsi="Times New Roman"/>
          <w:sz w:val="20"/>
          <w:u w:val="single"/>
        </w:rPr>
        <w:t>Section 6(a)</w:t>
      </w:r>
      <w:r>
        <w:rPr>
          <w:rFonts w:ascii="Times New Roman" w:hAnsi="Times New Roman"/>
          <w:sz w:val="20"/>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hAnsi="Times New Roman"/>
          <w:sz w:val="20"/>
          <w:u w:val="single"/>
        </w:rPr>
        <w:t>Section 6(b)</w:t>
      </w:r>
      <w:r>
        <w:rPr>
          <w:rFonts w:ascii="Times New Roman" w:hAnsi="Times New Roman"/>
          <w:sz w:val="20"/>
        </w:rPr>
        <w:t xml:space="preserve"> hereof. The Company shall pay any and all reasonable fees and expenses of Independent Counsel incurred by such Independent Counsel in connection with acting pursuant to </w:t>
      </w:r>
      <w:r>
        <w:rPr>
          <w:rFonts w:ascii="Times New Roman" w:hAnsi="Times New Roman"/>
          <w:sz w:val="20"/>
          <w:u w:val="single"/>
        </w:rPr>
        <w:t>Section 6(b)</w:t>
      </w:r>
      <w:r>
        <w:rPr>
          <w:rFonts w:ascii="Times New Roman" w:hAnsi="Times New Roman"/>
          <w:sz w:val="20"/>
        </w:rPr>
        <w:t xml:space="preserve"> hereof, and the Company shall pay all reasonable fees and expenses incurred by the Company and the Indemnitee incident to the procedures of this </w:t>
      </w:r>
      <w:r>
        <w:rPr>
          <w:rFonts w:ascii="Times New Roman" w:hAnsi="Times New Roman"/>
          <w:sz w:val="20"/>
          <w:u w:val="single"/>
        </w:rPr>
        <w:t>Section 6(c)</w:t>
      </w:r>
      <w:r>
        <w:rPr>
          <w:rFonts w:ascii="Times New Roman" w:hAnsi="Times New Roman"/>
          <w:sz w:val="20"/>
        </w:rPr>
        <w:t xml:space="preserve">, regardless of the manner in which such Independent Counsel was selected or appointed. </w:t>
      </w:r>
    </w:p>
    <w:p>
      <w:pPr>
        <w:pStyle w:val="TextBody"/>
        <w:bidi w:val="0"/>
        <w:spacing w:before="240" w:after="0"/>
        <w:jc w:val="left"/>
        <w:rPr>
          <w:rFonts w:ascii="Times New Roman" w:hAnsi="Times New Roman"/>
          <w:sz w:val="20"/>
        </w:rPr>
      </w:pPr>
      <w:r>
        <w:rPr>
          <w:rFonts w:ascii="Times New Roman" w:hAnsi="Times New Roman"/>
          <w:sz w:val="20"/>
        </w:rPr>
        <w:t xml:space="preserve">(d)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The provisions of this </w:t>
      </w:r>
      <w:r>
        <w:rPr>
          <w:rFonts w:ascii="Times New Roman" w:hAnsi="Times New Roman"/>
          <w:sz w:val="20"/>
          <w:u w:val="single"/>
        </w:rPr>
        <w:t>Section 6(e)</w:t>
      </w:r>
      <w:r>
        <w:rPr>
          <w:rFonts w:ascii="Times New Roman" w:hAnsi="Times New Roman"/>
          <w:sz w:val="20"/>
        </w:rPr>
        <w:t xml:space="preserve"> shall not be deemed to be exclusive or to limit in any way the other circumstances in which the Indemnitee may be deemed to have met the applicable standard of conduct set forth in this Agreement.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hAnsi="Times New Roman"/>
          <w:sz w:val="20"/>
          <w:u w:val="single"/>
        </w:rPr>
        <w:t>Section 6(e)</w:t>
      </w:r>
      <w:r>
        <w:rPr>
          <w:rFonts w:ascii="Times New Roman" w:hAnsi="Times New Roman"/>
          <w:sz w:val="20"/>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(f) If the person, persons or entity empowered or selected under </w:t>
      </w:r>
      <w:r>
        <w:rPr>
          <w:rFonts w:ascii="Times New Roman" w:hAnsi="Times New Roman"/>
          <w:sz w:val="20"/>
          <w:u w:val="single"/>
        </w:rPr>
        <w:t>Section 6</w:t>
      </w:r>
      <w:r>
        <w:rPr>
          <w:rFonts w:ascii="Times New Roman" w:hAnsi="Times New Roman"/>
          <w:sz w:val="20"/>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provisions of this </w:t>
      </w:r>
      <w:r>
        <w:rPr>
          <w:rFonts w:ascii="Times New Roman" w:hAnsi="Times New Roman"/>
          <w:sz w:val="20"/>
          <w:u w:val="single"/>
        </w:rPr>
        <w:t>Section 6(f)</w:t>
      </w:r>
      <w:r>
        <w:rPr>
          <w:rFonts w:ascii="Times New Roman" w:hAnsi="Times New Roman"/>
          <w:sz w:val="20"/>
        </w:rPr>
        <w:t xml:space="preserve"> shall not apply if the determination of entitlement to indemnification is to be made by the stockholders pursuant to </w:t>
      </w:r>
      <w:r>
        <w:rPr>
          <w:rFonts w:ascii="Times New Roman" w:hAnsi="Times New Roman"/>
          <w:sz w:val="20"/>
          <w:u w:val="single"/>
        </w:rPr>
        <w:t>Section 6(b)</w:t>
      </w:r>
      <w:r>
        <w:rPr>
          <w:rFonts w:ascii="Times New Roman" w:hAnsi="Times New Roman"/>
          <w:sz w:val="20"/>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w:t>
      </w:r>
    </w:p>
    <w:p>
      <w:pPr>
        <w:pStyle w:val="TextBody"/>
        <w:bidi w:val="0"/>
        <w:spacing w:before="240" w:after="0"/>
        <w:jc w:val="left"/>
        <w:rPr>
          <w:rFonts w:ascii="Times New Roman" w:hAnsi="Times New Roman"/>
          <w:sz w:val="20"/>
        </w:rPr>
      </w:pPr>
      <w:r>
        <w:rPr>
          <w:rFonts w:ascii="Times New Roman" w:hAnsi="Times New Roman"/>
          <w:sz w:val="20"/>
        </w:rPr>
        <w:t xml:space="preserve">(g)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the event that any action, suit or proceeding to which Indemnitee is a party is resolved in any manner other than by adverse judgment against Indemnitee (including, without limitation, settlement of such action, suit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a determination is made pursuant to </w:t>
      </w:r>
      <w:r>
        <w:rPr>
          <w:rFonts w:ascii="Times New Roman" w:hAnsi="Times New Roman"/>
          <w:sz w:val="20"/>
          <w:u w:val="single"/>
        </w:rPr>
        <w:t>Section 6</w:t>
      </w:r>
      <w:r>
        <w:rPr>
          <w:rFonts w:ascii="Times New Roman" w:hAnsi="Times New Roman"/>
          <w:sz w:val="20"/>
        </w:rPr>
        <w:t xml:space="preserve"> of this Agreement that Indemnitee is not entitled to indemnification under this Agreement, (ii) advancement of Expenses is not timely made pursuant to </w:t>
      </w:r>
      <w:r>
        <w:rPr>
          <w:rFonts w:ascii="Times New Roman" w:hAnsi="Times New Roman"/>
          <w:sz w:val="20"/>
          <w:u w:val="single"/>
        </w:rPr>
        <w:t>Section 5</w:t>
      </w:r>
      <w:r>
        <w:rPr>
          <w:rFonts w:ascii="Times New Roman" w:hAnsi="Times New Roman"/>
          <w:sz w:val="20"/>
        </w:rPr>
        <w:t xml:space="preserve"> of this Agreement, (iii) no determination of entitlement to indemnification is made pursuant to </w:t>
      </w:r>
      <w:r>
        <w:rPr>
          <w:rFonts w:ascii="Times New Roman" w:hAnsi="Times New Roman"/>
          <w:sz w:val="20"/>
          <w:u w:val="single"/>
        </w:rPr>
        <w:t>Section 6(b)</w:t>
      </w:r>
      <w:r>
        <w:rPr>
          <w:rFonts w:ascii="Times New Roman" w:hAnsi="Times New Roman"/>
          <w:sz w:val="20"/>
        </w:rPr>
        <w:t xml:space="preserve"> of this Agreement within ninety (90) days after receipt by the Company of the request for indemnification, (iv) payment of indemnification is not made pursuant to </w:t>
      </w:r>
      <w:r>
        <w:rPr>
          <w:rFonts w:ascii="Times New Roman" w:hAnsi="Times New Roman"/>
          <w:sz w:val="20"/>
          <w:u w:val="single"/>
        </w:rPr>
        <w:t>Sections 1(c), 1(e), 4</w:t>
      </w:r>
      <w:r>
        <w:rPr>
          <w:rFonts w:ascii="Times New Roman" w:hAnsi="Times New Roman"/>
          <w:sz w:val="20"/>
        </w:rPr>
        <w:t xml:space="preserve"> or the last sentence of </w:t>
      </w:r>
      <w:r>
        <w:rPr>
          <w:rFonts w:ascii="Times New Roman" w:hAnsi="Times New Roman"/>
          <w:sz w:val="20"/>
          <w:u w:val="single"/>
        </w:rPr>
        <w:t>Section 6(g)</w:t>
      </w:r>
      <w:r>
        <w:rPr>
          <w:rFonts w:ascii="Times New Roman" w:hAnsi="Times New Roman"/>
          <w:sz w:val="20"/>
        </w:rPr>
        <w:t xml:space="preserve"> of this Agreement within ten (10) days after receipt by the Company of a written request therefor, or (v) payment of indemnification is not made pursuant to Sections 1(a), 1(b) and 2 of this Agreement within ten (10) days after a determination has been made that Indemnitee is entitled to indemnification or such determination is deemed to have been made pursuant to </w:t>
      </w:r>
      <w:r>
        <w:rPr>
          <w:rFonts w:ascii="Times New Roman" w:hAnsi="Times New Roman"/>
          <w:sz w:val="20"/>
          <w:u w:val="single"/>
        </w:rPr>
        <w:t>Section 6</w:t>
      </w:r>
      <w:r>
        <w:rPr>
          <w:rFonts w:ascii="Times New Roman" w:hAnsi="Times New Roman"/>
          <w:sz w:val="20"/>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hAnsi="Times New Roman"/>
          <w:sz w:val="20"/>
          <w:u w:val="single"/>
        </w:rPr>
        <w:t>Section 7(a)</w:t>
      </w:r>
      <w:r>
        <w:rPr>
          <w:rFonts w:ascii="Times New Roman" w:hAnsi="Times New Roman"/>
          <w:sz w:val="20"/>
        </w:rPr>
        <w:t xml:space="preserve">. The Company shall not oppose Indemnitee’s right to seek any such adjudication.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w:t>
      </w:r>
      <w:r>
        <w:rPr>
          <w:rFonts w:ascii="Times New Roman" w:hAnsi="Times New Roman"/>
          <w:sz w:val="20"/>
          <w:u w:val="single"/>
        </w:rPr>
        <w:t>Section 6(b)</w:t>
      </w:r>
      <w:r>
        <w:rPr>
          <w:rFonts w:ascii="Times New Roman" w:hAnsi="Times New Roman"/>
          <w:sz w:val="20"/>
        </w:rPr>
        <w:t xml:space="preserve"> of this Agreement that Indemnitee is not entitled to indemnification, any judicial proceeding commenced pursuant to this </w:t>
      </w:r>
      <w:r>
        <w:rPr>
          <w:rFonts w:ascii="Times New Roman" w:hAnsi="Times New Roman"/>
          <w:sz w:val="20"/>
          <w:u w:val="single"/>
        </w:rPr>
        <w:t>Section 7</w:t>
      </w:r>
      <w:r>
        <w:rPr>
          <w:rFonts w:ascii="Times New Roman" w:hAnsi="Times New Roman"/>
          <w:sz w:val="20"/>
        </w:rPr>
        <w:t xml:space="preserve"> shall be conducted in all respects as a de novo trial on the merits, and Indemnitee shall not be prejudiced by reason of the adverse determination under </w:t>
      </w:r>
      <w:r>
        <w:rPr>
          <w:rFonts w:ascii="Times New Roman" w:hAnsi="Times New Roman"/>
          <w:sz w:val="20"/>
          <w:u w:val="single"/>
        </w:rPr>
        <w:t>Section 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w:t>
      </w:r>
      <w:r>
        <w:rPr>
          <w:rFonts w:ascii="Times New Roman" w:hAnsi="Times New Roman"/>
          <w:sz w:val="20"/>
          <w:u w:val="single"/>
        </w:rPr>
        <w:t>Section 6(b)</w:t>
      </w:r>
      <w:r>
        <w:rPr>
          <w:rFonts w:ascii="Times New Roman" w:hAnsi="Times New Roman"/>
          <w:sz w:val="20"/>
        </w:rPr>
        <w:t xml:space="preserve"> of this Agreement that Indemnitee is entitled to indemnification, the Company shall be bound by such determination in any judicial proceeding commenced pursuant to this </w:t>
      </w:r>
      <w:r>
        <w:rPr>
          <w:rFonts w:ascii="Times New Roman" w:hAnsi="Times New Roman"/>
          <w:sz w:val="20"/>
          <w:u w:val="single"/>
        </w:rPr>
        <w:t>Section 7</w:t>
      </w:r>
      <w:r>
        <w:rPr>
          <w:rFonts w:ascii="Times New Roman" w:hAnsi="Times New Roman"/>
          <w:sz w:val="20"/>
        </w:rPr>
        <w:t xml:space="preserve">,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Indemnitee, pursuant to this </w:t>
      </w:r>
      <w:r>
        <w:rPr>
          <w:rFonts w:ascii="Times New Roman" w:hAnsi="Times New Roman"/>
          <w:sz w:val="20"/>
          <w:u w:val="single"/>
        </w:rPr>
        <w:t>Section 7</w:t>
      </w:r>
      <w:r>
        <w:rPr>
          <w:rFonts w:ascii="Times New Roman" w:hAnsi="Times New Roman"/>
          <w:sz w:val="20"/>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 w:hAnsi="Times New Roman"/>
          <w:sz w:val="20"/>
          <w:u w:val="single"/>
        </w:rPr>
        <w:t>Section 13</w:t>
      </w:r>
      <w:r>
        <w:rPr>
          <w:rFonts w:ascii="Times New Roman" w:hAnsi="Times New Roman"/>
          <w:sz w:val="20"/>
        </w:rPr>
        <w:t xml:space="preserve"> of this Agreement) actually and reasonably incurred by Indemnitee in such judicial adjudication, regardless of whether Indemnitee ultimately is determined to be entitled to such indemnification, advancement of expenses or insurance recovery.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be precluded from asserting in any judicial proceeding commenced pursuant to this </w:t>
      </w:r>
      <w:r>
        <w:rPr>
          <w:rFonts w:ascii="Times New Roman" w:hAnsi="Times New Roman"/>
          <w:sz w:val="20"/>
          <w:u w:val="single"/>
        </w:rPr>
        <w:t>Section 7</w:t>
      </w:r>
      <w:r>
        <w:rPr>
          <w:rFonts w:ascii="Times New Roman" w:hAnsi="Times New Roman"/>
          <w:sz w:val="20"/>
        </w:rPr>
        <w:t xml:space="preserve"> that the procedures and presumptions of this Agreement are not valid, binding and enforceable and shall stipulate in any such court that the Company is bound by all the provisions of this Agreement. It is the intent of the Company that, to the fullest extent permitted by law, that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Non-Exclusivity; Survival of Rights; Insurance; Primacy of Indemnification;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w:t>
      </w:r>
    </w:p>
    <w:p>
      <w:pPr>
        <w:pStyle w:val="TextBody"/>
        <w:bidi w:val="0"/>
        <w:spacing w:before="240" w:after="0"/>
        <w:jc w:val="left"/>
        <w:rPr>
          <w:rFonts w:ascii="Times New Roman" w:hAnsi="Times New Roman"/>
          <w:sz w:val="20"/>
        </w:rPr>
      </w:pPr>
      <w:r>
        <w:rPr>
          <w:rFonts w:ascii="Times New Roman" w:hAnsi="Times New Roman"/>
          <w:sz w:val="20"/>
        </w:rPr>
        <w:t>(c) [The Company hereby acknowledges that Indemnitee has certain rights to indemnification, advancement of expenses and/or insurance provided by [] (collectively, the “</w:t>
      </w:r>
      <w:r>
        <w:rPr>
          <w:rFonts w:ascii="Times New Roman" w:hAnsi="Times New Roman"/>
          <w:b/>
          <w:sz w:val="20"/>
        </w:rPr>
        <w:t>Fund Indemnitors</w:t>
      </w:r>
      <w:r>
        <w:rPr>
          <w:rFonts w:ascii="Times New Roman" w:hAnsi="Times New Roman"/>
          <w:sz w:val="20"/>
        </w:rPr>
        <w:t xml:space="preserve">”).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third-party beneficiaries of the terms of this Section 8(c).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enterprise.]2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Exception to Right of Indemnification</w:t>
      </w:r>
      <w:r>
        <w:rPr>
          <w:rFonts w:ascii="Times New Roman" w:hAnsi="Times New Roman"/>
          <w:sz w:val="20"/>
        </w:rPr>
        <w:t xml:space="preserve">. Notwithstanding any provision in this Agreement, the Company shall not be obligated under this Agreement to make any indemnity in connection with any claim made against Indemnitee: </w:t>
      </w:r>
    </w:p>
    <w:p>
      <w:pPr>
        <w:pStyle w:val="TextBody"/>
        <w:bidi w:val="0"/>
        <w:spacing w:before="120" w:after="0"/>
        <w:jc w:val="left"/>
        <w:rPr>
          <w:rFonts w:ascii="Times New Roman" w:hAnsi="Times New Roman"/>
          <w:sz w:val="20"/>
        </w:rPr>
      </w:pPr>
      <w:r>
        <w:rPr>
          <w:rFonts w:ascii="Times New Roman" w:hAnsi="Times New Roman"/>
          <w:sz w:val="20"/>
        </w:rPr>
        <w:t xml:space="preserve">(a) 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w:t>
      </w:r>
      <w:r>
        <w:rPr>
          <w:rFonts w:ascii="Times New Roman" w:hAnsi="Times New Roman"/>
          <w:sz w:val="20"/>
          <w:u w:val="single"/>
        </w:rPr>
        <w:t>Section 8(c)</w:t>
      </w:r>
      <w:r>
        <w:rPr>
          <w:rFonts w:ascii="Times New Roman" w:hAnsi="Times New Roman"/>
          <w:sz w:val="20"/>
        </w:rPr>
        <w:t xml:space="preserve"> above; or </w:t>
      </w:r>
    </w:p>
    <w:p>
      <w:pPr>
        <w:pStyle w:val="TextBody"/>
        <w:bidi w:val="0"/>
        <w:spacing w:before="240" w:after="0"/>
        <w:jc w:val="left"/>
        <w:rPr>
          <w:rFonts w:ascii="Times New Roman" w:hAnsi="Times New Roman"/>
          <w:sz w:val="20"/>
        </w:rPr>
      </w:pPr>
      <w:r>
        <w:rPr>
          <w:rFonts w:ascii="Times New Roman" w:hAnsi="Times New Roman"/>
          <w:sz w:val="20"/>
        </w:rPr>
        <w:t xml:space="preserve">(b) for (i) an accounting of profits made from the purchase and sale (or sale and purchase) by Indemnitee of securities of the Company within the meaning of </w:t>
      </w:r>
      <w:r>
        <w:rPr>
          <w:rFonts w:ascii="Times New Roman" w:hAnsi="Times New Roman"/>
          <w:sz w:val="20"/>
          <w:u w:val="single"/>
        </w:rPr>
        <w:t>Section 16(b)</w:t>
      </w:r>
      <w:r>
        <w:rPr>
          <w:rFonts w:ascii="Times New Roman" w:hAnsi="Times New Roman"/>
          <w:sz w:val="20"/>
        </w:rPr>
        <w:t xml:space="preserve"> of the Securities Exchange Act of 1934, as amended,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fund-affiliated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7(e)</w:t>
      </w:r>
      <w:r>
        <w:rPr>
          <w:rFonts w:ascii="Times New Roman" w:hAnsi="Times New Roman"/>
          <w:sz w:val="20"/>
        </w:rPr>
        <w:t xml:space="preserve">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 (iii) the Company provides the indemnification, in its sole discretion, pursuant to the powers vested in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Duration of Agreement</w:t>
      </w:r>
      <w:r>
        <w:rPr>
          <w:rFonts w:ascii="Times New Roman" w:hAnsi="Times New Roman"/>
          <w:sz w:val="20"/>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for so long as Indemnitee shall be subject to any Proceeding (or any proceeding commenced under </w:t>
      </w:r>
      <w:r>
        <w:rPr>
          <w:rFonts w:ascii="Times New Roman" w:hAnsi="Times New Roman"/>
          <w:sz w:val="20"/>
          <w:u w:val="single"/>
        </w:rPr>
        <w:t>Section 7</w:t>
      </w:r>
      <w:r>
        <w:rPr>
          <w:rFonts w:ascii="Times New Roman" w:hAnsi="Times New Roman"/>
          <w:sz w:val="20"/>
        </w:rPr>
        <w:t xml:space="preserve"> hereof) by reason of Indemnitee’s Corporate Status, whether or not Indemnitee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Security</w:t>
      </w:r>
      <w:r>
        <w:rPr>
          <w:rFonts w:ascii="Times New Roman" w:hAnsi="Times New Roman"/>
          <w:sz w:val="20"/>
        </w:rPr>
        <w:t xml:space="preserve">.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not seek from a court, or agree to, a “bar order” which would have the effect of prohibiting or limiting the Indemnitee’s rights to receive advancement of expenses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Corporate Status</w:t>
      </w:r>
      <w:r>
        <w:rPr>
          <w:rFonts w:ascii="Times New Roman" w:hAnsi="Times New Roman"/>
          <w:sz w:val="20"/>
        </w:rPr>
        <w:t xml:space="preserve">” describes the status of a person who is or was a director, officer, employee, agent or fiduciary of the Company or of any other corporation, partnership, joint venture, trust, employee benefit plan or other enterprise that such person is or was serving at the request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Disinterested Director</w:t>
      </w:r>
      <w:r>
        <w:rPr>
          <w:rFonts w:ascii="Times New Roman" w:hAnsi="Times New Roman"/>
          <w:sz w:val="20"/>
        </w:rPr>
        <w:t xml:space="preserve">” means a director of the Company who is not and was not a party to the Proceeding in respect of which indemnification is sought by Indemnitee.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Enterprise</w:t>
      </w:r>
      <w:r>
        <w:rPr>
          <w:rFonts w:ascii="Times New Roman" w:hAnsi="Times New Roman"/>
          <w:sz w:val="20"/>
        </w:rPr>
        <w:t xml:space="preserve">” shall mean the Company and any other corporation, partnership, joint venture, trust, employee benefit plan or other enterprise that Indemnitee is or was serving at the request of the Company as a director, officer, employee, agent or fiduciary.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Expenses</w:t>
      </w:r>
      <w:r>
        <w:rPr>
          <w:rFonts w:ascii="Times New Roman" w:hAnsi="Times New Roman"/>
          <w:sz w:val="20"/>
        </w:rPr>
        <w:t xml:space="preserve">” shall include all reasonable attorneys’ fees, retainers, court costs, transcript costs, fees of experts, witness fees, travel expenses, duplicating costs, printing and binding costs, telephone charges, postage, delivery service fees and any federal, state, local or foreign taxes imposed on the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7(e) only, Expenses incurred by Indemnitee in connection with the interpretation, enforcement or defense of Indemnitee’s rights under this Agreement, the Certificate of Incorporation, the Bylaws or under any directors’ and officers’ liability insurance policies maintained by the Company, by litigation or otherwise. Expenses, however, shall not include amounts paid in settlement by Indemnitee or the amount of judgments or fines against Indemnitee.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Independent Counsel</w:t>
      </w:r>
      <w:r>
        <w:rPr>
          <w:rFonts w:ascii="Times New Roman" w:hAnsi="Times New Roman"/>
          <w:sz w:val="20"/>
        </w:rPr>
        <w:t xml:space="preserve">” means a law firm, or a member of a law firm, that is experienced in matters of corporation law and neither at present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Proceeding</w:t>
      </w:r>
      <w:r>
        <w:rPr>
          <w:rFonts w:ascii="Times New Roman" w:hAnsi="Times New Roman"/>
          <w:sz w:val="20"/>
        </w:rPr>
        <w:t xml:space="preserve">”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Indemnitee’s Corporate Status, by reason of any action taken by Indemnitee or of any inaction on Indemnitee’s part while acting in Indemnitee’s Corporate Status; in each case whether or not Indemnitee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 w:hAnsi="Times New Roman"/>
          <w:sz w:val="20"/>
          <w:u w:val="single"/>
        </w:rPr>
        <w:t>Section 7</w:t>
      </w:r>
      <w:r>
        <w:rPr>
          <w:rFonts w:ascii="Times New Roman" w:hAnsi="Times New Roman"/>
          <w:sz w:val="20"/>
        </w:rPr>
        <w:t xml:space="preserve"> of this Agreement to enforce Indemnitee’s rights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Modification and Waiver</w:t>
      </w:r>
      <w:r>
        <w:rPr>
          <w:rFonts w:ascii="Times New Roman" w:hAnsi="Times New Roman"/>
          <w:sz w:val="20"/>
        </w:rPr>
        <w:t xml:space="preserve">.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Notices</w:t>
      </w:r>
      <w:r>
        <w:rPr>
          <w:rFonts w:ascii="Times New Roman" w:hAnsi="Times New Roman"/>
          <w:sz w:val="20"/>
        </w:rPr>
        <w:t xml:space="preserve">.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Indemnitee at the address set forth below Indemnitee signature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40 10th Avenue </w:t>
      </w:r>
    </w:p>
    <w:p>
      <w:pPr>
        <w:pStyle w:val="TextBody"/>
        <w:bidi w:val="0"/>
        <w:spacing w:before="0" w:after="0"/>
        <w:jc w:val="left"/>
        <w:rPr>
          <w:rFonts w:ascii="Times New Roman" w:hAnsi="Times New Roman"/>
          <w:sz w:val="20"/>
        </w:rPr>
      </w:pPr>
      <w:r>
        <w:rPr>
          <w:rFonts w:ascii="Times New Roman" w:hAnsi="Times New Roman"/>
          <w:sz w:val="20"/>
        </w:rPr>
        <w:t xml:space="preserve">Floor 7 </w:t>
      </w:r>
    </w:p>
    <w:p>
      <w:pPr>
        <w:pStyle w:val="TextBody"/>
        <w:bidi w:val="0"/>
        <w:spacing w:before="0" w:after="0"/>
        <w:jc w:val="left"/>
        <w:rPr>
          <w:rFonts w:ascii="Times New Roman" w:hAnsi="Times New Roman"/>
          <w:sz w:val="20"/>
        </w:rPr>
      </w:pPr>
      <w:r>
        <w:rPr>
          <w:rFonts w:ascii="Times New Roman" w:hAnsi="Times New Roman"/>
          <w:sz w:val="20"/>
        </w:rPr>
        <w:t xml:space="preserve">New York, NY 10014 </w:t>
      </w:r>
    </w:p>
    <w:p>
      <w:pPr>
        <w:pStyle w:val="TextBody"/>
        <w:bidi w:val="0"/>
        <w:spacing w:before="120" w:after="0"/>
        <w:jc w:val="left"/>
        <w:rPr>
          <w:rFonts w:ascii="Times New Roman" w:hAnsi="Times New Roman"/>
          <w:sz w:val="20"/>
        </w:rPr>
      </w:pPr>
      <w:r>
        <w:rPr>
          <w:rFonts w:ascii="Times New Roman" w:hAnsi="Times New Roman"/>
          <w:sz w:val="20"/>
        </w:rPr>
        <w:t xml:space="preserve">Attention: President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may have been furnished to Indemnitee by the Company or to the Company by Indemnitee,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Counterparts</w:t>
      </w:r>
      <w:r>
        <w:rPr>
          <w:rFonts w:ascii="Times New Roman" w:hAnsi="Times New Roman"/>
          <w:sz w:val="20"/>
        </w:rPr>
        <w:t xml:space="preserve">. This Agreement may be executed in two (2) or more counterparts, each of which shall be deemed an original, but all of which together shall constitute one and the same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Governing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hAnsi="Times New Roman"/>
          <w:b/>
          <w:sz w:val="20"/>
        </w:rPr>
        <w:t>Delaware Court</w:t>
      </w:r>
      <w:r>
        <w:rPr>
          <w:rFonts w:ascii="Times New Roman" w:hAnsi="Times New Roman"/>
          <w:sz w:val="20"/>
        </w:rPr>
        <w:t xml:space="preserve">”),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Indemnification Agreement on and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4"/>
        <w:gridCol w:w="60"/>
        <w:gridCol w:w="698"/>
        <w:gridCol w:w="60"/>
        <w:gridCol w:w="2390"/>
      </w:tblGrid>
      <w:tr>
        <w:trPr/>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left"/>
              <w:rPr>
                <w:b/>
              </w:rPr>
            </w:pPr>
            <w:r>
              <w:rPr>
                <w:b/>
              </w:rPr>
              <w:t>RTW NEWCO10, INC.</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c>
          <w:tcPr>
            <w:tcW w:w="2450"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pBdr>
                <w:bottom w:val="single" w:sz="2" w:space="1" w:color="000000"/>
              </w:pBdr>
              <w:bidi w:val="0"/>
              <w:spacing w:before="0" w:after="20"/>
              <w:jc w:val="left"/>
              <w:rPr/>
            </w:pPr>
            <w:r>
              <w:rPr/>
              <w:t> </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pPr>
            <w:r>
              <w:rPr/>
              <w:t>Alice Lee</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pPr>
            <w:r>
              <w:rPr/>
              <w:t>President</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3208"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left"/>
              <w:rPr>
                <w:b/>
              </w:rPr>
            </w:pPr>
            <w:r>
              <w:rPr>
                <w:b/>
              </w:rPr>
              <w:t>INDEMNITEE</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3208"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48" w:type="dxa"/>
            <w:gridSpan w:val="3"/>
            <w:tcBorders/>
          </w:tcPr>
          <w:p>
            <w:pPr>
              <w:pStyle w:val="TableContents"/>
              <w:pBdr>
                <w:bottom w:val="single" w:sz="2" w:space="1" w:color="000000"/>
              </w:pBdr>
              <w:bidi w:val="0"/>
              <w:spacing w:before="0" w:after="20"/>
              <w:jc w:val="left"/>
              <w:rPr/>
            </w:pPr>
            <w:r>
              <w:rPr/>
              <w:t> </w:t>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c>
          <w:tcPr>
            <w:tcW w:w="2450"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63" w:name="d108148dex1023.htm"/>
      <w:bookmarkStart w:id="264" w:name="ksd108148dex1023"/>
      <w:bookmarkEnd w:id="263"/>
      <w:bookmarkEnd w:id="264"/>
      <w:r>
        <w:rPr>
          <w:rFonts w:ascii="Times New Roman" w:hAnsi="Times New Roman"/>
          <w:b/>
          <w:sz w:val="20"/>
        </w:rPr>
        <w:t xml:space="preserve">Exhibit 10.23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857250" cy="838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June 15, 2026 </w:t>
      </w:r>
    </w:p>
    <w:p>
      <w:pPr>
        <w:pStyle w:val="TextBody"/>
        <w:bidi w:val="0"/>
        <w:spacing w:before="240" w:after="0"/>
        <w:jc w:val="left"/>
        <w:rPr>
          <w:rFonts w:ascii="Times New Roman" w:hAnsi="Times New Roman"/>
          <w:sz w:val="20"/>
        </w:rPr>
      </w:pPr>
      <w:r>
        <w:rPr>
          <w:rFonts w:ascii="Times New Roman" w:hAnsi="Times New Roman"/>
          <w:sz w:val="20"/>
        </w:rPr>
        <w:t xml:space="preserve">Kenneth Mills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Kenneth, </w:t>
      </w:r>
    </w:p>
    <w:p>
      <w:pPr>
        <w:pStyle w:val="TextBody"/>
        <w:bidi w:val="0"/>
        <w:spacing w:before="120" w:after="0"/>
        <w:jc w:val="left"/>
        <w:rPr>
          <w:rFonts w:ascii="Times New Roman" w:hAnsi="Times New Roman"/>
          <w:sz w:val="20"/>
        </w:rPr>
      </w:pPr>
      <w:r>
        <w:rPr>
          <w:rFonts w:ascii="Times New Roman" w:hAnsi="Times New Roman"/>
          <w:sz w:val="20"/>
        </w:rPr>
        <w:t>On behalf of RTW Newco10, Inc. (the “</w:t>
      </w:r>
      <w:r>
        <w:rPr>
          <w:rFonts w:ascii="Times New Roman" w:hAnsi="Times New Roman"/>
          <w:b/>
          <w:sz w:val="20"/>
        </w:rPr>
        <w:t>Company</w:t>
      </w:r>
      <w:r>
        <w:rPr>
          <w:rFonts w:ascii="Times New Roman" w:hAnsi="Times New Roman"/>
          <w:sz w:val="20"/>
        </w:rPr>
        <w:t>”) we are pleased to offer you (“</w:t>
      </w:r>
      <w:r>
        <w:rPr>
          <w:rFonts w:ascii="Times New Roman" w:hAnsi="Times New Roman"/>
          <w:b/>
          <w:sz w:val="20"/>
        </w:rPr>
        <w:t>you</w:t>
      </w:r>
      <w:r>
        <w:rPr>
          <w:rFonts w:ascii="Times New Roman" w:hAnsi="Times New Roman"/>
          <w:sz w:val="20"/>
        </w:rPr>
        <w:t>” or the “</w:t>
      </w:r>
      <w:r>
        <w:rPr>
          <w:rFonts w:ascii="Times New Roman" w:hAnsi="Times New Roman"/>
          <w:b/>
          <w:sz w:val="20"/>
        </w:rPr>
        <w:t>Executive</w:t>
      </w:r>
      <w:r>
        <w:rPr>
          <w:rFonts w:ascii="Times New Roman" w:hAnsi="Times New Roman"/>
          <w:sz w:val="20"/>
        </w:rPr>
        <w:t xml:space="preserve">”) employment with the Company based on the general terms that are outlined in this letter.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6"/>
        <w:gridCol w:w="121"/>
        <w:gridCol w:w="7688"/>
      </w:tblGrid>
      <w:tr>
        <w:trPr/>
        <w:tc>
          <w:tcPr>
            <w:tcW w:w="23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Position:</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President and Chief Executive Officer</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Reporting to:</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Board of Directors of the Company (the “</w:t>
            </w:r>
            <w:r>
              <w:rPr>
                <w:b/>
              </w:rPr>
              <w:t>Board</w:t>
            </w:r>
            <w:r>
              <w:rPr/>
              <w:t>”)</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Employment Start Date:</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August 1, 2026</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Location:</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Maryland and New York</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Annual Base Salary:</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$615,000, payable in semi-monthly installments and otherwise in accordance with the Company’s payroll methods and procedures, subject to all applicable taxes and withholding.</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Target Bonus:</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55%</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b/>
                <w:u w:val="single"/>
              </w:rPr>
            </w:pPr>
            <w:r>
              <w:rPr>
                <w:b/>
                <w:u w:val="single"/>
              </w:rPr>
              <w:t>Equity:</w:t>
            </w:r>
          </w:p>
        </w:tc>
        <w:tc>
          <w:tcPr>
            <w:tcW w:w="121" w:type="dxa"/>
            <w:tcBorders/>
            <w:vAlign w:val="bottom"/>
          </w:tcPr>
          <w:p>
            <w:pPr>
              <w:pStyle w:val="TableContents"/>
              <w:bidi w:val="0"/>
              <w:spacing w:before="0" w:after="283"/>
              <w:jc w:val="left"/>
              <w:rPr/>
            </w:pPr>
            <w:r>
              <w:rPr/>
              <w:t>  </w:t>
            </w:r>
          </w:p>
        </w:tc>
        <w:tc>
          <w:tcPr>
            <w:tcW w:w="7688" w:type="dxa"/>
            <w:tcBorders/>
          </w:tcPr>
          <w:p>
            <w:pPr>
              <w:pStyle w:val="TableContents"/>
              <w:bidi w:val="0"/>
              <w:spacing w:before="0" w:after="283"/>
              <w:jc w:val="left"/>
              <w:rPr/>
            </w:pPr>
            <w:r>
              <w:rPr/>
              <w:t>You will be granted equity in the Company (the “</w:t>
            </w:r>
            <w:r>
              <w:rPr>
                <w:b/>
              </w:rPr>
              <w:t>Equity Grant</w:t>
            </w:r>
            <w:r>
              <w:rPr/>
              <w:t>”) representing approximately 5% of the fully diluted capitalization of the Company (reflecting all outstanding convertible preferred stock, warrants, options and other equity interests that are convertible into or exercisable for common stock on an as-converted and as-exercised basis) as of the Company’s initial financing following the date hereof, consisting of (i) stock options representing approximately 2/3 of the Equity Grant and (ii) restricted stock units (“</w:t>
            </w:r>
            <w:r>
              <w:rPr>
                <w:b/>
              </w:rPr>
              <w:t>RSUs</w:t>
            </w:r>
            <w:r>
              <w:rPr/>
              <w:t>”) representing approximately 1/3 of the Equity Grant, provided that you will be granted additional RSUs to offset any dilution resulting from the Company’s financing commitments in amounts up to $230,000,000 and restore your equity awards to a full 5% of the fully diluted capitalization of the Company. The Equity Grant is subject to a 4-year vesting period (with 25% of the shares vesting on the first anniversary of your Employment Start Date and monthly thereafter) and the terms of the equity agreements and the Company’s equity plan.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4"/>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following pages have more details on your offer and should be read in conjunction with the details above. If you have any questions about this information, please contact Shalini Sinha (</w:t>
      </w:r>
      <w:r>
        <w:rPr>
          <w:rFonts w:ascii="Times New Roman" w:hAnsi="Times New Roman"/>
          <w:sz w:val="20"/>
          <w:u w:val="single"/>
        </w:rPr>
        <w:t>[***]</w:t>
      </w:r>
      <w:r>
        <w:rPr>
          <w:rFonts w:ascii="Times New Roman" w:hAnsi="Times New Roman"/>
          <w:sz w:val="20"/>
        </w:rPr>
        <w:t xml:space="preserve">). Otherwise, please confirm your acceptance of this offer of employment with RTW Newco10, Inc. by signing below and returning a copy by June 15, 2026. We look forward to having you join the team. </w:t>
      </w:r>
    </w:p>
    <w:p>
      <w:pPr>
        <w:pStyle w:val="TextBody"/>
        <w:bidi w:val="0"/>
        <w:spacing w:before="360" w:after="0"/>
        <w:jc w:val="left"/>
        <w:rPr>
          <w:rFonts w:ascii="Times New Roman" w:hAnsi="Times New Roman"/>
          <w:b/>
          <w:sz w:val="20"/>
        </w:rPr>
      </w:pPr>
      <w:r>
        <w:rPr>
          <w:rFonts w:ascii="Times New Roman" w:hAnsi="Times New Roman"/>
          <w:b/>
          <w:sz w:val="20"/>
        </w:rPr>
        <w:t xml:space="preserve">More terms on your offer: </w:t>
      </w:r>
    </w:p>
    <w:p>
      <w:pPr>
        <w:pStyle w:val="TextBody"/>
        <w:bidi w:val="0"/>
        <w:spacing w:before="120" w:after="0"/>
        <w:jc w:val="left"/>
        <w:rPr>
          <w:rFonts w:ascii="Times New Roman" w:hAnsi="Times New Roman"/>
          <w:sz w:val="20"/>
        </w:rPr>
      </w:pPr>
      <w:r>
        <w:rPr>
          <w:rFonts w:ascii="Times New Roman" w:hAnsi="Times New Roman"/>
          <w:sz w:val="20"/>
        </w:rPr>
        <w:t xml:space="preserve">Our offer to you is contingent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of a Proprietary Information, Inventions and Non-Solicitation/Non-Competition Agreement (attached below) by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your background check, satisfactory reference checks, and submission of valid proof of your identity and your legal authorization to work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representing and warranting that you are free to enter into and perform each of the terms and conditions of this Agreement; and that your execution and/or performance of all your obligations under this Agreement does not and will not violate or breach any other agreement (including, without limitation any non-competition agreement) between you and any other person or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Agreement contains the entire understanding between you and the Company regarding your employment with the Company and supersedes all prior understandings and agreements between you and the Company regarding your employment by the Company. This Agreement shall be construed in accordance with the laws of the State of New York without giving effect to conflict-of-laws provisions. </w:t>
      </w:r>
    </w:p>
    <w:p>
      <w:pPr>
        <w:pStyle w:val="TextBody"/>
        <w:bidi w:val="0"/>
        <w:spacing w:before="240" w:after="0"/>
        <w:jc w:val="left"/>
        <w:rPr>
          <w:rFonts w:ascii="Times New Roman" w:hAnsi="Times New Roman"/>
          <w:sz w:val="20"/>
        </w:rPr>
      </w:pPr>
      <w:r>
        <w:rPr>
          <w:rFonts w:ascii="Times New Roman" w:hAnsi="Times New Roman"/>
          <w:sz w:val="20"/>
        </w:rPr>
        <w:t xml:space="preserve">During your employment, you agree to remain in compliance with applicable Company policies as in effect from time to time; provided that any such policies are provided to you in writing and consistent with this Agreement and your position as Chief Executive Officer and President. </w:t>
      </w:r>
    </w:p>
    <w:p>
      <w:pPr>
        <w:pStyle w:val="TextBody"/>
        <w:bidi w:val="0"/>
        <w:spacing w:before="240" w:after="0"/>
        <w:jc w:val="left"/>
        <w:rPr>
          <w:rFonts w:ascii="Times New Roman" w:hAnsi="Times New Roman"/>
          <w:sz w:val="20"/>
        </w:rPr>
      </w:pPr>
      <w:r>
        <w:rPr>
          <w:rFonts w:ascii="Times New Roman" w:hAnsi="Times New Roman"/>
          <w:sz w:val="20"/>
        </w:rPr>
        <w:t xml:space="preserve">Your employment is classified as exempt from overtime and is on an at-will basis, subject to the terms of this letter. You or the Company may terminate your employment for any reason or no reason at any time. </w:t>
      </w:r>
    </w:p>
    <w:p>
      <w:pPr>
        <w:pStyle w:val="TextBody"/>
        <w:bidi w:val="0"/>
        <w:spacing w:before="240" w:after="0"/>
        <w:jc w:val="left"/>
        <w:rPr>
          <w:rFonts w:ascii="Times New Roman" w:hAnsi="Times New Roman"/>
          <w:sz w:val="20"/>
        </w:rPr>
      </w:pPr>
      <w:r>
        <w:rPr>
          <w:rFonts w:ascii="Times New Roman" w:hAnsi="Times New Roman"/>
          <w:b/>
          <w:sz w:val="20"/>
        </w:rPr>
        <w:t>Your</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r>
        <w:rPr>
          <w:rFonts w:ascii="Times New Roman" w:hAnsi="Times New Roman"/>
          <w:b/>
          <w:sz w:val="20"/>
        </w:rPr>
        <w:t>Role:</w:t>
      </w:r>
      <w:r>
        <w:rPr>
          <w:rFonts w:ascii="Times New Roman" w:hAnsi="Times New Roman"/>
          <w:sz w:val="20"/>
        </w:rPr>
        <w:t xml:space="preserve"> You will serve as the Chief Executive Officer and President of the Company. In addition to your executive role, you will hold the CEO-designated seat on the Board, effective as of your Employment Start Date or as soon thereafter as reasonably practicable. You shall be the most senior executive officer in the Company’s affiliated controlled group and hold the CEO-designated seat on the ultimate parent board of directors of the Company’s controlled group. The Company currently anticipates that you will begin full-time employee status on or around your Start Date. Upon the Start Date, you will become eligible for the employee benefits customarily provided by the Company to senior executives and set forth herein. Your role on the Board will automatically terminate upon your separation from the Company for any reason, unless otherwise agreed in writing by the Company and you.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5"/>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Compensation: </w:t>
      </w:r>
      <w:r>
        <w:rPr>
          <w:rFonts w:ascii="Times New Roman" w:hAnsi="Times New Roman"/>
          <w:sz w:val="20"/>
        </w:rPr>
        <w:t xml:space="preserve">All compensation components are subject to annual review, provided that your Annual Base Salary shall not be reduced nor shall your Target Bonus percentage, except in each case as mutually approved by you and the Board. </w:t>
      </w:r>
    </w:p>
    <w:p>
      <w:pPr>
        <w:pStyle w:val="TextBody"/>
        <w:bidi w:val="0"/>
        <w:spacing w:before="240" w:after="0"/>
        <w:jc w:val="left"/>
        <w:rPr>
          <w:rFonts w:ascii="Times New Roman" w:hAnsi="Times New Roman"/>
          <w:sz w:val="20"/>
        </w:rPr>
      </w:pPr>
      <w:r>
        <w:rPr>
          <w:rFonts w:ascii="Times New Roman" w:hAnsi="Times New Roman"/>
          <w:b/>
          <w:sz w:val="20"/>
        </w:rPr>
        <w:t xml:space="preserve">Target Bonus: </w:t>
      </w:r>
      <w:r>
        <w:rPr>
          <w:rFonts w:ascii="Times New Roman" w:hAnsi="Times New Roman"/>
          <w:sz w:val="20"/>
        </w:rPr>
        <w:t xml:space="preserve">The Target Bonus is a percentage of your Annual Base Salary. The bonus will be payable based on the achievement of objectives set by the Board after consultation with you, and the Board’s assessment of your performance relative to such objectives agreed upon and general business conditions. For the avoidance of doubt, your annual Target Bonus will not be pro-rated for the 2026 fiscal year. Your bonus is payable within ninety (90) days from the end of the fiscal year (December 31st). Except as set forth below, you must be employed by the Company at the time the bonus is paid to be eligible to receive the bonus. </w:t>
      </w:r>
    </w:p>
    <w:p>
      <w:pPr>
        <w:pStyle w:val="TextBody"/>
        <w:bidi w:val="0"/>
        <w:spacing w:before="240" w:after="0"/>
        <w:jc w:val="left"/>
        <w:rPr>
          <w:rFonts w:ascii="Times New Roman" w:hAnsi="Times New Roman"/>
          <w:sz w:val="20"/>
        </w:rPr>
      </w:pPr>
      <w:r>
        <w:rPr>
          <w:rFonts w:ascii="Times New Roman" w:hAnsi="Times New Roman"/>
          <w:b/>
          <w:sz w:val="20"/>
        </w:rPr>
        <w:t xml:space="preserve">Benefits: </w:t>
      </w:r>
      <w:r>
        <w:rPr>
          <w:rFonts w:ascii="Times New Roman" w:hAnsi="Times New Roman"/>
          <w:sz w:val="20"/>
        </w:rPr>
        <w:t xml:space="preserve">You will be eligible to participate in the Company’s employee benefit plans, subject to the eligibility requirements and other terms and conditions of those plans. These benefits include medical, dental, vision, life and disability insurance, and a 401(k) program with company match. Paid time off, including vacation, sick leave, and holidays, will be provided in accordance with the policies and practices of the Company. Notwithstanding the foregoing, for a period of up to twelve (12) months following your Employment Start Date, the Company shall reimburse you for the cost of maintaining coverage under your current Maryland healthcare plan (or provide a comparable COBRA-related reimbursement or offset arrangements) subject to applicable law and Company policy. The parties will work together in good faith to implement this arrangement in a tax-efficient and administratively practical manner following review of current plan details. </w:t>
      </w:r>
    </w:p>
    <w:p>
      <w:pPr>
        <w:pStyle w:val="TextBody"/>
        <w:bidi w:val="0"/>
        <w:spacing w:before="240" w:after="0"/>
        <w:jc w:val="left"/>
        <w:rPr>
          <w:rFonts w:ascii="Times New Roman" w:hAnsi="Times New Roman"/>
          <w:sz w:val="20"/>
        </w:rPr>
      </w:pPr>
      <w:r>
        <w:rPr>
          <w:rFonts w:ascii="Times New Roman" w:hAnsi="Times New Roman"/>
          <w:b/>
          <w:sz w:val="20"/>
        </w:rPr>
        <w:t xml:space="preserve">Severance: </w:t>
      </w:r>
      <w:r>
        <w:rPr>
          <w:rFonts w:ascii="Times New Roman" w:hAnsi="Times New Roman"/>
          <w:sz w:val="20"/>
        </w:rPr>
        <w:t xml:space="preserve">In the event that your employment with the Company is (i) involuntarily terminated without Cause (as defined below) or (ii) terminated by you for Good Reason (as defined below), in each case prior to three (3) months before a Change in Control (as defined below) or after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twelve (12) months of your Annual Base Salary at the time of your termination of employment plus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twelve (12)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twenty-five percent (25%)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6"/>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your employment with the Company is (i) involuntarily terminated without Cause or (ii) terminated by you for Good Reason, in each case, within the three (3) months before or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eighteen (18) months of your Annual Base Salary plus 1.5 times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eighteen (18)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one hundred percent (100%)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shall mean the occurrence of any of the following: (a) your gross negligence or willful misconduct in connection with the performance of your duties that is materially detrimental to the Company, detailed in a written notice thereof, and, if such action is curable, your failure to cure such action within thirty (30) days after receiving such notice; (b) your conviction or entry of a plea of </w:t>
      </w:r>
      <w:r>
        <w:rPr>
          <w:rFonts w:ascii="Times New Roman" w:hAnsi="Times New Roman"/>
          <w:i/>
          <w:sz w:val="20"/>
        </w:rPr>
        <w:t xml:space="preserve">nolo contendere </w:t>
      </w:r>
      <w:r>
        <w:rPr>
          <w:rFonts w:ascii="Times New Roman" w:hAnsi="Times New Roman"/>
          <w:sz w:val="20"/>
        </w:rPr>
        <w:t xml:space="preserve">for dishonesty, fraud or embezzlement, or any felony or crime of moral turpitude; (c) your material violation of any material provision of any agreement(s) between you and the Company or any written Company policies including, without limitation, agreements relating to non-solicitation, non-disclosure and/or assignment of inventions or policies related to ethics or workplace conduct and, if such violation is curable, your failure to cure such breach within 30 days after receiving such notice; or (d) the insolvency or dissolution of the Company. </w:t>
      </w:r>
    </w:p>
    <w:p>
      <w:pPr>
        <w:pStyle w:val="TextBody"/>
        <w:bidi w:val="0"/>
        <w:spacing w:before="240" w:after="0"/>
        <w:jc w:val="left"/>
        <w:rPr/>
      </w:pPr>
      <w:r>
        <w:rPr/>
        <w:t>“</w:t>
      </w:r>
      <w:r>
        <w:rPr>
          <w:rFonts w:ascii="Times New Roman" w:hAnsi="Times New Roman"/>
          <w:b/>
          <w:sz w:val="20"/>
        </w:rPr>
        <w:t xml:space="preserve">Good Reason” </w:t>
      </w:r>
      <w:r>
        <w:rPr>
          <w:rFonts w:ascii="Times New Roman" w:hAnsi="Times New Roman"/>
          <w:sz w:val="20"/>
        </w:rPr>
        <w:t xml:space="preserve">shall mean the occurrence of any one or more of the following events without your consent: (a) a material, adverse change in title or material reduction in authority, reporting relationship, or duties (including assignment of duties materially inconsistent with your position other than any temporary assignment made in good faith due to exigent business circumstances, and including, if you cease to be the most senior executive officer of the Company’s controlled group, if you cease to hold the CEO-designated seat on the board of directors of the Company or the ultimate parent entity of the Company’s controlled group, or if you are required to report to any person other than the board of directors of the Company or the ultimate parent entity of the Company’s controlled group); (b) a required relocation of your principal worksites by more than fifty (50) miles that materially increases your commute; (c) a material reduction in your Annual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7"/>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 Salary or Target Bonus, except for across-the-board salary reductions of no more than 10% similarly affecting all or substantially all senior management employees of the Company; or (d) a material breach by the Company of any of its obligations under any agreement between the Company and you or applicable to you, including the Company’s failure to grant the equity described in this Agreement; provided that none of the foregoing shall constitute Good Reason unless you provide written objection within thirty (30) days of the event and the Company fails to cure the issue within thirty (30) days of such notice.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Change in Control</w:t>
      </w:r>
      <w:r>
        <w:rPr>
          <w:rFonts w:ascii="Times New Roman" w:hAnsi="Times New Roman"/>
          <w:sz w:val="20"/>
        </w:rPr>
        <w:t xml:space="preserve">” shall occur if: (a) an individual or entity that is not an affiliate of the Company acquires 50% or more of the ownership interest in the Company representing a majority of the Company’s outstanding voting power immediately following such acquisition; (b) there is a merger, acquisition or similar transaction involving the Company that results in the voting securities of the Company outstanding immediately prior thereto ceasing to represent at least 50% of the combined voting power of the surviving entity immediately following such merger, acquisition or similar transaction; or (c) there is a sale of all or substantially all of the Company’s assets; provided that the following events shall not constitute a “Change in Control”: (i)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or any other transaction or series of related transactions principally for bona fide equity financing purposes;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 For the avoidance of doubt, the consummation of a merger that results in the Company first becoming publicly traded shall in no event be considered a Change in Control for purposes hereof. </w:t>
      </w:r>
    </w:p>
    <w:p>
      <w:pPr>
        <w:pStyle w:val="TextBody"/>
        <w:bidi w:val="0"/>
        <w:spacing w:before="240" w:after="0"/>
        <w:jc w:val="left"/>
        <w:rPr>
          <w:rFonts w:ascii="Times New Roman" w:hAnsi="Times New Roman"/>
          <w:sz w:val="20"/>
        </w:rPr>
      </w:pPr>
      <w:r>
        <w:rPr>
          <w:rFonts w:ascii="Times New Roman" w:hAnsi="Times New Roman"/>
          <w:b/>
          <w:sz w:val="20"/>
        </w:rPr>
        <w:t xml:space="preserve">Legal and Advisory Expenses: </w:t>
      </w:r>
      <w:r>
        <w:rPr>
          <w:rFonts w:ascii="Times New Roman" w:hAnsi="Times New Roman"/>
          <w:sz w:val="20"/>
        </w:rPr>
        <w:t xml:space="preserve">The Company will reimburse the Executive for an amount not to exceed $20,000 for legal and advisory expenses incurred by the Executive in negotiating and finalizing this Agreement and all related agreements, with the understanding that such reimbursement will only be made after the Executive has commenced employment under this Agreement and will be paid within 30 days following issuance of invoices therefore.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(a) Anything in this Agreement to the contrary notwithstanding, if at the time of Executive’s separation from service within the meaning of Section 409A, the Company determines that Executive is a “specified employee” within the meaning of Section 409A(a)(2)(B)(i), then to the extent any payment or benefit that Executive becomes entitled to under this Agreement on account of Executive’s separation from service would be considered “non-qualified deferred compensation” otherwise subject to the 20% additional tax imposed pursuant to Section 409A(a) as a result of the application of Section 409A(a)(2)(B)(i) and does not qualify for any exemption, exclusion or deferral exception otherwise available under Section 409A,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8"/>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payment shall not be payable and such benefit shall not be provided until the date that is the earlier of (A) six months and one day after Executive’s separation from service, or (B) Executive’s death (the “</w:t>
      </w:r>
      <w:r>
        <w:rPr>
          <w:rFonts w:ascii="Times New Roman" w:hAnsi="Times New Roman"/>
          <w:b/>
          <w:sz w:val="20"/>
        </w:rPr>
        <w:t>Delay Period</w:t>
      </w:r>
      <w:r>
        <w:rPr>
          <w:rFonts w:ascii="Times New Roman" w:hAnsi="Times New Roman"/>
          <w:sz w:val="20"/>
        </w:rPr>
        <w:t xml:space="preserve">”). Upon the expiration of the Delay Period, all payments and benefits delayed pursuant to this paragraph (whether they would have otherwise been payable in a single sum or in installments in the absence of such delay) shall be paid or reimbursed on the first business day following the expiration of the Delay Period to Executive in a lump sum (without interest) and any remaining payments and benefits due under this Agreement shall be paid or provided in accordance with the normal payment dates specified for them herein. </w:t>
      </w:r>
    </w:p>
    <w:p>
      <w:pPr>
        <w:pStyle w:val="TextBody"/>
        <w:bidi w:val="0"/>
        <w:spacing w:before="24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To the extent that any provision of this Agreement is ambiguous as to its compliance with Section 409A, the provision shall be read in such a manner so that all payments hereunder comply with Section 409A.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and all related rules and regulations in order to preserve the payments and benefits provided hereunder without additional cost to either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9"/>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Alice Lee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Alice Lee</w:t>
            </w:r>
          </w:p>
          <w:p>
            <w:pPr>
              <w:pStyle w:val="TableContents"/>
              <w:bidi w:val="0"/>
              <w:spacing w:before="0" w:after="20"/>
              <w:jc w:val="left"/>
              <w:rPr>
                <w:rFonts w:ascii="Times New Roman" w:hAnsi="Times New Roman"/>
                <w:sz w:val="20"/>
              </w:rPr>
            </w:pPr>
            <w:r>
              <w:rPr>
                <w:rFonts w:ascii="Times New Roman" w:hAnsi="Times New Roman"/>
                <w:sz w:val="20"/>
              </w:rPr>
              <w:t>President</w:t>
            </w:r>
          </w:p>
        </w:tc>
      </w:tr>
      <w:tr>
        <w:trPr/>
        <w:tc>
          <w:tcPr>
            <w:tcW w:w="4082" w:type="dxa"/>
            <w:tcBorders/>
          </w:tcPr>
          <w:p>
            <w:pPr>
              <w:pStyle w:val="TableContents"/>
              <w:bidi w:val="0"/>
              <w:spacing w:before="0" w:after="283"/>
              <w:jc w:val="left"/>
              <w:rPr/>
            </w:pPr>
            <w:r>
              <w:rPr/>
              <w:t>RTW Newco10,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I accept the terms of employment as stated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0"/>
        <w:gridCol w:w="408"/>
        <w:gridCol w:w="61"/>
        <w:gridCol w:w="23"/>
        <w:gridCol w:w="100"/>
        <w:gridCol w:w="4706"/>
      </w:tblGrid>
      <w:tr>
        <w:trPr/>
        <w:tc>
          <w:tcPr>
            <w:tcW w:w="48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Dated: June 15, 2026</w:t>
            </w:r>
          </w:p>
        </w:tc>
      </w:tr>
      <w:tr>
        <w:trPr/>
        <w:tc>
          <w:tcPr>
            <w:tcW w:w="4807" w:type="dxa"/>
            <w:tcBorders/>
          </w:tcPr>
          <w:p>
            <w:pPr>
              <w:pStyle w:val="TableContents"/>
              <w:bidi w:val="0"/>
              <w:spacing w:before="0" w:after="283"/>
              <w:jc w:val="left"/>
              <w:rPr/>
            </w:pPr>
            <w:r>
              <w:rPr/>
              <w:t>Kenneth Mills</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0"/>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PROPRIETARY INFORMATION, INVENTIONS AND NON-SOLICITATION/NON-COMPETITION AGREEMENT </w:t>
      </w:r>
    </w:p>
    <w:p>
      <w:pPr>
        <w:pStyle w:val="TextBody"/>
        <w:bidi w:val="0"/>
        <w:spacing w:before="240" w:after="0"/>
        <w:jc w:val="left"/>
        <w:rPr>
          <w:rFonts w:ascii="Times New Roman" w:hAnsi="Times New Roman"/>
          <w:sz w:val="20"/>
        </w:rPr>
      </w:pPr>
      <w:r>
        <w:rPr>
          <w:rFonts w:ascii="Times New Roman" w:hAnsi="Times New Roman"/>
          <w:sz w:val="20"/>
        </w:rPr>
        <w:t>In consideration of my employment or continued employment by RTW Newco10, Inc., a Delaware corporation (“</w:t>
      </w:r>
      <w:r>
        <w:rPr>
          <w:rFonts w:ascii="Times New Roman" w:hAnsi="Times New Roman"/>
          <w:b/>
          <w:sz w:val="20"/>
        </w:rPr>
        <w:t>RTW Newco10</w:t>
      </w:r>
      <w:r>
        <w:rPr>
          <w:rFonts w:ascii="Times New Roman" w:hAnsi="Times New Roman"/>
          <w:sz w:val="20"/>
        </w:rPr>
        <w:t>”) and its subsidiaries (collectively, the “</w:t>
      </w:r>
      <w:r>
        <w:rPr>
          <w:rFonts w:ascii="Times New Roman" w:hAnsi="Times New Roman"/>
          <w:b/>
          <w:sz w:val="20"/>
        </w:rPr>
        <w:t>Company</w:t>
      </w:r>
      <w:r>
        <w:rPr>
          <w:rFonts w:ascii="Times New Roman" w:hAnsi="Times New Roman"/>
          <w:sz w:val="20"/>
        </w:rPr>
        <w:t>”), and the compensation now and hereafter paid to me, I, Kenneth Mills, hereby enter into this Proprietary Information, Inventions, Non-Solicitation and Non-Competition Agreement (the “</w:t>
      </w:r>
      <w:r>
        <w:rPr>
          <w:rFonts w:ascii="Times New Roman" w:hAnsi="Times New Roman"/>
          <w:b/>
          <w:sz w:val="20"/>
        </w:rPr>
        <w:t>Agreement</w:t>
      </w:r>
      <w:r>
        <w:rPr>
          <w:rFonts w:ascii="Times New Roman" w:hAnsi="Times New Roman"/>
          <w:sz w:val="20"/>
        </w:rPr>
        <w:t xml:space="preserve">”) as of May 22, 2026 and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NONDISCLOSURE. </w:t>
            </w:r>
          </w:p>
        </w:tc>
      </w:tr>
    </w:tbl>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Recognition of Company’s Rights; Nondisclosure. </w:t>
      </w:r>
      <w:r>
        <w:rPr>
          <w:rFonts w:ascii="Times New Roman" w:hAnsi="Times New Roman"/>
          <w:sz w:val="20"/>
        </w:rPr>
        <w:t xml:space="preserve">I understand and acknowledge that my employment by the Company creates a relationship of confidence and trust with respect to the Proprietary Information (defined below) and that the Company has a protectable interest therein. At all times during my employment and thereafter, I will hold in strictest confidence and will not disclose, use, lecture upon or publish any Proprietary Information (as defined below),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the Company and/or incorporates any Proprietary Information. I hereby assign and agree to assign to RTW Newco10 any rights I may have or acquire in such Proprietary Information and recognize that all Proprietary Information shall be the sole property of RTW Newco10 and its assigns. I will take all reasonable precautions to prevent the inadvertent or accidental disclosure of Proprietary Information.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Proprietary Information. </w:t>
      </w:r>
      <w:r>
        <w:rPr>
          <w:rFonts w:ascii="Times New Roman" w:hAnsi="Times New Roman"/>
          <w:sz w:val="20"/>
        </w:rPr>
        <w:t>The term “</w:t>
      </w:r>
      <w:r>
        <w:rPr>
          <w:rFonts w:ascii="Times New Roman" w:hAnsi="Times New Roman"/>
          <w:b/>
          <w:sz w:val="20"/>
        </w:rPr>
        <w:t>Proprietary Information</w:t>
      </w:r>
      <w:r>
        <w:rPr>
          <w:rFonts w:ascii="Times New Roman" w:hAnsi="Times New Roman"/>
          <w:sz w:val="20"/>
        </w:rPr>
        <w:t>” means any and all confidential and/or proprietary knowledge, data or information of the Company, whether having existed, now existing, or to be developed during my employment. By way of illustration but not limitation, “</w:t>
      </w:r>
      <w:r>
        <w:rPr>
          <w:rFonts w:ascii="Times New Roman" w:hAnsi="Times New Roman"/>
          <w:b/>
          <w:sz w:val="20"/>
        </w:rPr>
        <w:t>Proprietary Information</w:t>
      </w:r>
      <w:r>
        <w:rPr>
          <w:rFonts w:ascii="Times New Roman" w:hAnsi="Times New Roman"/>
          <w:sz w:val="20"/>
        </w:rPr>
        <w:t>” includes (a) trade secrets, inventions, mask works, ideas, processes, formulas, source and object codes, data, programs, other works of authorship, know-how, improvements, discoveries, developments, designs and techniques and any other proprietary technology and all Proprietary Rights therein (hereinafter collectively referred to as “</w:t>
      </w:r>
      <w:r>
        <w:rPr>
          <w:rFonts w:ascii="Times New Roman" w:hAnsi="Times New Roman"/>
          <w:b/>
          <w:sz w:val="20"/>
        </w:rPr>
        <w:t>Inventions</w:t>
      </w:r>
      <w:r>
        <w:rPr>
          <w:rFonts w:ascii="Times New Roman" w:hAnsi="Times New Roman"/>
          <w:sz w:val="20"/>
        </w:rPr>
        <w:t xml:space="preserve">”);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the Company, including customer lists, names, representatives, their needs or desires with respect to the types of products or services offered by the Company, proposals, bids, contracts 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 (e) information regarding personnel, employee lists, compensation, and employee skills; and (f) any other non-public information which a competitor of the Company could use to the competitive disadvantage of the Company. Notwithstanding the foregoing, it is understood that, at all such times, I am free to use information which is generally known in the trade or industry through no breach of this agreement or other act or omission by me, and I am free to discuss the terms and conditions of my employment with others to the extent permitted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1"/>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Third Party Information. </w:t>
      </w:r>
      <w:r>
        <w:rPr>
          <w:rFonts w:ascii="Times New Roman" w:hAnsi="Times New Roman"/>
          <w:sz w:val="20"/>
        </w:rPr>
        <w:t>I understand, in addition, that the Company has received and in the future will receive from third parties their confidential and/or proprietary knowledge, data, or information (“</w:t>
      </w:r>
      <w:r>
        <w:rPr>
          <w:rFonts w:ascii="Times New Roman" w:hAnsi="Times New Roman"/>
          <w:b/>
          <w:sz w:val="20"/>
        </w:rPr>
        <w:t>Third Party Information</w:t>
      </w:r>
      <w:r>
        <w:rPr>
          <w:rFonts w:ascii="Times New Roman" w:hAnsi="Times New Roman"/>
          <w:sz w:val="20"/>
        </w:rPr>
        <w:t xml:space="preserve">”). During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Term of Nondisclosure Restrictions. </w:t>
      </w:r>
      <w:r>
        <w:rPr>
          <w:rFonts w:ascii="Times New Roman" w:hAnsi="Times New Roman"/>
          <w:sz w:val="20"/>
        </w:rPr>
        <w:t xml:space="preserve">I understand that Proprietary Information and Third Party Information is never to be used or disclosed by me, as provided in this Section 1. If, however, a court decides that this Section 1 or any of its provisions is unenforceable for lack of reasonable temporal limitation and the Agreement or its restriction(s) cannot otherwise be enforced, I agree and the Company agrees that the two (2)-year period after the date my employment with the Company ends shall be the temporal limitation relevant to the contested restriction, provided, however, that this sentence shall not apply to trade secrets protected without temporal limitation under applicable law.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 xml:space="preserve">No Improper Use of Information of Prior Employers and Others. </w:t>
      </w:r>
      <w:r>
        <w:rPr>
          <w:rFonts w:ascii="Times New Roman" w:hAnsi="Times New Roman"/>
          <w:sz w:val="20"/>
        </w:rPr>
        <w:t xml:space="preserve">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OF INVENTIONS. </w:t>
            </w:r>
          </w:p>
        </w:tc>
      </w:tr>
    </w:tbl>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Proprietary Rights. </w:t>
      </w:r>
      <w:r>
        <w:rPr>
          <w:rFonts w:ascii="Times New Roman" w:hAnsi="Times New Roman"/>
          <w:sz w:val="20"/>
        </w:rPr>
        <w:t>The term “</w:t>
      </w:r>
      <w:r>
        <w:rPr>
          <w:rFonts w:ascii="Times New Roman" w:hAnsi="Times New Roman"/>
          <w:b/>
          <w:sz w:val="20"/>
        </w:rPr>
        <w:t>Proprietary Rights</w:t>
      </w:r>
      <w:r>
        <w:rPr>
          <w:rFonts w:ascii="Times New Roman" w:hAnsi="Times New Roman"/>
          <w:sz w:val="20"/>
        </w:rPr>
        <w:t xml:space="preserve">” means all trade secrets, patents, copyrights, trademarks, mask works and other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Prior Inventions. </w:t>
      </w:r>
      <w:r>
        <w:rPr>
          <w:rFonts w:ascii="Times New Roman" w:hAnsi="Times New Roman"/>
          <w:sz w:val="20"/>
        </w:rPr>
        <w:t xml:space="preserve">Inventions, if any, patented or unpatented, which I made prior to the commencement of my employment with the Company are excluded from the scope of this Agreement. To preclude any possible uncertainty, I have set forth on </w:t>
      </w:r>
      <w:r>
        <w:rPr>
          <w:rFonts w:ascii="Times New Roman" w:hAnsi="Times New Roman"/>
          <w:i/>
          <w:sz w:val="20"/>
        </w:rPr>
        <w:t xml:space="preserve">Exhibit A </w:t>
      </w:r>
      <w:r>
        <w:rPr>
          <w:rFonts w:ascii="Times New Roman" w:hAnsi="Times New Roman"/>
          <w:sz w:val="20"/>
        </w:rPr>
        <w:t>(Previous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w:t>
      </w:r>
      <w:r>
        <w:rPr>
          <w:rFonts w:ascii="Times New Roman" w:hAnsi="Times New Roman"/>
          <w:b/>
          <w:sz w:val="20"/>
        </w:rPr>
        <w:t>Prior Inventions</w:t>
      </w:r>
      <w:r>
        <w:rPr>
          <w:rFonts w:ascii="Times New Roman" w:hAnsi="Times New Roman"/>
          <w:sz w:val="20"/>
        </w:rPr>
        <w:t xml:space="preserve">”). If disclosure of any such Prior Invention would cause me to violate any prior confidentiality agreement, I understand that I am not to list such Prior Inventions in </w:t>
      </w:r>
      <w:r>
        <w:rPr>
          <w:rFonts w:ascii="Times New Roman" w:hAnsi="Times New Roman"/>
          <w:i/>
          <w:sz w:val="20"/>
        </w:rPr>
        <w:t xml:space="preserve">Exhibit A </w:t>
      </w:r>
      <w:r>
        <w:rPr>
          <w:rFonts w:ascii="Times New Roman" w:hAnsi="Times New Roman"/>
          <w:sz w:val="20"/>
        </w:rPr>
        <w:t xml:space="preserve">but am only to disclose a cursory name for each such invention, a listing of the party(ies) to whom it belongs and the fact that full disclosure as to such inventions has not been made for that reason. A space is provided on </w:t>
      </w:r>
      <w:r>
        <w:rPr>
          <w:rFonts w:ascii="Times New Roman" w:hAnsi="Times New Roman"/>
          <w:i/>
          <w:sz w:val="20"/>
        </w:rPr>
        <w:t xml:space="preserve">Exhibit A </w:t>
      </w:r>
      <w:r>
        <w:rPr>
          <w:rFonts w:ascii="Times New Roman" w:hAnsi="Times New Roman"/>
          <w:sz w:val="20"/>
        </w:rPr>
        <w:t xml:space="preserve">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fully-paid, worldwide license (with rights to sublicense through multiple tiers of sublicensees) to make, have made, modify, make derivative works of, publicly perform, use, sell, import, and exercise any and all present and future rights in such Prior Invention.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agree that I will not incorporate, or permit to be incorporated, Prior Inventions in any Company Inventions without the Company’s prior written consent.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2"/>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 xml:space="preserve">Assignment of Inventions. </w:t>
      </w:r>
      <w:r>
        <w:rPr>
          <w:rFonts w:ascii="Times New Roman" w:hAnsi="Times New Roman"/>
          <w:sz w:val="20"/>
        </w:rPr>
        <w:t>Subject to Subsections 2.4 and 2.6, I hereby assign and agree to assign in the future (when any such Inventions or Proprietary Rights are first reduced to practice or first fixed in a tangible medium, as applicable) to RTW Newco10 all my right, title and interest in and to any and all Inventions (and all Proprietary Rights with respect thereto) whether or not patentable or registerable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w:t>
      </w:r>
      <w:r>
        <w:rPr>
          <w:rFonts w:ascii="Times New Roman" w:hAnsi="Times New Roman"/>
          <w:b/>
          <w:sz w:val="20"/>
        </w:rPr>
        <w:t>Company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rPr>
        <w:t xml:space="preserve">Unassigned or Nonassignable Inventions. </w:t>
      </w:r>
      <w:r>
        <w:rPr>
          <w:rFonts w:ascii="Times New Roman" w:hAnsi="Times New Roman"/>
          <w:sz w:val="20"/>
        </w:rPr>
        <w:t xml:space="preserve">I recognize that this Agreement will not be deemed to require assignment of any Invention that I developed entirely on my own time without using the Company’s equipment, supplies, facilities, trade secrets, or Proprietary Information, except for those Inventions that either (i) relate to the Company’s actual or anticipated business, research or development, or (ii) result from or are connected with work performed by me for the Company.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 xml:space="preserve">Obligation to Keep Company Informed. </w:t>
      </w:r>
      <w:r>
        <w:rPr>
          <w:rFonts w:ascii="Times New Roman" w:hAnsi="Times New Roman"/>
          <w:sz w:val="20"/>
        </w:rPr>
        <w:t xml:space="preserve">During the period of 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with the Company.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rPr>
        <w:t xml:space="preserve">Government or Third Party. </w:t>
      </w:r>
      <w:r>
        <w:rPr>
          <w:rFonts w:ascii="Times New Roman" w:hAnsi="Times New Roman"/>
          <w:sz w:val="20"/>
        </w:rPr>
        <w:t xml:space="preserve">I also agree to assign all my right, title and interest in and to any particular Company Invention to a third party, including without limitation the United States, as directed by the Company.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rPr>
        <w:t xml:space="preserve">Works for Hire. </w:t>
      </w:r>
      <w:r>
        <w:rPr>
          <w:rFonts w:ascii="Times New Roman" w:hAnsi="Times New Roman"/>
          <w:sz w:val="20"/>
        </w:rPr>
        <w:t xml:space="preserve">I acknowledge that all original works of authorship which are made by me (solely or jointly with others) within the scope of my employment and which are protectable by copyright are “works made for hire,” pursuant to United States Copyright Act (17 U.S.C., Section 101).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rPr>
        <w:t xml:space="preserve">Enforcement of Proprietary Rights. </w:t>
      </w:r>
      <w:r>
        <w:rPr>
          <w:rFonts w:ascii="Times New Roman" w:hAnsi="Times New Roman"/>
          <w:sz w:val="20"/>
        </w:rPr>
        <w:t xml:space="preserve">I will 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RECORDS. </w:t>
      </w:r>
      <w:r>
        <w:rPr>
          <w:rFonts w:ascii="Times New Roman" w:hAnsi="Times New Roman"/>
          <w:sz w:val="20"/>
        </w:rPr>
        <w:t xml:space="preserve">I agree to keep and maintain adequate and current records (in 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DUTY OF LOYALTY DURING EMPLOYMENT. </w:t>
      </w:r>
      <w:r>
        <w:rPr>
          <w:rFonts w:ascii="Times New Roman" w:hAnsi="Times New Roman"/>
          <w:sz w:val="20"/>
        </w:rPr>
        <w:t xml:space="preserve">I agree that during the period of my employment by the Company I will not, without the Company’s express written consent, directly or indirectly engage in any employment or business activity which is directly or indirectly competitive with, or would otherwise conflict with, my employment by the Company; provided, however, that this restriction does not prevent me from (a) serving on the board of directors (or equivalent governing body or authority in the case of a non-corporate entity) of any religious, educational or community organization that is not adverse to the Company’s interests; (b) engaging in bona fide charitable activities and community affairs that are not adverse to the Company’s interests; (c) managing my personal investments and affairs; (d) following approval by the Board, serving on the board of directors (or similar entity) of privately held companies or public companies that are not competitive with the business of the Company, including REGENXBIO Inc.; and/or (e) providing (i) transition related consulting services to Tagworks Pharmaceuticals, Inc. and (ii) with approval by the Board, other consulting services to companies that are not competitive with the business of the Company; provided, however, that in each case, and in the aggregate, such activities do not conflict or interfere with the performance of my duties hereunder or conflict with the other terms of this Agreement. </w:t>
      </w:r>
    </w:p>
    <w:p>
      <w:pPr>
        <w:pStyle w:val="TextBody"/>
        <w:bidi w:val="0"/>
        <w:spacing w:before="240" w:after="0"/>
        <w:jc w:val="left"/>
        <w:rPr>
          <w:rFonts w:ascii="Times New Roman" w:hAnsi="Times New Roman"/>
          <w:sz w:val="20"/>
        </w:rPr>
      </w:pPr>
      <w:r>
        <w:rPr>
          <w:rFonts w:ascii="Times New Roman" w:hAnsi="Times New Roman"/>
          <w:b/>
          <w:sz w:val="20"/>
        </w:rPr>
        <w:t>5. NO SOLICITATION OF EMPLOYEES, CONSULTANTS, CONTRACTORS, CUSTOMERS OR</w:t>
      </w:r>
      <w:r>
        <w:rPr>
          <w:rFonts w:ascii="Times New Roman" w:hAnsi="Times New Roman"/>
          <w:sz w:val="20"/>
        </w:rPr>
        <w:t xml:space="preserve"> </w:t>
      </w:r>
      <w:r>
        <w:rPr>
          <w:rFonts w:ascii="Times New Roman" w:hAnsi="Times New Roman"/>
          <w:b/>
          <w:sz w:val="20"/>
        </w:rPr>
        <w:t xml:space="preserve">POTENTIAL CUSTOMERS. </w:t>
      </w:r>
      <w:r>
        <w:rPr>
          <w:rFonts w:ascii="Times New Roman" w:hAnsi="Times New Roman"/>
          <w:sz w:val="20"/>
        </w:rPr>
        <w:t xml:space="preserve">I agree that during the period of my employment with the Company and for the one (1)-year period after the date my employment ends for any reason, including but not limited to voluntary termination by me or involuntary termination by the Company, I will not, as an officer, director, employee, consultant, owner, partner, or in any other capacity, either directly or through others, except on behalf of the Company: </w:t>
      </w:r>
    </w:p>
    <w:p>
      <w:pPr>
        <w:pStyle w:val="TextBody"/>
        <w:bidi w:val="0"/>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solicit, induce, encourage, or participate in soliciting, inducing, or encouraging any employee of the Company to terminate his or her relationship with the Company.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hire, employ, or engage in business with or attempt to hire, employ, or engage in business with any person employed by the Company or who has left the employment of the Company within the preceding one (1) year or discuss any potential employment or business association with such person, even if I did not initiate the discussion or seek out the contact; or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solicit, induce or attempt to induce any Customer or Potential Customer (as defined below), or any consultant or independent contractor with whom I had direct or indirect contact or whose identity I learned as a result of my employment with the Company, to terminate, diminish, or materially alter in a manner harmful to the Company its relationship with the Company. </w:t>
      </w:r>
    </w:p>
    <w:p>
      <w:pPr>
        <w:pStyle w:val="TextBody"/>
        <w:bidi w:val="0"/>
        <w:spacing w:before="240" w:after="0"/>
        <w:jc w:val="left"/>
        <w:rPr>
          <w:rFonts w:ascii="Times New Roman" w:hAnsi="Times New Roman"/>
          <w:sz w:val="20"/>
        </w:rPr>
      </w:pPr>
      <w:r>
        <w:rPr>
          <w:rFonts w:ascii="Times New Roman" w:hAnsi="Times New Roman"/>
          <w:sz w:val="20"/>
        </w:rPr>
        <w:t>The parties agree that, for purposes of this Agreement, a “</w:t>
      </w:r>
      <w:r>
        <w:rPr>
          <w:rFonts w:ascii="Times New Roman" w:hAnsi="Times New Roman"/>
          <w:b/>
          <w:sz w:val="20"/>
        </w:rPr>
        <w:t>Customer or Potential Customer</w:t>
      </w:r>
      <w:r>
        <w:rPr>
          <w:rFonts w:ascii="Times New Roman" w:hAnsi="Times New Roman"/>
          <w:sz w:val="20"/>
        </w:rPr>
        <w:t xml:space="preserve">” is any person or entity who or which, at any time prior to the date my employment with the Company ends, (i) contracted for, was billed for, or received from the Company, or provided to the Company, any product, service or process; or (ii) was in contact with me concerning any product, service or process.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NON-COMPETE PROVISION. </w:t>
      </w:r>
      <w:r>
        <w:rPr>
          <w:rFonts w:ascii="Times New Roman" w:hAnsi="Times New Roman"/>
          <w:sz w:val="20"/>
        </w:rPr>
        <w:t xml:space="preserve">I agree that during the period of my employment and for the six (6)-month period after the date my employment ends for any reason, including but not limited to voluntary termination by me or involuntary termination by the Company, I will not within the United States or any other geographic region in which the Company conducts its business, and in any capacity, whether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4"/>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individually or as an employee, consultant, director, officer, agent, advisor or otherwise for or on behalf of any entity (a “</w:t>
      </w:r>
      <w:r>
        <w:rPr>
          <w:rFonts w:ascii="Times New Roman" w:hAnsi="Times New Roman"/>
          <w:b/>
          <w:sz w:val="20"/>
        </w:rPr>
        <w:t>Competing Organization</w:t>
      </w:r>
      <w:r>
        <w:rPr>
          <w:rFonts w:ascii="Times New Roman" w:hAnsi="Times New Roman"/>
          <w:sz w:val="20"/>
        </w:rPr>
        <w:t xml:space="preserve">”) engaged in any business activities that are competitive with the products or services offered or being provided by the Company or being developed by the Company or which the Company has definitive plans to develop. If any court of competent jurisdiction shall at any time deem the duration or the geographic scope of any of the provisions of this Section 6 unenforceable, the other provisions of this Section 6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 The foregoing restriction shall not apply to my ownership interest in any public company so long as (i) such interest is less than five percent (5%) of the outstanding interests of such company, (ii) such interest is held solely as a passive investment and (iii) I do not, directly or indirectly, have any management, board, observer, consulting, advisory, voting or other control or influence rights with respect to such company. </w:t>
      </w:r>
    </w:p>
    <w:p>
      <w:pPr>
        <w:pStyle w:val="TextBody"/>
        <w:bidi w:val="0"/>
        <w:spacing w:before="240" w:after="0"/>
        <w:jc w:val="left"/>
        <w:rPr>
          <w:rFonts w:ascii="Times New Roman" w:hAnsi="Times New Roman"/>
          <w:sz w:val="20"/>
        </w:rPr>
      </w:pPr>
      <w:r>
        <w:rPr>
          <w:rFonts w:ascii="Times New Roman" w:hAnsi="Times New Roman"/>
          <w:b/>
          <w:sz w:val="20"/>
        </w:rPr>
        <w:t>7. REASONABLENESS OF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I agree that I have read this entire Agreement and understand it. I agree that this Agreement does not prevent me 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In the event that a court finds this Agreement, or any of its restrictions, to be ambiguous, unenforceable, or invalid, I and the Company agree that the court shall read the Agreement as a whole and interpret the restriction(s) at issue to be enforceable and valid to the maximum extent allowed by law.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NO CONFLICTING AGREEMENT OR OBLIGATION. </w:t>
      </w:r>
      <w:r>
        <w:rPr>
          <w:rFonts w:ascii="Times New Roman" w:hAnsi="Times New Roman"/>
          <w:sz w:val="20"/>
        </w:rPr>
        <w:t xml:space="preserve">I 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RETURN OF COMPANY PROPERTY. </w:t>
      </w:r>
      <w:r>
        <w:rPr>
          <w:rFonts w:ascii="Times New Roman" w:hAnsi="Times New Roman"/>
          <w:sz w:val="20"/>
        </w:rPr>
        <w:t xml:space="preserve">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 if requested to do so by the Company. </w:t>
      </w:r>
    </w:p>
    <w:p>
      <w:pPr>
        <w:pStyle w:val="TextBody"/>
        <w:bidi w:val="0"/>
        <w:spacing w:before="240" w:after="0"/>
        <w:jc w:val="left"/>
        <w:rPr>
          <w:rFonts w:ascii="Times New Roman" w:hAnsi="Times New Roman"/>
          <w:sz w:val="20"/>
        </w:rPr>
      </w:pPr>
      <w:r>
        <w:rPr>
          <w:rFonts w:ascii="Times New Roman" w:hAnsi="Times New Roman"/>
          <w:b/>
          <w:sz w:val="20"/>
        </w:rPr>
        <w:t>10. LEGAL AND EQUITABLE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5"/>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Any notices required or permitted hereunder shall be given to 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 </w:t>
      </w:r>
    </w:p>
    <w:p>
      <w:pPr>
        <w:pStyle w:val="TextBody"/>
        <w:bidi w:val="0"/>
        <w:spacing w:before="240" w:after="0"/>
        <w:jc w:val="left"/>
        <w:rPr>
          <w:rFonts w:ascii="Times New Roman" w:hAnsi="Times New Roman"/>
          <w:sz w:val="20"/>
        </w:rPr>
      </w:pPr>
      <w:r>
        <w:rPr>
          <w:rFonts w:ascii="Times New Roman" w:hAnsi="Times New Roman"/>
          <w:b/>
          <w:sz w:val="20"/>
        </w:rPr>
        <w:t>12. PUBLICATION OF THIS AGREEMENT TO SUBSEQUENT EMPLOYERS OR BUSINESS ASSOCIATES OF 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If I am offered employment or the opportunity to enter into any business venture as owner, partner, consultant or other capacity while the restrictions described in Sections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I agree to inform the Company of all employment and business ventures which I enter into while the restrictions described in Sections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 </w:t>
      </w:r>
    </w:p>
    <w:p>
      <w:pPr>
        <w:pStyle w:val="TextBody"/>
        <w:bidi w:val="0"/>
        <w:spacing w:before="240" w:after="0"/>
        <w:jc w:val="left"/>
        <w:rPr>
          <w:rFonts w:ascii="Times New Roman" w:hAnsi="Times New Roman"/>
          <w:sz w:val="20"/>
        </w:rPr>
      </w:pPr>
      <w:r>
        <w:rPr>
          <w:rFonts w:ascii="Times New Roman" w:hAnsi="Times New Roman"/>
          <w:b/>
          <w:sz w:val="20"/>
        </w:rPr>
        <w:t>13. 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rPr>
        <w:t xml:space="preserve">Governing Law; Consent to Personal Jurisdiction. </w:t>
      </w:r>
      <w:r>
        <w:rPr>
          <w:rFonts w:ascii="Times New Roman" w:hAnsi="Times New Roman"/>
          <w:sz w:val="20"/>
        </w:rPr>
        <w:t xml:space="preserve">This Agreement will be governed by and construed according to the laws of the State of New York as such laws are applied to agreements entered into and to be performed entirely within New York between New York residents. I hereby expressly consent to the personal jurisdiction and venue of the state and federal courts located in the State of New York for any lawsuit filed there against me by Company arising from or related to this Agreement.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You will be entitled to be indemnified by the Company against any claims brought against you arising from your employment with, or provision of services to, the Company or any of its subsidiaries or affiliates, and to have your defense expenses promptly advanced subject to a repayment obligation as required by law, to the maximum extent provided in the Company’s articles of incorporation, by-laws and applicable law (each in effect as of the date hereof or as may be subsequently amended to provide you with more favorable treatment), and to be covered by the Company’s directors and officers liability policy, in the same manner and to the same extent as other current and former officers and directors of the Company.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In case any one or more of the provisions, subsections, or sentences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This Agreement is for my benefit and the benefit of the Company, its successors, assigns, parent corporations, subsidiaries, affiliates, and purchasers, and will be binding upon my heirs, executors, administrators and other legal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6"/>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The provisions of this Agreement shall survive the termination of my employment, regardless of the reason, and the assignment of this Agreement by the Company to any successor in interest or other assignee.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sz w:val="20"/>
        </w:rPr>
        <w:t>Employment At-Will.</w:t>
      </w:r>
      <w:r>
        <w:rPr>
          <w:rFonts w:ascii="Times New Roman" w:hAnsi="Times New Roman"/>
          <w:sz w:val="20"/>
        </w:rPr>
        <w:t xml:space="preserve"> I agree and understand that nothing in my offer letter with the Company shall change my at-will employment status or confer any right with respect to continuation of employment by the Company, nor shall it interfere in any way with my right or the Company’s right to terminate my employment at any time, with or without cause or advance notice, subject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sz w:val="20"/>
        </w:rPr>
        <w:t>Waiver.</w:t>
      </w:r>
      <w:r>
        <w:rPr>
          <w:rFonts w:ascii="Times New Roman" w:hAnsi="Times New Roman"/>
          <w:sz w:val="20"/>
        </w:rPr>
        <w:t xml:space="preserve"> No waiver by the Company of any breach of this 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 </w:t>
      </w:r>
    </w:p>
    <w:p>
      <w:pPr>
        <w:pStyle w:val="TextBody"/>
        <w:bidi w:val="0"/>
        <w:spacing w:before="240" w:after="0"/>
        <w:jc w:val="left"/>
        <w:rPr>
          <w:rFonts w:ascii="Times New Roman" w:hAnsi="Times New Roman"/>
          <w:sz w:val="20"/>
        </w:rPr>
      </w:pPr>
      <w:r>
        <w:rPr>
          <w:rFonts w:ascii="Times New Roman" w:hAnsi="Times New Roman"/>
          <w:b/>
          <w:sz w:val="20"/>
        </w:rPr>
        <w:t>13.8 Advice of Counsel.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The obligations pursuant to Sections 1 and 2 (except Subsection 2.7) of this Agreement shall apply to any time during which I am engaged by the Company as an employee or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effective as of the first day of my provision of services to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7"/>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HAVE READ THIS AGREEMENT CAREFULLY AND UNDERSTAND ITS TERMS. I HAVE COMPLETELY FILLED OUT </w:t>
      </w:r>
      <w:r>
        <w:rPr>
          <w:rFonts w:ascii="Times New Roman" w:hAnsi="Times New Roman"/>
          <w:i/>
          <w:sz w:val="20"/>
        </w:rPr>
        <w:t xml:space="preserve">EXHIBIT A </w:t>
      </w:r>
      <w:r>
        <w:rPr>
          <w:rFonts w:ascii="Times New Roman" w:hAnsi="Times New Roman"/>
          <w:sz w:val="20"/>
        </w:rPr>
        <w:t xml:space="preserve">TO THIS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Kenneth Mills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w:t>
            </w:r>
          </w:p>
          <w:p>
            <w:pPr>
              <w:pStyle w:val="TableContents"/>
              <w:bidi w:val="0"/>
              <w:spacing w:before="0" w:after="20"/>
              <w:jc w:val="left"/>
              <w:rPr>
                <w:rFonts w:ascii="Times New Roman" w:hAnsi="Times New Roman"/>
                <w:sz w:val="20"/>
              </w:rPr>
            </w:pPr>
            <w:r>
              <w:rPr>
                <w:rFonts w:ascii="Times New Roman" w:hAnsi="Times New Roman"/>
                <w:sz w:val="20"/>
              </w:rPr>
              <w:t>Name: Kenneth Mills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8"/>
        <w:gridCol w:w="61"/>
        <w:gridCol w:w="3353"/>
      </w:tblGrid>
      <w:tr>
        <w:trPr/>
        <w:tc>
          <w:tcPr>
            <w:tcW w:w="66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AND AGREED TO BY:</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RTW Newco10, Inc.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Alice Lee</w:t>
            </w:r>
          </w:p>
        </w:tc>
      </w:tr>
      <w:tr>
        <w:trPr/>
        <w:tc>
          <w:tcPr>
            <w:tcW w:w="66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Alice Lee</w:t>
            </w:r>
          </w:p>
          <w:p>
            <w:pPr>
              <w:pStyle w:val="TableContents"/>
              <w:bidi w:val="0"/>
              <w:spacing w:before="0" w:after="20"/>
              <w:jc w:val="left"/>
              <w:rPr>
                <w:rFonts w:ascii="Times New Roman" w:hAnsi="Times New Roman"/>
                <w:sz w:val="20"/>
              </w:rPr>
            </w:pPr>
            <w:r>
              <w:rPr>
                <w:rFonts w:ascii="Times New Roman" w:hAnsi="Times New Roman"/>
                <w:sz w:val="20"/>
              </w:rPr>
              <w:t>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8"/>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PREVIOUS INVENTIONS </w:t>
      </w:r>
    </w:p>
    <w:p>
      <w:pPr>
        <w:pStyle w:val="TextBody"/>
        <w:bidi w:val="0"/>
        <w:spacing w:before="240" w:after="0"/>
        <w:jc w:val="left"/>
        <w:rPr>
          <w:rFonts w:ascii="Times New Roman" w:hAnsi="Times New Roman"/>
          <w:sz w:val="20"/>
        </w:rPr>
      </w:pPr>
      <w:r>
        <w:rPr>
          <w:rFonts w:ascii="Times New Roman" w:hAnsi="Times New Roman"/>
          <w:b/>
          <w:sz w:val="20"/>
        </w:rPr>
        <w:t>TO: RTW Newco10,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FROM: Kenneth Mills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DATE: May 28, 2026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SUBJECT: Previous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Except as listed in Section 2 below, the following is a complete list of all inventions or improvements relevant to the subject matter of my employment by </w:t>
      </w:r>
      <w:r>
        <w:rPr>
          <w:rFonts w:ascii="Times New Roman" w:hAnsi="Times New Roman"/>
          <w:b/>
          <w:sz w:val="20"/>
        </w:rPr>
        <w:t>RTW Newco10, Inc.</w:t>
      </w:r>
      <w:r>
        <w:rPr>
          <w:rFonts w:ascii="Times New Roman" w:hAnsi="Times New Roman"/>
          <w:sz w:val="20"/>
        </w:rPr>
        <w:t>, its subsidiaries, parents, affiliates, predecessors, successors and assigns (collectively, the “</w:t>
      </w:r>
      <w:r>
        <w:rPr>
          <w:rFonts w:ascii="Times New Roman" w:hAnsi="Times New Roman"/>
          <w:b/>
          <w:sz w:val="20"/>
        </w:rPr>
        <w:t>Company</w:t>
      </w:r>
      <w:r>
        <w:rPr>
          <w:rFonts w:ascii="Times New Roman" w:hAnsi="Times New Roman"/>
          <w:sz w:val="20"/>
        </w:rPr>
        <w:t xml:space="preserve">”) that have been made or conceived or first reduced to practice by me alone or jointly with others prior to my engagement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inventions or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below: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9388"/>
      </w:tblGrid>
      <w:tr>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drawing>
          <wp:inline distT="0" distB="0" distL="0" distR="0">
            <wp:extent cx="5448300"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9"/>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0"/>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1"/>
                    <a:stretch>
                      <a:fillRect/>
                    </a:stretch>
                  </pic:blipFill>
                  <pic:spPr bwMode="auto">
                    <a:xfrm>
                      <a:off x="0" y="0"/>
                      <a:ext cx="5448300" cy="14605"/>
                    </a:xfrm>
                    <a:prstGeom prst="rect">
                      <a:avLst/>
                    </a:prstGeom>
                  </pic:spPr>
                </pic:pic>
              </a:graphicData>
            </a:graphic>
          </wp:inline>
        </w:drawing>
      </w:r>
      <w:r>
        <w:rPr/>
        <w:t xml:space="preserve"> </w:t>
      </w:r>
      <w:r>
        <w:rPr/>
        <w:drawing>
          <wp:inline distT="0" distB="0" distL="0" distR="0">
            <wp:extent cx="5448300"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2"/>
                    <a:stretch>
                      <a:fillRect/>
                    </a:stretch>
                  </pic:blipFill>
                  <pic:spPr bwMode="auto">
                    <a:xfrm>
                      <a:off x="0" y="0"/>
                      <a:ext cx="5448300" cy="1460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sheets attached.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857250" cy="8382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3"/>
                    <a:stretch>
                      <a:fillRect/>
                    </a:stretch>
                  </pic:blipFill>
                  <pic:spPr bwMode="auto">
                    <a:xfrm>
                      <a:off x="0" y="0"/>
                      <a:ext cx="857250" cy="838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Due to a prior confidentiality agreement, I cannot complete the disclosure under Section 1 above with respect to inventions or improvements generally listed below, the proprietary rights and duty of confidentiality with respect to which I owe to the following party(ies):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0"/>
        <w:gridCol w:w="120"/>
        <w:gridCol w:w="3124"/>
        <w:gridCol w:w="120"/>
        <w:gridCol w:w="3121"/>
      </w:tblGrid>
      <w:tr>
        <w:trPr/>
        <w:tc>
          <w:tcPr>
            <w:tcW w:w="37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Invention or Improvement</w:t>
            </w:r>
          </w:p>
        </w:tc>
        <w:tc>
          <w:tcPr>
            <w:tcW w:w="120" w:type="dxa"/>
            <w:tcBorders/>
            <w:vAlign w:val="bottom"/>
          </w:tcPr>
          <w:p>
            <w:pPr>
              <w:pStyle w:val="TableContents"/>
              <w:bidi w:val="0"/>
              <w:spacing w:before="0" w:after="283"/>
              <w:jc w:val="left"/>
              <w:rPr/>
            </w:pPr>
            <w:r>
              <w:rPr/>
              <w:t>  </w:t>
            </w:r>
          </w:p>
        </w:tc>
        <w:tc>
          <w:tcPr>
            <w:tcW w:w="31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Parties</w:t>
            </w:r>
          </w:p>
        </w:tc>
        <w:tc>
          <w:tcPr>
            <w:tcW w:w="120" w:type="dxa"/>
            <w:tcBorders/>
            <w:vAlign w:val="bottom"/>
          </w:tcPr>
          <w:p>
            <w:pPr>
              <w:pStyle w:val="TableContents"/>
              <w:bidi w:val="0"/>
              <w:spacing w:before="0" w:after="283"/>
              <w:jc w:val="left"/>
              <w:rPr/>
            </w:pPr>
            <w:r>
              <w:rPr/>
              <w:t>  </w:t>
            </w:r>
          </w:p>
        </w:tc>
        <w:tc>
          <w:tcPr>
            <w:tcW w:w="31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Relationship</w:t>
            </w:r>
          </w:p>
        </w:tc>
      </w:tr>
      <w:tr>
        <w:trPr/>
        <w:tc>
          <w:tcPr>
            <w:tcW w:w="3720"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sheets attached.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0"/>
        <w:gridCol w:w="2341"/>
        <w:gridCol w:w="120"/>
        <w:gridCol w:w="2285"/>
        <w:gridCol w:w="120"/>
        <w:gridCol w:w="2619"/>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pPr>
            <w:r>
              <w:rPr/>
              <w:t>RTW Investments</w:t>
            </w:r>
          </w:p>
        </w:tc>
        <w:tc>
          <w:tcPr>
            <w:tcW w:w="120"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center"/>
              <w:rPr/>
            </w:pPr>
            <w:r>
              <w:rPr/>
              <w:t>40 10th Avenue, 7th Floor</w:t>
            </w:r>
          </w:p>
        </w:tc>
        <w:tc>
          <w:tcPr>
            <w:tcW w:w="12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pPr>
            <w:r>
              <w:rPr/>
              <w:t>New York, NY 10014</w:t>
            </w:r>
          </w:p>
        </w:tc>
        <w:tc>
          <w:tcPr>
            <w:tcW w:w="120"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283"/>
              <w:jc w:val="right"/>
              <w:rPr/>
            </w:pPr>
            <w:r>
              <w:rPr/>
              <w:t>www.RTWFunds.com</w:t>
            </w:r>
          </w:p>
        </w:tc>
      </w:tr>
    </w:tbl>
    <w:p>
      <w:pPr>
        <w:pStyle w:val="TextBody"/>
        <w:bidi w:val="0"/>
        <w:spacing w:before="0" w:after="0"/>
        <w:jc w:val="right"/>
        <w:rPr>
          <w:rFonts w:ascii="Times New Roman" w:hAnsi="Times New Roman"/>
          <w:b/>
          <w:sz w:val="20"/>
        </w:rPr>
      </w:pPr>
      <w:bookmarkStart w:id="265" w:name="d108148dex1024.htm"/>
      <w:bookmarkStart w:id="266" w:name="ksd108148dex1024"/>
      <w:bookmarkEnd w:id="265"/>
      <w:bookmarkEnd w:id="266"/>
      <w:r>
        <w:rPr>
          <w:rFonts w:ascii="Times New Roman" w:hAnsi="Times New Roman"/>
          <w:b/>
          <w:sz w:val="20"/>
        </w:rPr>
        <w:t xml:space="preserve">Exhibit 10.24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95550" cy="523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4"/>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June 30, 2026 </w:t>
      </w:r>
    </w:p>
    <w:p>
      <w:pPr>
        <w:pStyle w:val="TextBody"/>
        <w:bidi w:val="0"/>
        <w:spacing w:before="240" w:after="0"/>
        <w:jc w:val="left"/>
        <w:rPr>
          <w:rFonts w:ascii="Times New Roman" w:hAnsi="Times New Roman"/>
          <w:sz w:val="20"/>
        </w:rPr>
      </w:pPr>
      <w:r>
        <w:rPr>
          <w:rFonts w:ascii="Times New Roman" w:hAnsi="Times New Roman"/>
          <w:sz w:val="20"/>
        </w:rPr>
        <w:t xml:space="preserve">Daphne Karydas </w:t>
      </w:r>
    </w:p>
    <w:p>
      <w:pPr>
        <w:pStyle w:val="TextBody"/>
        <w:bidi w:val="0"/>
        <w:spacing w:before="0" w:after="0"/>
        <w:jc w:val="left"/>
        <w:rPr>
          <w:rFonts w:ascii="Times New Roman" w:hAnsi="Times New Roman"/>
          <w:sz w:val="20"/>
        </w:rPr>
      </w:pP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Daphne, </w:t>
      </w:r>
    </w:p>
    <w:p>
      <w:pPr>
        <w:pStyle w:val="TextBody"/>
        <w:bidi w:val="0"/>
        <w:spacing w:before="240" w:after="0"/>
        <w:jc w:val="left"/>
        <w:rPr>
          <w:rFonts w:ascii="Times New Roman" w:hAnsi="Times New Roman"/>
          <w:sz w:val="20"/>
        </w:rPr>
      </w:pPr>
      <w:r>
        <w:rPr>
          <w:rFonts w:ascii="Times New Roman" w:hAnsi="Times New Roman"/>
          <w:sz w:val="20"/>
        </w:rPr>
        <w:t>On behalf of Serapha Bio, Inc. (the “</w:t>
      </w:r>
      <w:r>
        <w:rPr>
          <w:rFonts w:ascii="Times New Roman" w:hAnsi="Times New Roman"/>
          <w:b/>
          <w:sz w:val="20"/>
        </w:rPr>
        <w:t>Company</w:t>
      </w:r>
      <w:r>
        <w:rPr>
          <w:rFonts w:ascii="Times New Roman" w:hAnsi="Times New Roman"/>
          <w:sz w:val="20"/>
        </w:rPr>
        <w:t>”) we are pleased to offer you (“</w:t>
      </w:r>
      <w:r>
        <w:rPr>
          <w:rFonts w:ascii="Times New Roman" w:hAnsi="Times New Roman"/>
          <w:b/>
          <w:sz w:val="20"/>
        </w:rPr>
        <w:t>you</w:t>
      </w:r>
      <w:r>
        <w:rPr>
          <w:rFonts w:ascii="Times New Roman" w:hAnsi="Times New Roman"/>
          <w:sz w:val="20"/>
        </w:rPr>
        <w:t>” or the “</w:t>
      </w:r>
      <w:r>
        <w:rPr>
          <w:rFonts w:ascii="Times New Roman" w:hAnsi="Times New Roman"/>
          <w:b/>
          <w:sz w:val="20"/>
        </w:rPr>
        <w:t>Executive</w:t>
      </w:r>
      <w:r>
        <w:rPr>
          <w:rFonts w:ascii="Times New Roman" w:hAnsi="Times New Roman"/>
          <w:sz w:val="20"/>
        </w:rPr>
        <w:t xml:space="preserve">”) employment with the Company based on the general terms that are outlined in this letter.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9"/>
        <w:gridCol w:w="122"/>
        <w:gridCol w:w="7684"/>
      </w:tblGrid>
      <w:tr>
        <w:trPr/>
        <w:tc>
          <w:tcPr>
            <w:tcW w:w="239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84" w:type="dxa"/>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Position:</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President and Chief Financial Officer</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Reporting to:</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Chief Executive Officer of the Company</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Employment Start Date:</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September 14, 2026</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Location:</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Remote</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Annual Base Salary:</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$575,000, payable in semi-monthly installments and otherwise in accordance with the Company’s payroll methods and procedures, subject to all applicable taxes and withholding.</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Target Bonus:</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45% of Base Salary</w:t>
            </w:r>
          </w:p>
        </w:tc>
      </w:tr>
      <w:tr>
        <w:trPr>
          <w:trHeight w:val="120" w:hRule="atLeast"/>
        </w:trPr>
        <w:tc>
          <w:tcPr>
            <w:tcW w:w="23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r>
      <w:tr>
        <w:trPr/>
        <w:tc>
          <w:tcPr>
            <w:tcW w:w="2399" w:type="dxa"/>
            <w:tcBorders/>
          </w:tcPr>
          <w:p>
            <w:pPr>
              <w:pStyle w:val="TableContents"/>
              <w:bidi w:val="0"/>
              <w:spacing w:before="0" w:after="283"/>
              <w:jc w:val="left"/>
              <w:rPr>
                <w:b/>
                <w:u w:val="single"/>
              </w:rPr>
            </w:pPr>
            <w:r>
              <w:rPr>
                <w:b/>
                <w:u w:val="single"/>
              </w:rPr>
              <w:t>Equity:</w:t>
            </w:r>
          </w:p>
        </w:tc>
        <w:tc>
          <w:tcPr>
            <w:tcW w:w="122" w:type="dxa"/>
            <w:tcBorders/>
            <w:vAlign w:val="bottom"/>
          </w:tcPr>
          <w:p>
            <w:pPr>
              <w:pStyle w:val="TableContents"/>
              <w:bidi w:val="0"/>
              <w:spacing w:before="0" w:after="283"/>
              <w:jc w:val="left"/>
              <w:rPr/>
            </w:pPr>
            <w:r>
              <w:rPr/>
              <w:t>  </w:t>
            </w:r>
          </w:p>
        </w:tc>
        <w:tc>
          <w:tcPr>
            <w:tcW w:w="7684" w:type="dxa"/>
            <w:tcBorders/>
            <w:vAlign w:val="bottom"/>
          </w:tcPr>
          <w:p>
            <w:pPr>
              <w:pStyle w:val="TableContents"/>
              <w:bidi w:val="0"/>
              <w:spacing w:before="0" w:after="283"/>
              <w:jc w:val="left"/>
              <w:rPr/>
            </w:pPr>
            <w:r>
              <w:rPr/>
              <w:t>You will be granted equity in the Company (the “</w:t>
            </w:r>
            <w:r>
              <w:rPr>
                <w:b/>
              </w:rPr>
              <w:t>Equity Grant</w:t>
            </w:r>
            <w:r>
              <w:rPr/>
              <w:t>”) representing approximately 2.5% of the fully diluted capitalization of the Company (reflecting all outstanding convertible preferred stock, warrants, options and other equity interests that are convertible into or exercisable for common stock on an as-converted and as-exercised basis) as of the Company’s initial financing following the date hereof, consisting of (i) stock options representing approximately 2/3 of the Equity Grant and (ii) restricted stock units (“</w:t>
            </w:r>
            <w:r>
              <w:rPr>
                <w:b/>
              </w:rPr>
              <w:t>RSUs</w:t>
            </w:r>
            <w:r>
              <w:rPr/>
              <w:t>”) representing approximately 1/3 of the Equity Grant, provided that you will be granted additional RSUs to offset any dilution resulting from the Company’s financing commitments in amounts up to $230,000,000 and restore your equity awards to a full 2.5% of the fully diluted capitalization of the Company. The Equity Grant is subject to a 4-year vesting period (with 25% of the shares vesting on the first anniversary of your Employment Start Date and monthly thereafter) and the terms of the equity agreements and the Company’s equity plan.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5"/>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following pages have more details on your offer and should be read in conjunction with the details above. If you have any questions about this information, please contact Shalini Sinha (</w:t>
      </w:r>
      <w:r>
        <w:rPr>
          <w:rFonts w:ascii="Times New Roman" w:hAnsi="Times New Roman"/>
          <w:sz w:val="20"/>
          <w:u w:val="single"/>
        </w:rPr>
        <w:t>[***]</w:t>
      </w:r>
      <w:r>
        <w:rPr>
          <w:rFonts w:ascii="Times New Roman" w:hAnsi="Times New Roman"/>
          <w:sz w:val="20"/>
        </w:rPr>
        <w:t xml:space="preserve">). Otherwise, please confirm your acceptance of this offer of employment with Serapha Bio, Inc. by signing below and returning a copy by August 7, 2026. We look forward to having you join the team.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More terms on your offer: </w:t>
      </w:r>
    </w:p>
    <w:p>
      <w:pPr>
        <w:pStyle w:val="TextBody"/>
        <w:bidi w:val="0"/>
        <w:spacing w:before="120" w:after="0"/>
        <w:jc w:val="left"/>
        <w:rPr>
          <w:rFonts w:ascii="Times New Roman" w:hAnsi="Times New Roman"/>
          <w:sz w:val="20"/>
        </w:rPr>
      </w:pPr>
      <w:r>
        <w:rPr>
          <w:rFonts w:ascii="Times New Roman" w:hAnsi="Times New Roman"/>
          <w:sz w:val="20"/>
        </w:rPr>
        <w:t xml:space="preserve">Our offer to you is contingent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of a Proprietary Information, Inventions and Non-Solicitation/Non-Competition Agreement (attached below) by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your background check, satisfactory reference checks, and submission of valid proof of your identity and your legal authorization to work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representing and warranting that you are free to enter into and perform each of the terms and conditions of this Agreement; and that your execution and/or performance of all your obligations under this Agreement does not and will not violate or breach any other agreement (including, without limitation any non-competition agreement) between you and any other person or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Agreement contains the entire understanding between you and the Company regarding your employment with the Company and supersedes all prior understandings and agreements between you and the Company regarding your employment by the Company. This Agreement shall be construed in accordance with the laws of the State of New York without giving effect to conflict-of-laws provisions. </w:t>
      </w:r>
    </w:p>
    <w:p>
      <w:pPr>
        <w:pStyle w:val="TextBody"/>
        <w:bidi w:val="0"/>
        <w:spacing w:before="240" w:after="0"/>
        <w:jc w:val="left"/>
        <w:rPr>
          <w:rFonts w:ascii="Times New Roman" w:hAnsi="Times New Roman"/>
          <w:sz w:val="20"/>
        </w:rPr>
      </w:pPr>
      <w:r>
        <w:rPr>
          <w:rFonts w:ascii="Times New Roman" w:hAnsi="Times New Roman"/>
          <w:sz w:val="20"/>
        </w:rPr>
        <w:t xml:space="preserve">During your employment, you agree to remain in compliance with applicable Company policies as in effect from time to time; provided that any such policies are provided to you in writing and consistent with this Agreement and your position as President and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Your employment is classified as exempt from overtime and is on an at-will basis, subject to the terms of this letter. You or the Company may terminate your employment for any reason or no reason at any time. </w:t>
      </w:r>
    </w:p>
    <w:p>
      <w:pPr>
        <w:pStyle w:val="TextBody"/>
        <w:bidi w:val="0"/>
        <w:spacing w:before="240" w:after="0"/>
        <w:jc w:val="left"/>
        <w:rPr>
          <w:rFonts w:ascii="Times New Roman" w:hAnsi="Times New Roman"/>
          <w:sz w:val="20"/>
        </w:rPr>
      </w:pPr>
      <w:r>
        <w:rPr>
          <w:rFonts w:ascii="Times New Roman" w:hAnsi="Times New Roman"/>
          <w:b/>
          <w:sz w:val="20"/>
        </w:rPr>
        <w:t>Your</w:t>
      </w:r>
      <w:r>
        <w:rPr>
          <w:rFonts w:ascii="Times New Roman" w:hAnsi="Times New Roman"/>
          <w:sz w:val="20"/>
        </w:rPr>
        <w:t xml:space="preserve"> </w:t>
      </w:r>
      <w:r>
        <w:rPr>
          <w:rFonts w:ascii="Times New Roman" w:hAnsi="Times New Roman"/>
          <w:b/>
          <w:sz w:val="20"/>
        </w:rPr>
        <w:t>Position:</w:t>
      </w:r>
      <w:r>
        <w:rPr>
          <w:rFonts w:ascii="Times New Roman" w:hAnsi="Times New Roman"/>
          <w:sz w:val="20"/>
        </w:rPr>
        <w:t xml:space="preserve"> You will serve as the President and Chief Financial Officer of the Company, reporting to the Chief Executive Officer of the Company. The Company currently anticipates that you will begin full-time employee status on or around your Start Date. Upon the Start Date, you will become eligible for the employee benefits customarily provided by the Company to senior executives and set forth herein. </w:t>
      </w:r>
    </w:p>
    <w:p>
      <w:pPr>
        <w:pStyle w:val="TextBody"/>
        <w:bidi w:val="0"/>
        <w:spacing w:before="240" w:after="0"/>
        <w:jc w:val="left"/>
        <w:rPr>
          <w:rFonts w:ascii="Times New Roman" w:hAnsi="Times New Roman"/>
          <w:sz w:val="20"/>
        </w:rPr>
      </w:pPr>
      <w:r>
        <w:rPr>
          <w:rFonts w:ascii="Times New Roman" w:hAnsi="Times New Roman"/>
          <w:b/>
          <w:sz w:val="20"/>
        </w:rPr>
        <w:t xml:space="preserve">Compensation: </w:t>
      </w:r>
      <w:r>
        <w:rPr>
          <w:rFonts w:ascii="Times New Roman" w:hAnsi="Times New Roman"/>
          <w:sz w:val="20"/>
        </w:rPr>
        <w:t xml:space="preserve">All compensation components are subject to annual review, provided that your Annual Base Salary shall not be reduced nor shall your Target Bonus percentage, except in each case as mutually approved by you and the Board of Directors of the Company (the “Board”).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6"/>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Target Bonus: </w:t>
      </w:r>
      <w:r>
        <w:rPr>
          <w:rFonts w:ascii="Times New Roman" w:hAnsi="Times New Roman"/>
          <w:sz w:val="20"/>
        </w:rPr>
        <w:t xml:space="preserve">The Target Bonus is a percentage of your Annual Base Salary. The bonus will be payable based on the achievement of objectives set by the Board after consultation with you, and the Board’s assessment of your performance relative to such objectives agreed upon and general business conditions. Your bonus is payable within ninety (90) days from the end of the fiscal year (December 31st). Except as set forth below, you must be employed by the Company at the time the bonus is paid to be eligible to receive the bonus. </w:t>
      </w:r>
    </w:p>
    <w:p>
      <w:pPr>
        <w:pStyle w:val="TextBody"/>
        <w:bidi w:val="0"/>
        <w:spacing w:before="240" w:after="0"/>
        <w:jc w:val="left"/>
        <w:rPr>
          <w:rFonts w:ascii="Times New Roman" w:hAnsi="Times New Roman"/>
          <w:sz w:val="20"/>
        </w:rPr>
      </w:pPr>
      <w:r>
        <w:rPr>
          <w:rFonts w:ascii="Times New Roman" w:hAnsi="Times New Roman"/>
          <w:b/>
          <w:sz w:val="20"/>
        </w:rPr>
        <w:t xml:space="preserve">Benefits: </w:t>
      </w:r>
      <w:r>
        <w:rPr>
          <w:rFonts w:ascii="Times New Roman" w:hAnsi="Times New Roman"/>
          <w:sz w:val="20"/>
        </w:rPr>
        <w:t xml:space="preserve">You will be eligible to participate in the Company’s employee benefit plans, subject to the eligibility requirements and other terms and conditions of those plans. These benefits include medical, dental, vision, life and disability insurance, and a 401(k) program with company match. Paid time off, including vacation, sick leave, and holidays, will be provided in accordance with the policies and practices of the Company. Notwithstanding the foregoing, for a period of up to twelve (12) months following your Employment Start Date, the Company shall reimburse you for the cost of maintaining coverage under your current healthcare plan (or provide a comparable COBRA-related reimbursement or offset arrangements) subject to applicable law and Company policy. The parties will work together in good faith to implement this arrangement in a tax-efficient and administratively practical manner following review of current plan details. </w:t>
      </w:r>
    </w:p>
    <w:p>
      <w:pPr>
        <w:pStyle w:val="TextBody"/>
        <w:bidi w:val="0"/>
        <w:spacing w:before="240" w:after="0"/>
        <w:jc w:val="left"/>
        <w:rPr>
          <w:rFonts w:ascii="Times New Roman" w:hAnsi="Times New Roman"/>
          <w:sz w:val="20"/>
        </w:rPr>
      </w:pPr>
      <w:r>
        <w:rPr>
          <w:rFonts w:ascii="Times New Roman" w:hAnsi="Times New Roman"/>
          <w:b/>
          <w:sz w:val="20"/>
        </w:rPr>
        <w:t xml:space="preserve">Severance: </w:t>
      </w:r>
      <w:r>
        <w:rPr>
          <w:rFonts w:ascii="Times New Roman" w:hAnsi="Times New Roman"/>
          <w:sz w:val="20"/>
        </w:rPr>
        <w:t xml:space="preserve">In the event that your employment with the Company is (i) involuntarily terminated without Cause (as defined below) or (ii) terminated by you for Good Reason (as defined below), in each case prior to three (3) months before a Change in Control (as defined below) or after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twelve (12) months of your Annual Base Salary at the time of your termination of employment plus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twelve (12)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twenty-five percent (25%)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57"/>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your employment with the Company is (i) involuntarily terminated without Cause or (ii) terminated by you for Good Reason, in each case, within the three (3) months before or twelve (12) months following a Change in Control, you shall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severance amount equal to eighteen (18) months of your Annual Base Salary plus 1.5 times your Target Bonus, payable in a lump sum within sixty (60) days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or reimbursement of, a monthly amount equal to the employer portion of the premiums under your applicable healthcare plans for you and your covered dependents, if any, during the eighteen (18) months following your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portion of your Target Bonus for the year in which such termination occurs, payable within sixty (60) days following your termination of employment;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then-vested equity awards, plus an additional one hundred percent (100%) of your then-unvested equity awards (including stock options, RSUs and any other equity-based awards) which immediately vest and, if applicable, become exercisable as of the date of such termination and remain exercisable through the date that is twelve (12) months following your termination of employment, but no later than the expiration of the award. </w:t>
            </w:r>
          </w:p>
        </w:tc>
      </w:tr>
    </w:tbl>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shall mean the occurrence of any of the following: (a) your gross negligence or willful misconduct in connection with the performance of your duties that is materially detrimental to the Company, detailed in a written notice thereof, and, if such action is curable, your failure to cure such action within thirty (30) days after receiving such notice; (b) your conviction or entry of a plea of </w:t>
      </w:r>
      <w:r>
        <w:rPr>
          <w:rFonts w:ascii="Times New Roman" w:hAnsi="Times New Roman"/>
          <w:i/>
          <w:sz w:val="20"/>
        </w:rPr>
        <w:t xml:space="preserve">nolo contendere </w:t>
      </w:r>
      <w:r>
        <w:rPr>
          <w:rFonts w:ascii="Times New Roman" w:hAnsi="Times New Roman"/>
          <w:sz w:val="20"/>
        </w:rPr>
        <w:t xml:space="preserve">for dishonesty, fraud or embezzlement, or any felony or crime of moral turpitude; (c) your material violation of any material provision of any agreement(s) between you and the Company or any written Company policies including, without limitation, agreements relating to non-solicitation, non-disclosure and/or assignment of inventions or policies related to ethics or workplace conduct and, if such violation is curable, your failure to cure such breach within 30 days after receiving such notice; or (d) the insolvency or dissolution of the Company. </w:t>
      </w:r>
    </w:p>
    <w:p>
      <w:pPr>
        <w:pStyle w:val="TextBody"/>
        <w:bidi w:val="0"/>
        <w:spacing w:before="240" w:after="0"/>
        <w:jc w:val="left"/>
        <w:rPr/>
      </w:pPr>
      <w:r>
        <w:rPr/>
        <w:t>“</w:t>
      </w:r>
      <w:r>
        <w:rPr>
          <w:rFonts w:ascii="Times New Roman" w:hAnsi="Times New Roman"/>
          <w:b/>
          <w:sz w:val="20"/>
        </w:rPr>
        <w:t xml:space="preserve">Good Reason” </w:t>
      </w:r>
      <w:r>
        <w:rPr>
          <w:rFonts w:ascii="Times New Roman" w:hAnsi="Times New Roman"/>
          <w:sz w:val="20"/>
        </w:rPr>
        <w:t xml:space="preserve">shall mean the occurrence of any one or more of the following events without your consent: (a) a material, adverse change in title or material reduction in authority, reporting relationship, or duties (including assignment of duties materially inconsistent with your position other than any temporary assignment made in good faith due to exigent business circumstances, and including if you are required to report to any person other than the Chief Executive Officer of the Company); (b) a required relocation of your principal worksites by more than fifty (50) miles that materially increases your commute; (c) a material reduction in your Annual Base Salary or Target Bonus, except for across-the-board salary reductions of no more than 10% similarly affecting all or substantially all senior management employees of the Company; or (d) material breach by the Company of any of its obligations under any agreement between the Company and you or applicable to you, including the Company’s failure to grant the equity described in this Agreement; provided that none of the foregoing shall constitute Good Reason unless you provide written objection within thirty (30) days of the event and the Company fails to cure the issue within thirty (30) days of such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58"/>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b/>
          <w:sz w:val="20"/>
        </w:rPr>
        <w:t>Change in Control</w:t>
      </w:r>
      <w:r>
        <w:rPr>
          <w:rFonts w:ascii="Times New Roman" w:hAnsi="Times New Roman"/>
          <w:sz w:val="20"/>
        </w:rPr>
        <w:t xml:space="preserve">” shall occur if: (a) an individual or entity that is not an affiliate of the Company acquires 50% or more of the ownership interest in the Company representing a majority of the Company’s outstanding voting power immediately following such acquisition; (b) there is a merger, acquisition or similar transaction involving the Company that results in the voting securities of the Company outstanding immediately prior thereto ceasing to represent at least 50% of the combined voting power of the surviving entity immediately following such merger, acquisition or similar transaction; or (c) there is a sale of all or substantially all of the Company’s assets; provided that the following events shall not constitute a “Change in Control”: (i)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(ii) a sale, lease, exchange or other transaction in one transaction or a series of related transactions of all or substantially all of the Company’s assets to an affiliate of the Company; (iii) an initial public offering of any of the Company’s securities or any other transaction or series of related transactions principally for bona fide equity financing purposes; (iv) a reincorporation of the Company solely to change its jurisdiction; or (v) a transaction undertaken for the primary purpose of creating a holding company that will be owned in substantially the same proportion by the persons who held the Company’s securities immediately before such transaction. For the avoidance of doubt, the consummation of a merger that results in the Company first becoming publicly traded shall in no event be considered a Change in Control for purposes hereof. </w:t>
      </w:r>
    </w:p>
    <w:p>
      <w:pPr>
        <w:pStyle w:val="TextBody"/>
        <w:bidi w:val="0"/>
        <w:spacing w:before="240" w:after="0"/>
        <w:jc w:val="left"/>
        <w:rPr>
          <w:rFonts w:ascii="Times New Roman" w:hAnsi="Times New Roman"/>
          <w:sz w:val="20"/>
        </w:rPr>
      </w:pPr>
      <w:r>
        <w:rPr>
          <w:rFonts w:ascii="Times New Roman" w:hAnsi="Times New Roman"/>
          <w:b/>
          <w:sz w:val="20"/>
        </w:rPr>
        <w:t xml:space="preserve">Legal Expenses: </w:t>
      </w:r>
      <w:r>
        <w:rPr>
          <w:rFonts w:ascii="Times New Roman" w:hAnsi="Times New Roman"/>
          <w:sz w:val="20"/>
        </w:rPr>
        <w:t xml:space="preserve">The Company will reimburse the Executive for an amount not to exceed $10,000 for legal expenses incurred by the Executive in negotiating and finalizing this Agreement and all related agreements, with the understanding that such reimbursement will only be made after the Executive has commenced employment under this Agreement and will be paid within 30 days following issuance of invoices therefore.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(a) Anything in this Agreement to the contrary notwithstanding, if at the time of Executive’s separation from service within the meaning of Section 409A, the Company determines that Executive is a “specified employee” within the meaning of Section 409A(a)(2)(B)(i), then to the extent any payment or benefit that Executive becomes entitled to under this Agreement on account of Executive’s separation from service would be considered “non-qualified deferred compensation” otherwise subject to the 20% additional tax imposed pursuant to Section 409A(a) as a result of the application of Section 409A(a)(2)(B)(i) and does not qualify for any exemption, exclusion or deferral exception otherwise available under Section 409A, such payment shall not be payable and such benefit shall not be provided until the date that is the earlier of (A) six months and one day after Executive’s separation from service, or (B) Executive’s death (the “</w:t>
      </w:r>
      <w:r>
        <w:rPr>
          <w:rFonts w:ascii="Times New Roman" w:hAnsi="Times New Roman"/>
          <w:b/>
          <w:sz w:val="20"/>
        </w:rPr>
        <w:t>Delay Period</w:t>
      </w:r>
      <w:r>
        <w:rPr>
          <w:rFonts w:ascii="Times New Roman" w:hAnsi="Times New Roman"/>
          <w:sz w:val="20"/>
        </w:rPr>
        <w:t xml:space="preserve">”). Upon the expiration of the Delay Period, all payments and benefits delayed pursuant to this paragraph (whether they would have otherwise been payable in a single sum or in installments in the absence of such delay) shall be paid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9"/>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reimbursed on the first business day following the expiration of the Delay Period to Executive in a lump sum (without interest) and any remaining payments and benefits due under this Agreement shall be paid or provided in accordance with the normal payment dates specified for them herein. </w:t>
      </w:r>
    </w:p>
    <w:p>
      <w:pPr>
        <w:pStyle w:val="TextBody"/>
        <w:bidi w:val="0"/>
        <w:spacing w:before="240" w:after="0"/>
        <w:jc w:val="left"/>
        <w:rPr>
          <w:rFonts w:ascii="Times New Roman" w:hAnsi="Times New Roman"/>
          <w:sz w:val="20"/>
        </w:rPr>
      </w:pPr>
      <w:r>
        <w:rPr>
          <w:rFonts w:ascii="Times New Roman" w:hAnsi="Times New Roman"/>
          <w:sz w:val="20"/>
        </w:rPr>
        <w:t xml:space="preserve">(b) All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(d) The parties intend that this Agreement will be administered in accordance with Section 409A. To the extent that any provision of this Agreement is ambiguous as to its compliance with Section 409A, the provision shall be read in such a manner so that all payments hereunder comply with Section 409A.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and all related rules and regulations in order to preserve the payments and benefits provided hereunder without additional cost to either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0"/>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r>
      <w:tr>
        <w:trPr/>
        <w:tc>
          <w:tcPr>
            <w:tcW w:w="4082" w:type="dxa"/>
            <w:tcBorders/>
          </w:tcPr>
          <w:p>
            <w:pPr>
              <w:pStyle w:val="TableContents"/>
              <w:bidi w:val="0"/>
              <w:spacing w:before="0" w:after="283"/>
              <w:jc w:val="left"/>
              <w:rPr/>
            </w:pPr>
            <w:r>
              <w:rPr/>
              <w:t>Kenneth Mills</w:t>
            </w:r>
          </w:p>
        </w:tc>
      </w:tr>
      <w:tr>
        <w:trPr/>
        <w:tc>
          <w:tcPr>
            <w:tcW w:w="4082" w:type="dxa"/>
            <w:tcBorders/>
          </w:tcPr>
          <w:p>
            <w:pPr>
              <w:pStyle w:val="TableContents"/>
              <w:bidi w:val="0"/>
              <w:spacing w:before="0" w:after="283"/>
              <w:jc w:val="left"/>
              <w:rPr/>
            </w:pPr>
            <w:r>
              <w:rPr/>
              <w:t>President and Chief Executive Officer</w:t>
            </w:r>
          </w:p>
        </w:tc>
      </w:tr>
      <w:tr>
        <w:trPr/>
        <w:tc>
          <w:tcPr>
            <w:tcW w:w="4082" w:type="dxa"/>
            <w:tcBorders/>
          </w:tcPr>
          <w:p>
            <w:pPr>
              <w:pStyle w:val="TableContents"/>
              <w:bidi w:val="0"/>
              <w:spacing w:before="0" w:after="283"/>
              <w:jc w:val="left"/>
              <w:rPr/>
            </w:pPr>
            <w:r>
              <w:rPr/>
              <w:t>Serapha Bio,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I accept the terms of employment as stated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6"/>
        <w:gridCol w:w="108"/>
        <w:gridCol w:w="395"/>
        <w:gridCol w:w="108"/>
        <w:gridCol w:w="596"/>
        <w:gridCol w:w="108"/>
        <w:gridCol w:w="4434"/>
      </w:tblGrid>
      <w:tr>
        <w:trPr/>
        <w:tc>
          <w:tcPr>
            <w:tcW w:w="445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34"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Daphne Karydas</w:t>
            </w:r>
          </w:p>
        </w:tc>
        <w:tc>
          <w:tcPr>
            <w:tcW w:w="108"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443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July 30, 2026</w:t>
            </w:r>
          </w:p>
        </w:tc>
      </w:tr>
      <w:tr>
        <w:trPr/>
        <w:tc>
          <w:tcPr>
            <w:tcW w:w="4456" w:type="dxa"/>
            <w:tcBorders/>
          </w:tcPr>
          <w:p>
            <w:pPr>
              <w:pStyle w:val="TableContents"/>
              <w:bidi w:val="0"/>
              <w:spacing w:before="0" w:after="283"/>
              <w:jc w:val="left"/>
              <w:rPr/>
            </w:pPr>
            <w:r>
              <w:rPr/>
              <w:t>Daphne Karydas</w:t>
            </w:r>
          </w:p>
        </w:tc>
        <w:tc>
          <w:tcPr>
            <w:tcW w:w="10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43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1"/>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PROPRIETARY INFORMATION, INVENTIONS AND NON-SOLICITATION/NON-COMPETITION AGREEMENT </w:t>
      </w:r>
    </w:p>
    <w:p>
      <w:pPr>
        <w:pStyle w:val="TextBody"/>
        <w:bidi w:val="0"/>
        <w:spacing w:before="240" w:after="0"/>
        <w:jc w:val="left"/>
        <w:rPr>
          <w:rFonts w:ascii="Times New Roman" w:hAnsi="Times New Roman"/>
          <w:sz w:val="20"/>
        </w:rPr>
      </w:pPr>
      <w:r>
        <w:rPr>
          <w:rFonts w:ascii="Times New Roman" w:hAnsi="Times New Roman"/>
          <w:sz w:val="20"/>
        </w:rPr>
        <w:t>In consideration of my employment or continued employment by Serapha Bio, Inc., a Delaware corporation (“</w:t>
      </w:r>
      <w:r>
        <w:rPr>
          <w:rFonts w:ascii="Times New Roman" w:hAnsi="Times New Roman"/>
          <w:b/>
          <w:sz w:val="20"/>
        </w:rPr>
        <w:t>Serapha Bio</w:t>
      </w:r>
      <w:r>
        <w:rPr>
          <w:rFonts w:ascii="Times New Roman" w:hAnsi="Times New Roman"/>
          <w:sz w:val="20"/>
        </w:rPr>
        <w:t>”) and its subsidiaries (collectively, the “</w:t>
      </w:r>
      <w:r>
        <w:rPr>
          <w:rFonts w:ascii="Times New Roman" w:hAnsi="Times New Roman"/>
          <w:b/>
          <w:sz w:val="20"/>
        </w:rPr>
        <w:t>Company</w:t>
      </w:r>
      <w:r>
        <w:rPr>
          <w:rFonts w:ascii="Times New Roman" w:hAnsi="Times New Roman"/>
          <w:sz w:val="20"/>
        </w:rPr>
        <w:t>”), and the compensation now and hereafter paid to me, I, Daphne Karydas, hereby enter into this Proprietary Information, Inventions, Non-Solicitation and Non-Competition Agreement (the “</w:t>
      </w:r>
      <w:r>
        <w:rPr>
          <w:rFonts w:ascii="Times New Roman" w:hAnsi="Times New Roman"/>
          <w:b/>
          <w:sz w:val="20"/>
        </w:rPr>
        <w:t>Agreement</w:t>
      </w:r>
      <w:r>
        <w:rPr>
          <w:rFonts w:ascii="Times New Roman" w:hAnsi="Times New Roman"/>
          <w:sz w:val="20"/>
        </w:rPr>
        <w:t xml:space="preserve">”) as of August 7, 2026 and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NONDISCLOSURE. </w:t>
            </w:r>
          </w:p>
        </w:tc>
      </w:tr>
    </w:tbl>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w:t>
      </w:r>
      <w:r>
        <w:rPr>
          <w:rFonts w:ascii="Times New Roman" w:hAnsi="Times New Roman"/>
          <w:b/>
          <w:sz w:val="20"/>
        </w:rPr>
        <w:t xml:space="preserve">Recognition of Company’s Rights; Nondisclosure. </w:t>
      </w:r>
      <w:r>
        <w:rPr>
          <w:rFonts w:ascii="Times New Roman" w:hAnsi="Times New Roman"/>
          <w:sz w:val="20"/>
        </w:rPr>
        <w:t xml:space="preserve">I understand and acknowledge that my employment by the Company creates a relationship of confidence and trust with respect to the Proprietary Information (defined below) and that the Company has a protectable interest therein. At all times during my employment and thereafter, I will hold in strictest confidence and will not disclose, use, lecture upon or publish any Proprietary Information (as defined below),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the Company and/or incorporates any Proprietary Information. I hereby assign and agree to assign to Serapha Bio any rights I may have or acquire in such Proprietary Information and recognize that all Proprietary Information shall be the sole property of Serapha Bio and its assigns. I will take all reasonable precautions to prevent the inadvertent or accidental disclosure of Proprietary Information.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rPr>
        <w:t xml:space="preserve">Proprietary Information. </w:t>
      </w:r>
      <w:r>
        <w:rPr>
          <w:rFonts w:ascii="Times New Roman" w:hAnsi="Times New Roman"/>
          <w:sz w:val="20"/>
        </w:rPr>
        <w:t>The term “</w:t>
      </w:r>
      <w:r>
        <w:rPr>
          <w:rFonts w:ascii="Times New Roman" w:hAnsi="Times New Roman"/>
          <w:b/>
          <w:sz w:val="20"/>
        </w:rPr>
        <w:t>Proprietary Information</w:t>
      </w:r>
      <w:r>
        <w:rPr>
          <w:rFonts w:ascii="Times New Roman" w:hAnsi="Times New Roman"/>
          <w:sz w:val="20"/>
        </w:rPr>
        <w:t>” means any and all confidential and/or proprietary knowledge, data or information of the Company, whether having existed, now existing, or to be developed during my employment. By way of illustration but not limitation, “</w:t>
      </w:r>
      <w:r>
        <w:rPr>
          <w:rFonts w:ascii="Times New Roman" w:hAnsi="Times New Roman"/>
          <w:b/>
          <w:sz w:val="20"/>
        </w:rPr>
        <w:t>Proprietary Information</w:t>
      </w:r>
      <w:r>
        <w:rPr>
          <w:rFonts w:ascii="Times New Roman" w:hAnsi="Times New Roman"/>
          <w:sz w:val="20"/>
        </w:rPr>
        <w:t>” includes (a) trade secrets, inventions, mask works, ideas, processes, formulas, source and object codes, data, programs, other works of authorship, know-how, improvements, discoveries, developments, designs and techniques and any other proprietary technology and all Proprietary Rights therein (hereinafter collectively referred to as “</w:t>
      </w:r>
      <w:r>
        <w:rPr>
          <w:rFonts w:ascii="Times New Roman" w:hAnsi="Times New Roman"/>
          <w:b/>
          <w:sz w:val="20"/>
        </w:rPr>
        <w:t>Inventions</w:t>
      </w:r>
      <w:r>
        <w:rPr>
          <w:rFonts w:ascii="Times New Roman" w:hAnsi="Times New Roman"/>
          <w:sz w:val="20"/>
        </w:rPr>
        <w:t xml:space="preserve">”);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the Company, including customer lists, names, representatives, their needs or desires with respect to the types of products or services offered by the Company, proposals, bids, contracts 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 (e) information regarding personnel, employee lists, compensation, and employee skills; and (f) any other non-public information which a competitor of the Company could use to the competitive disadvantage of the Company. Notwithstanding the foregoing, it is understood that, at all such times, I am free to use information which is generally known in the trade or industry through no breach of this agreement or other act or omission by me, and I am free to discuss the terms and conditions of my employment with others to the extent permitted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2"/>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w:t>
      </w:r>
      <w:r>
        <w:rPr>
          <w:rFonts w:ascii="Times New Roman" w:hAnsi="Times New Roman"/>
          <w:b/>
          <w:sz w:val="20"/>
        </w:rPr>
        <w:t xml:space="preserve">Third Party Information. </w:t>
      </w:r>
      <w:r>
        <w:rPr>
          <w:rFonts w:ascii="Times New Roman" w:hAnsi="Times New Roman"/>
          <w:sz w:val="20"/>
        </w:rPr>
        <w:t>I understand, in addition, that the Company has received and in the future will receive from third parties their confidential and/or proprietary knowledge, data, or information (“</w:t>
      </w:r>
      <w:r>
        <w:rPr>
          <w:rFonts w:ascii="Times New Roman" w:hAnsi="Times New Roman"/>
          <w:b/>
          <w:sz w:val="20"/>
        </w:rPr>
        <w:t>Third Party Information</w:t>
      </w:r>
      <w:r>
        <w:rPr>
          <w:rFonts w:ascii="Times New Roman" w:hAnsi="Times New Roman"/>
          <w:sz w:val="20"/>
        </w:rPr>
        <w:t xml:space="preserve">”). During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w:t>
      </w:r>
      <w:r>
        <w:rPr>
          <w:rFonts w:ascii="Times New Roman" w:hAnsi="Times New Roman"/>
          <w:b/>
          <w:sz w:val="20"/>
        </w:rPr>
        <w:t xml:space="preserve">Term of Nondisclosure Restrictions. </w:t>
      </w:r>
      <w:r>
        <w:rPr>
          <w:rFonts w:ascii="Times New Roman" w:hAnsi="Times New Roman"/>
          <w:sz w:val="20"/>
        </w:rPr>
        <w:t xml:space="preserve">I understand that Proprietary Information and Third Party Information is never to be used or disclosed by me, as provided in this Section 1. If, however, a court decides that this Section 1 or any of its provisions is unenforceable for lack of reasonable temporal limitation and the Agreement or its restriction(s) cannot otherwise be enforced, I agree and the Company agrees that the two (2)-year period after the date my employment with the Company ends shall be the temporal limitation relevant to the contested restriction, provided, however, that this sentence shall not apply to trade secrets protected without temporal limitation under applicable law.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w:t>
      </w:r>
      <w:r>
        <w:rPr>
          <w:rFonts w:ascii="Times New Roman" w:hAnsi="Times New Roman"/>
          <w:b/>
          <w:sz w:val="20"/>
        </w:rPr>
        <w:t xml:space="preserve">No Improper Use of Information of Prior Employers and Others. </w:t>
      </w:r>
      <w:r>
        <w:rPr>
          <w:rFonts w:ascii="Times New Roman" w:hAnsi="Times New Roman"/>
          <w:sz w:val="20"/>
        </w:rPr>
        <w:t xml:space="preserve">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OF INVENTIONS. </w:t>
            </w:r>
          </w:p>
        </w:tc>
      </w:tr>
    </w:tbl>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w:t>
      </w:r>
      <w:r>
        <w:rPr>
          <w:rFonts w:ascii="Times New Roman" w:hAnsi="Times New Roman"/>
          <w:b/>
          <w:sz w:val="20"/>
        </w:rPr>
        <w:t xml:space="preserve">Proprietary Rights. </w:t>
      </w:r>
      <w:r>
        <w:rPr>
          <w:rFonts w:ascii="Times New Roman" w:hAnsi="Times New Roman"/>
          <w:sz w:val="20"/>
        </w:rPr>
        <w:t>The term “</w:t>
      </w:r>
      <w:r>
        <w:rPr>
          <w:rFonts w:ascii="Times New Roman" w:hAnsi="Times New Roman"/>
          <w:b/>
          <w:sz w:val="20"/>
        </w:rPr>
        <w:t>Proprietary Rights</w:t>
      </w:r>
      <w:r>
        <w:rPr>
          <w:rFonts w:ascii="Times New Roman" w:hAnsi="Times New Roman"/>
          <w:sz w:val="20"/>
        </w:rPr>
        <w:t xml:space="preserve">” means all trade secrets, patents, copyrights, trademarks, mask works and other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w:t>
      </w:r>
      <w:r>
        <w:rPr>
          <w:rFonts w:ascii="Times New Roman" w:hAnsi="Times New Roman"/>
          <w:b/>
          <w:sz w:val="20"/>
        </w:rPr>
        <w:t xml:space="preserve">Prior Inventions. </w:t>
      </w:r>
      <w:r>
        <w:rPr>
          <w:rFonts w:ascii="Times New Roman" w:hAnsi="Times New Roman"/>
          <w:sz w:val="20"/>
        </w:rPr>
        <w:t xml:space="preserve">Inventions, if any, patented or unpatented, which I made prior to the commencement of my employment with the Company are excluded from the scope of this Agreement. To preclude any possible uncertainty, I have set forth on </w:t>
      </w:r>
      <w:r>
        <w:rPr>
          <w:rFonts w:ascii="Times New Roman" w:hAnsi="Times New Roman"/>
          <w:i/>
          <w:sz w:val="20"/>
        </w:rPr>
        <w:t xml:space="preserve">Exhibit A </w:t>
      </w:r>
      <w:r>
        <w:rPr>
          <w:rFonts w:ascii="Times New Roman" w:hAnsi="Times New Roman"/>
          <w:sz w:val="20"/>
        </w:rPr>
        <w:t>(Previous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w:t>
      </w:r>
      <w:r>
        <w:rPr>
          <w:rFonts w:ascii="Times New Roman" w:hAnsi="Times New Roman"/>
          <w:b/>
          <w:sz w:val="20"/>
        </w:rPr>
        <w:t>Prior Inventions</w:t>
      </w:r>
      <w:r>
        <w:rPr>
          <w:rFonts w:ascii="Times New Roman" w:hAnsi="Times New Roman"/>
          <w:sz w:val="20"/>
        </w:rPr>
        <w:t xml:space="preserve">”). If disclosure of any such Prior Invention would cause me to violate any prior confidentiality agreement, I understand that I am not to list such Prior Inventions in </w:t>
      </w:r>
      <w:r>
        <w:rPr>
          <w:rFonts w:ascii="Times New Roman" w:hAnsi="Times New Roman"/>
          <w:i/>
          <w:sz w:val="20"/>
        </w:rPr>
        <w:t xml:space="preserve">Exhibit A </w:t>
      </w:r>
      <w:r>
        <w:rPr>
          <w:rFonts w:ascii="Times New Roman" w:hAnsi="Times New Roman"/>
          <w:sz w:val="20"/>
        </w:rPr>
        <w:t xml:space="preserve">but am only to disclose a cursory name for each such invention, a listing of the party(ies) to whom it belongs and the fact that full disclosure as to such inventions has not been made for that reason. A space is provided on </w:t>
      </w:r>
      <w:r>
        <w:rPr>
          <w:rFonts w:ascii="Times New Roman" w:hAnsi="Times New Roman"/>
          <w:i/>
          <w:sz w:val="20"/>
        </w:rPr>
        <w:t xml:space="preserve">Exhibit A </w:t>
      </w:r>
      <w:r>
        <w:rPr>
          <w:rFonts w:ascii="Times New Roman" w:hAnsi="Times New Roman"/>
          <w:sz w:val="20"/>
        </w:rPr>
        <w:t xml:space="preserve">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fully-paid, worldwide license (with rights to sublicense through multiple tiers of sublicensees) to make, have made, modify, make derivative works of, publicly perform, use, sell, import, and exercise any and all present and future rights in such Prior Invention.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3"/>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 agree that I will not incorporate, or permit to be incorporated, Prior Inventions in any Company Inventions without the Company’s prior written consent.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w:t>
      </w:r>
      <w:r>
        <w:rPr>
          <w:rFonts w:ascii="Times New Roman" w:hAnsi="Times New Roman"/>
          <w:b/>
          <w:sz w:val="20"/>
        </w:rPr>
        <w:t xml:space="preserve">Assignment of Inventions. </w:t>
      </w:r>
      <w:r>
        <w:rPr>
          <w:rFonts w:ascii="Times New Roman" w:hAnsi="Times New Roman"/>
          <w:sz w:val="20"/>
        </w:rPr>
        <w:t>Subject to Subsections 2.4 and 2.6, I hereby assign and agree to assign in the future (when any such Inventions or Proprietary Rights are first reduced to practice or first fixed in a tangible medium, as applicable) to Serapha Bio all my right, title and interest in and to any and all Inventions (and all Proprietary Rights with respect thereto) whether or not patentable or registerable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w:t>
      </w:r>
      <w:r>
        <w:rPr>
          <w:rFonts w:ascii="Times New Roman" w:hAnsi="Times New Roman"/>
          <w:b/>
          <w:sz w:val="20"/>
        </w:rPr>
        <w:t>Company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w:t>
      </w:r>
      <w:r>
        <w:rPr>
          <w:rFonts w:ascii="Times New Roman" w:hAnsi="Times New Roman"/>
          <w:b/>
          <w:sz w:val="20"/>
        </w:rPr>
        <w:t xml:space="preserve">Unassigned or Nonassignable Inventions. </w:t>
      </w:r>
      <w:r>
        <w:rPr>
          <w:rFonts w:ascii="Times New Roman" w:hAnsi="Times New Roman"/>
          <w:sz w:val="20"/>
        </w:rPr>
        <w:t xml:space="preserve">I recognize that this Agreement will not be deemed to require assignment of any Invention that I developed entirely on my own time without using the Company’s equipment, supplies, facilities, trade secrets, or Proprietary Information, except for those Inventions that either (i) relate to the Company’s actual or anticipated business, research or development, or (ii) result from or are connected with work performed by me for the Company.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w:t>
      </w:r>
      <w:r>
        <w:rPr>
          <w:rFonts w:ascii="Times New Roman" w:hAnsi="Times New Roman"/>
          <w:b/>
          <w:sz w:val="20"/>
        </w:rPr>
        <w:t xml:space="preserve">Obligation to Keep Company Informed. </w:t>
      </w:r>
      <w:r>
        <w:rPr>
          <w:rFonts w:ascii="Times New Roman" w:hAnsi="Times New Roman"/>
          <w:sz w:val="20"/>
        </w:rPr>
        <w:t xml:space="preserve">During the period of 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with the Company.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w:t>
      </w:r>
      <w:r>
        <w:rPr>
          <w:rFonts w:ascii="Times New Roman" w:hAnsi="Times New Roman"/>
          <w:b/>
          <w:sz w:val="20"/>
        </w:rPr>
        <w:t xml:space="preserve">Government or Third Party. </w:t>
      </w:r>
      <w:r>
        <w:rPr>
          <w:rFonts w:ascii="Times New Roman" w:hAnsi="Times New Roman"/>
          <w:sz w:val="20"/>
        </w:rPr>
        <w:t xml:space="preserve">I also agree to assign all my right, title and interest in and to any particular Company Invention to a third party, including without limitation the United States, as directed by the Company.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w:t>
      </w:r>
      <w:r>
        <w:rPr>
          <w:rFonts w:ascii="Times New Roman" w:hAnsi="Times New Roman"/>
          <w:b/>
          <w:sz w:val="20"/>
        </w:rPr>
        <w:t xml:space="preserve">Works for Hire. </w:t>
      </w:r>
      <w:r>
        <w:rPr>
          <w:rFonts w:ascii="Times New Roman" w:hAnsi="Times New Roman"/>
          <w:sz w:val="20"/>
        </w:rPr>
        <w:t xml:space="preserve">I acknowledge that all original works of authorship which are made by me (solely or jointly with others) within the scope of my employment and which are protectable by copyright are “works made for hire,” pursuant to United States Copyright Act (17 U.S.C., Section 101).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w:t>
      </w:r>
      <w:r>
        <w:rPr>
          <w:rFonts w:ascii="Times New Roman" w:hAnsi="Times New Roman"/>
          <w:b/>
          <w:sz w:val="20"/>
        </w:rPr>
        <w:t xml:space="preserve">Enforcement of Proprietary Rights. </w:t>
      </w:r>
      <w:r>
        <w:rPr>
          <w:rFonts w:ascii="Times New Roman" w:hAnsi="Times New Roman"/>
          <w:sz w:val="20"/>
        </w:rPr>
        <w:t xml:space="preserve">I will 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4"/>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rPr>
        <w:t xml:space="preserve">RECORDS. </w:t>
      </w:r>
      <w:r>
        <w:rPr>
          <w:rFonts w:ascii="Times New Roman" w:hAnsi="Times New Roman"/>
          <w:sz w:val="20"/>
        </w:rPr>
        <w:t xml:space="preserve">I agree to keep and maintain adequate and current records (in 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w:t>
      </w:r>
      <w:r>
        <w:rPr>
          <w:rFonts w:ascii="Times New Roman" w:hAnsi="Times New Roman"/>
          <w:b/>
          <w:sz w:val="20"/>
        </w:rPr>
        <w:t xml:space="preserve">DUTY OF LOYALTY DURING EMPLOYMENT. </w:t>
      </w:r>
      <w:r>
        <w:rPr>
          <w:rFonts w:ascii="Times New Roman" w:hAnsi="Times New Roman"/>
          <w:sz w:val="20"/>
        </w:rPr>
        <w:t xml:space="preserve">I agree that during the period of my employment by the Company I will not, without the Company’s express written consent, directly or indirectly engage in any employment or business activity which is directly or indirectly competitive with, or would otherwise conflict with, my employment by the Company; provided, however, that this restriction does not prevent me from (a) serving on the board of directors (or equivalent governing body or authority in the case of a non-corporate entity) of any religious, educational or community organization that is not adverse to the Company’s interests; (b) engaging in bona fide charitable activities and community affairs that are not adverse to the Company’s interests; or (c) managing my personal investments and affairs; provided, however, that in each case, and in the aggregate, such activities do not conflict or interfere with the performance of my duties hereunder or conflict with the other terms of this Agreement. </w:t>
      </w:r>
    </w:p>
    <w:p>
      <w:pPr>
        <w:pStyle w:val="TextBody"/>
        <w:bidi w:val="0"/>
        <w:spacing w:before="240" w:after="0"/>
        <w:jc w:val="left"/>
        <w:rPr>
          <w:rFonts w:ascii="Times New Roman" w:hAnsi="Times New Roman"/>
          <w:sz w:val="20"/>
        </w:rPr>
      </w:pPr>
      <w:r>
        <w:rPr>
          <w:rFonts w:ascii="Times New Roman" w:hAnsi="Times New Roman"/>
          <w:b/>
          <w:sz w:val="20"/>
        </w:rPr>
        <w:t>5. NO SOLICITATION OF EMPLOYEES, CONSULTANTS, CONTRACTORS, CUSTOMERS OR</w:t>
      </w:r>
      <w:r>
        <w:rPr>
          <w:rFonts w:ascii="Times New Roman" w:hAnsi="Times New Roman"/>
          <w:sz w:val="20"/>
        </w:rPr>
        <w:t xml:space="preserve"> </w:t>
      </w:r>
      <w:r>
        <w:rPr>
          <w:rFonts w:ascii="Times New Roman" w:hAnsi="Times New Roman"/>
          <w:b/>
          <w:sz w:val="20"/>
        </w:rPr>
        <w:t xml:space="preserve">POTENTIAL CUSTOMERS. </w:t>
      </w:r>
      <w:r>
        <w:rPr>
          <w:rFonts w:ascii="Times New Roman" w:hAnsi="Times New Roman"/>
          <w:sz w:val="20"/>
        </w:rPr>
        <w:t xml:space="preserve">I agree that during the period of my employment with the Company and for the one (1)-year period after the date my employment ends for any reason, including but not limited to voluntary termination by me or involuntary termination by the Company, I will not, as an officer, director, employee, consultant, owner, partner, or in any other capacity, either directly or through others, except on behalf of the Company: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 solicit, induce, encourage, or participate in soliciting, inducing, or encouraging any employee of the Company to terminate his or her relationship with the Company.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 hire, employ, or engage in business with or attempt to hire, employ, or engage in business with any person employed by the Company or who has left the employment of the Company within the preceding one (1) year or discuss any potential employment or business association with such person, even if I did not initiate the discussion or seek out the contact; or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 solicit, induce or attempt to induce any Customer or Potential Customer (as defined below), or any consultant or independent contractor with whom I had direct or indirect contact or whose identity I learned as a result of my employment with the Company, to terminate, diminish, or materially alter in a manner harmful to the Company its relationship with the Company. </w:t>
      </w:r>
    </w:p>
    <w:p>
      <w:pPr>
        <w:pStyle w:val="TextBody"/>
        <w:bidi w:val="0"/>
        <w:spacing w:before="240" w:after="0"/>
        <w:jc w:val="left"/>
        <w:rPr>
          <w:rFonts w:ascii="Times New Roman" w:hAnsi="Times New Roman"/>
          <w:sz w:val="20"/>
        </w:rPr>
      </w:pPr>
      <w:r>
        <w:rPr>
          <w:rFonts w:ascii="Times New Roman" w:hAnsi="Times New Roman"/>
          <w:sz w:val="20"/>
        </w:rPr>
        <w:t>The parties agree that, for purposes of this Agreement, a “</w:t>
      </w:r>
      <w:r>
        <w:rPr>
          <w:rFonts w:ascii="Times New Roman" w:hAnsi="Times New Roman"/>
          <w:b/>
          <w:sz w:val="20"/>
        </w:rPr>
        <w:t>Customer or Potential Customer</w:t>
      </w:r>
      <w:r>
        <w:rPr>
          <w:rFonts w:ascii="Times New Roman" w:hAnsi="Times New Roman"/>
          <w:sz w:val="20"/>
        </w:rPr>
        <w:t xml:space="preserve">” is any person or entity who or which, at any time prior to the date my employment with the Company ends, (i) contracted for, was billed for, or received from the Company, or provided to the Company, any product, service or process; or (ii) was in contact with me concerning any product, service or process.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w:t>
      </w:r>
      <w:r>
        <w:rPr>
          <w:rFonts w:ascii="Times New Roman" w:hAnsi="Times New Roman"/>
          <w:b/>
          <w:sz w:val="20"/>
        </w:rPr>
        <w:t xml:space="preserve">NON-COMPETE PROVISION. </w:t>
      </w:r>
      <w:r>
        <w:rPr>
          <w:rFonts w:ascii="Times New Roman" w:hAnsi="Times New Roman"/>
          <w:sz w:val="20"/>
        </w:rPr>
        <w:t xml:space="preserve">I agree that during the period of my employment and for the six (6)-month period after the date my employment ends for any reason, including but not limited to voluntary termination by me or involuntary termination by the Company, I will not within the United States or any other geographic region in which the Company conducts its business, and in any capacity, whether individually or as an employee, consultant, director, officer, agent, advisor or otherwise for or on behalf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5"/>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of any entity (a “</w:t>
      </w:r>
      <w:r>
        <w:rPr>
          <w:rFonts w:ascii="Times New Roman" w:hAnsi="Times New Roman"/>
          <w:b/>
          <w:sz w:val="20"/>
        </w:rPr>
        <w:t>Competing Organization</w:t>
      </w:r>
      <w:r>
        <w:rPr>
          <w:rFonts w:ascii="Times New Roman" w:hAnsi="Times New Roman"/>
          <w:sz w:val="20"/>
        </w:rPr>
        <w:t xml:space="preserve">”) engaged in any business activities that are competitive with the products or services offered or being provided by the Company or being developed by the Company or which the Company has definitive plans to develop. If any court of competent jurisdiction shall at any time deem the duration or the geographic scope of any of the provisions of this Section 6 unenforceable, the other provisions of this Section 6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 The foregoing restriction shall not apply to my ownership interest in any public company so long as (i) such interest is less than five percent (5%) of the outstanding interests of such company, (ii) such interest is held solely as a passive investment and (iii) I do not, directly or indirectly, have any management, board, observer, consulting, advisory, voting or other control or influence rights with respect to such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REASONABLENESS OF RESTRICTIONS. </w:t>
            </w:r>
          </w:p>
        </w:tc>
      </w:tr>
    </w:tbl>
    <w:p>
      <w:pPr>
        <w:pStyle w:val="TextBody"/>
        <w:bidi w:val="0"/>
        <w:spacing w:before="12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 I agree that I have read this entire Agreement and understand it. I agree that this Agreement does not prevent me 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 In the event that a court finds this Agreement, or any of its restrictions, to be ambiguous, unenforceable, or invalid, I and the Company agree that the court shall read the Agreement as a whole and interpret the restriction(s) at issue to be enforceable and valid to the maximum extent allowed by law.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rPr>
        <w:t xml:space="preserve">NO CONFLICTING AGREEMENT OR OBLIGATION. </w:t>
      </w:r>
      <w:r>
        <w:rPr>
          <w:rFonts w:ascii="Times New Roman" w:hAnsi="Times New Roman"/>
          <w:sz w:val="20"/>
        </w:rPr>
        <w:t xml:space="preserve">I 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w:t>
      </w:r>
      <w:r>
        <w:rPr>
          <w:rFonts w:ascii="Times New Roman" w:hAnsi="Times New Roman"/>
          <w:b/>
          <w:sz w:val="20"/>
        </w:rPr>
        <w:t xml:space="preserve">RETURN OF COMPANY PROPERTY. </w:t>
      </w:r>
      <w:r>
        <w:rPr>
          <w:rFonts w:ascii="Times New Roman" w:hAnsi="Times New Roman"/>
          <w:sz w:val="20"/>
        </w:rPr>
        <w:t xml:space="preserve">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 if requested to do so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AND EQUITABLE REMEDIES.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66"/>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w:t>
      </w:r>
      <w:r>
        <w:rPr>
          <w:rFonts w:ascii="Times New Roman" w:hAnsi="Times New Roman"/>
          <w:b/>
          <w:sz w:val="20"/>
        </w:rPr>
        <w:t xml:space="preserve">NOTICES. </w:t>
      </w:r>
      <w:r>
        <w:rPr>
          <w:rFonts w:ascii="Times New Roman" w:hAnsi="Times New Roman"/>
          <w:sz w:val="20"/>
        </w:rPr>
        <w:t xml:space="preserve">Any notices required or permitted hereunder shall be given to 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 </w:t>
      </w:r>
    </w:p>
    <w:p>
      <w:pPr>
        <w:pStyle w:val="TextBody"/>
        <w:bidi w:val="0"/>
        <w:spacing w:before="360" w:after="0"/>
        <w:jc w:val="left"/>
        <w:rPr>
          <w:rFonts w:ascii="Times New Roman" w:hAnsi="Times New Roman"/>
          <w:b/>
          <w:sz w:val="20"/>
        </w:rPr>
      </w:pPr>
      <w:r>
        <w:rPr>
          <w:rFonts w:ascii="Times New Roman" w:hAnsi="Times New Roman"/>
          <w:b/>
          <w:sz w:val="20"/>
        </w:rPr>
        <w:t xml:space="preserve">12. PUBLICATION OF THIS AGREEMENT TO SUBSEQUENT EMPLOYERS OR BUSINESS ASSOCIATES OF EXECUTIVE. </w:t>
      </w:r>
    </w:p>
    <w:p>
      <w:pPr>
        <w:pStyle w:val="TextBody"/>
        <w:bidi w:val="0"/>
        <w:spacing w:before="12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 If I am offered employment or the opportunity to enter into any business venture as owner, partner, consultant or other capacity while the restrictions described in Sections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 I agree to inform the Company of all employment and business ventures which I enter into while the restrictions described in Sections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PROVISIONS. </w:t>
            </w:r>
          </w:p>
        </w:tc>
      </w:tr>
    </w:tbl>
    <w:p>
      <w:pPr>
        <w:pStyle w:val="TextBody"/>
        <w:bidi w:val="0"/>
        <w:spacing w:before="120" w:after="0"/>
        <w:jc w:val="left"/>
        <w:rPr>
          <w:rFonts w:ascii="Times New Roman" w:hAnsi="Times New Roman"/>
          <w:sz w:val="20"/>
        </w:rPr>
      </w:pPr>
      <w:r>
        <w:rPr>
          <w:rFonts w:ascii="Times New Roman" w:hAnsi="Times New Roman"/>
          <w:b/>
          <w:sz w:val="20"/>
        </w:rPr>
        <w:t>13.1</w:t>
      </w:r>
      <w:r>
        <w:rPr>
          <w:rFonts w:ascii="Times New Roman" w:hAnsi="Times New Roman"/>
          <w:sz w:val="20"/>
        </w:rPr>
        <w:t> </w:t>
      </w:r>
      <w:r>
        <w:rPr>
          <w:rFonts w:ascii="Times New Roman" w:hAnsi="Times New Roman"/>
          <w:b/>
          <w:sz w:val="20"/>
        </w:rPr>
        <w:t xml:space="preserve">Governing Law; Consent to Personal Jurisdiction. </w:t>
      </w:r>
      <w:r>
        <w:rPr>
          <w:rFonts w:ascii="Times New Roman" w:hAnsi="Times New Roman"/>
          <w:sz w:val="20"/>
        </w:rPr>
        <w:t xml:space="preserve">This Agreement will be governed by and construed according to the laws of the State of New York as such laws are applied to agreements entered into and to be performed entirely within New York between New York residents. I hereby expressly consent to the personal jurisdiction and venue of the state and federal courts located in the State of New York for any lawsuit filed there against me by Company arising from or related to this Agreement.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w:t>
      </w:r>
      <w:r>
        <w:rPr>
          <w:rFonts w:ascii="Times New Roman" w:hAnsi="Times New Roman"/>
          <w:b/>
          <w:sz w:val="20"/>
        </w:rPr>
        <w:t>Indemnification.</w:t>
      </w:r>
      <w:r>
        <w:rPr>
          <w:rFonts w:ascii="Times New Roman" w:hAnsi="Times New Roman"/>
          <w:sz w:val="20"/>
        </w:rPr>
        <w:t xml:space="preserve"> You will be entitled to be indemnified by the Company against any claims brought against you arising from your employment with, or provision of services to, the Company or any of its subsidiaries or affiliates, and to have your defense expenses promptly advanced subject to a repayment obligation as required by law, to the maximum extent provided in the Company’s articles of incorporation, by-laws and applicable law (each in effect as of the date hereof or as may be subsequently amended to provide you with more favorable treatment), and to be covered by the Company’s directors and officers liability policy, in the same manner and to the same extent as other current and former officers and directors of the Company.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w:t>
      </w:r>
      <w:r>
        <w:rPr>
          <w:rFonts w:ascii="Times New Roman" w:hAnsi="Times New Roman"/>
          <w:b/>
          <w:sz w:val="20"/>
        </w:rPr>
        <w:t xml:space="preserve">Severability. </w:t>
      </w:r>
      <w:r>
        <w:rPr>
          <w:rFonts w:ascii="Times New Roman" w:hAnsi="Times New Roman"/>
          <w:sz w:val="20"/>
        </w:rPr>
        <w:t xml:space="preserve">In case any one or more of the provisions, subsections, or sentences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w:t>
      </w:r>
      <w:r>
        <w:rPr>
          <w:rFonts w:ascii="Times New Roman" w:hAnsi="Times New Roman"/>
          <w:b/>
          <w:sz w:val="20"/>
        </w:rPr>
        <w:t>Successors and Assigns.</w:t>
      </w:r>
      <w:r>
        <w:rPr>
          <w:rFonts w:ascii="Times New Roman" w:hAnsi="Times New Roman"/>
          <w:sz w:val="20"/>
        </w:rPr>
        <w:t xml:space="preserve"> This Agreement is for my benefit and the benefit of the Company, its successors, assigns, parent corporations, subsidiaries, affiliates, and purchasers, and will be binding upon my heirs, executors, administrators and other legal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67"/>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13.5</w:t>
      </w:r>
      <w:r>
        <w:rPr>
          <w:rFonts w:ascii="Times New Roman" w:hAnsi="Times New Roman"/>
          <w:sz w:val="20"/>
        </w:rPr>
        <w:t> </w:t>
      </w:r>
      <w:r>
        <w:rPr>
          <w:rFonts w:ascii="Times New Roman" w:hAnsi="Times New Roman"/>
          <w:b/>
          <w:sz w:val="20"/>
        </w:rPr>
        <w:t>Survival.</w:t>
      </w:r>
      <w:r>
        <w:rPr>
          <w:rFonts w:ascii="Times New Roman" w:hAnsi="Times New Roman"/>
          <w:sz w:val="20"/>
        </w:rPr>
        <w:t xml:space="preserve"> The provisions of this Agreement shall survive the termination of my employment, regardless of the reason, and the assignment of this Agreement by the Company to any successor in interest or other assignee.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w:t>
      </w:r>
      <w:r>
        <w:rPr>
          <w:rFonts w:ascii="Times New Roman" w:hAnsi="Times New Roman"/>
          <w:b/>
          <w:sz w:val="20"/>
        </w:rPr>
        <w:t>Employment At-Will.</w:t>
      </w:r>
      <w:r>
        <w:rPr>
          <w:rFonts w:ascii="Times New Roman" w:hAnsi="Times New Roman"/>
          <w:sz w:val="20"/>
        </w:rPr>
        <w:t xml:space="preserve"> I agree and understand that nothing in my offer letter with the Company shall change my at-will employment status or confer any right with respect to continuation of employment by the Company, nor shall it interfere in any way with my right or the Company’s right to terminate my employment at any time, with or without cause or advance notice, subject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w:t>
      </w:r>
      <w:r>
        <w:rPr>
          <w:rFonts w:ascii="Times New Roman" w:hAnsi="Times New Roman"/>
          <w:b/>
          <w:sz w:val="20"/>
        </w:rPr>
        <w:t>Waiver.</w:t>
      </w:r>
      <w:r>
        <w:rPr>
          <w:rFonts w:ascii="Times New Roman" w:hAnsi="Times New Roman"/>
          <w:sz w:val="20"/>
        </w:rPr>
        <w:t xml:space="preserve"> No waiver by the Company of any breach of this 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13.8 Advice of Counsel.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w:t>
      </w:r>
      <w:r>
        <w:rPr>
          <w:rFonts w:ascii="Times New Roman" w:hAnsi="Times New Roman"/>
          <w:b/>
          <w:sz w:val="20"/>
        </w:rPr>
        <w:t>Entire Agreement.</w:t>
      </w:r>
      <w:r>
        <w:rPr>
          <w:rFonts w:ascii="Times New Roman" w:hAnsi="Times New Roman"/>
          <w:sz w:val="20"/>
        </w:rPr>
        <w:t xml:space="preserve"> The obligations pursuant to Sections 1 and 2 (except Subsection 2.7) of this Agreement shall apply to any time during which I am engaged by the Company as an employee or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effective as of the first day of my provision of services to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68"/>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HAVE READ THIS AGREEMENT CAREFULLY AND UNDERSTAND ITS TERMS. I HAVE COMPLETELY FILLED OUT </w:t>
      </w:r>
      <w:r>
        <w:rPr>
          <w:rFonts w:ascii="Times New Roman" w:hAnsi="Times New Roman"/>
          <w:i/>
          <w:sz w:val="20"/>
        </w:rPr>
        <w:t xml:space="preserve">EXHIBIT A </w:t>
      </w:r>
      <w:r>
        <w:rPr>
          <w:rFonts w:ascii="Times New Roman" w:hAnsi="Times New Roman"/>
          <w:sz w:val="20"/>
        </w:rPr>
        <w:t xml:space="preserve">TO THIS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Daphne Karydas</w:t>
            </w:r>
          </w:p>
        </w:tc>
      </w:tr>
      <w:tr>
        <w:trPr/>
        <w:tc>
          <w:tcPr>
            <w:tcW w:w="4082" w:type="dxa"/>
            <w:tcBorders/>
          </w:tcPr>
          <w:p>
            <w:pPr>
              <w:pStyle w:val="TableContents"/>
              <w:bidi w:val="0"/>
              <w:spacing w:before="0" w:after="283"/>
              <w:jc w:val="left"/>
              <w:rPr/>
            </w:pPr>
            <w:r>
              <w:rPr/>
              <w:t>(Signature)</w:t>
            </w:r>
          </w:p>
        </w:tc>
      </w:tr>
      <w:tr>
        <w:trPr/>
        <w:tc>
          <w:tcPr>
            <w:tcW w:w="4082" w:type="dxa"/>
            <w:tcBorders/>
          </w:tcPr>
          <w:p>
            <w:pPr>
              <w:pStyle w:val="TableContents"/>
              <w:bidi w:val="0"/>
              <w:spacing w:before="0" w:after="283"/>
              <w:jc w:val="left"/>
              <w:rPr/>
            </w:pPr>
            <w:r>
              <w:rPr/>
              <w:t>Name: Daphne Karydas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AND AGREED TO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Serapha Bio,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r>
    </w:tbl>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Kenneth Mills</w:t>
            </w:r>
          </w:p>
        </w:tc>
      </w:tr>
      <w:tr>
        <w:trPr/>
        <w:tc>
          <w:tcPr>
            <w:tcW w:w="70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9"/>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PREVIOUS INVENTIONS </w:t>
      </w:r>
    </w:p>
    <w:p>
      <w:pPr>
        <w:pStyle w:val="TextBody"/>
        <w:bidi w:val="0"/>
        <w:spacing w:before="240" w:after="0"/>
        <w:jc w:val="left"/>
        <w:rPr>
          <w:rFonts w:ascii="Times New Roman" w:hAnsi="Times New Roman"/>
          <w:b/>
          <w:sz w:val="20"/>
        </w:rPr>
      </w:pPr>
      <w:r>
        <w:rPr>
          <w:rFonts w:ascii="Times New Roman" w:hAnsi="Times New Roman"/>
          <w:b/>
          <w:sz w:val="20"/>
        </w:rPr>
        <w:t xml:space="preserve">TO: Serapha Bio, Inc. </w:t>
      </w:r>
    </w:p>
    <w:p>
      <w:pPr>
        <w:pStyle w:val="TextBody"/>
        <w:bidi w:val="0"/>
        <w:spacing w:before="0" w:after="0"/>
        <w:jc w:val="left"/>
        <w:rPr>
          <w:rFonts w:ascii="Times New Roman" w:hAnsi="Times New Roman"/>
          <w:b/>
          <w:sz w:val="20"/>
        </w:rPr>
      </w:pPr>
      <w:r>
        <w:rPr>
          <w:rFonts w:ascii="Times New Roman" w:hAnsi="Times New Roman"/>
          <w:b/>
          <w:sz w:val="20"/>
        </w:rPr>
        <w:t xml:space="preserve">FROM: Daphne Karydas </w:t>
      </w:r>
    </w:p>
    <w:p>
      <w:pPr>
        <w:pStyle w:val="TextBody"/>
        <w:bidi w:val="0"/>
        <w:spacing w:before="0" w:after="0"/>
        <w:jc w:val="left"/>
        <w:rPr>
          <w:rFonts w:ascii="Times New Roman" w:hAnsi="Times New Roman"/>
          <w:b/>
          <w:sz w:val="20"/>
        </w:rPr>
      </w:pPr>
      <w:r>
        <w:rPr>
          <w:rFonts w:ascii="Times New Roman" w:hAnsi="Times New Roman"/>
          <w:b/>
          <w:sz w:val="20"/>
        </w:rPr>
        <w:t xml:space="preserve">DATE: August 7, 2026 </w:t>
      </w:r>
    </w:p>
    <w:p>
      <w:pPr>
        <w:pStyle w:val="TextBody"/>
        <w:bidi w:val="0"/>
        <w:spacing w:before="0" w:after="0"/>
        <w:jc w:val="left"/>
        <w:rPr>
          <w:rFonts w:ascii="Times New Roman" w:hAnsi="Times New Roman"/>
          <w:b/>
          <w:sz w:val="20"/>
        </w:rPr>
      </w:pPr>
      <w:r>
        <w:rPr>
          <w:rFonts w:ascii="Times New Roman" w:hAnsi="Times New Roman"/>
          <w:b/>
          <w:sz w:val="20"/>
        </w:rPr>
        <w:t xml:space="preserve">SUBJECT: Previous Inventions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 Except as listed in Section 2 below, the following is a complete list of all inventions or improvements relevant to the subject matter of my employment by </w:t>
      </w:r>
      <w:r>
        <w:rPr>
          <w:rFonts w:ascii="Times New Roman" w:hAnsi="Times New Roman"/>
          <w:b/>
          <w:sz w:val="20"/>
        </w:rPr>
        <w:t>Serapha Bio, Inc.</w:t>
      </w:r>
      <w:r>
        <w:rPr>
          <w:rFonts w:ascii="Times New Roman" w:hAnsi="Times New Roman"/>
          <w:sz w:val="20"/>
        </w:rPr>
        <w:t>, its subsidiaries, parents, affiliates, predecessors, successors and assigns (collectively, the “</w:t>
      </w:r>
      <w:r>
        <w:rPr>
          <w:rFonts w:ascii="Times New Roman" w:hAnsi="Times New Roman"/>
          <w:b/>
          <w:sz w:val="20"/>
        </w:rPr>
        <w:t>Company</w:t>
      </w:r>
      <w:r>
        <w:rPr>
          <w:rFonts w:ascii="Times New Roman" w:hAnsi="Times New Roman"/>
          <w:sz w:val="20"/>
        </w:rPr>
        <w:t xml:space="preserve">”) that have been made or conceived or first reduced to practice by me alone or jointly with others prior to my engagement by the Company: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9388"/>
      </w:tblGrid>
      <w:tr>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bidi w:val="0"/>
              <w:spacing w:before="0" w:after="283"/>
              <w:jc w:val="left"/>
              <w:rPr/>
            </w:pPr>
            <w:r>
              <w:rPr/>
              <w:t xml:space="preserve">∎ </w:t>
            </w:r>
            <w:r>
              <w:rPr/>
              <w:t>No inventions or improvements.</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bidi w:val="0"/>
              <w:spacing w:before="0" w:after="283"/>
              <w:jc w:val="left"/>
              <w:rPr/>
            </w:pPr>
            <w:r>
              <w:rPr/>
              <w:t xml:space="preserve">☐ </w:t>
            </w:r>
            <w:r>
              <w:rPr/>
              <w:t>See below:</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pBdr>
                <w:bottom w:val="single" w:sz="2" w:space="1" w:color="000000"/>
              </w:pBdr>
              <w:bidi w:val="0"/>
              <w:spacing w:before="0" w:after="20"/>
              <w:jc w:val="left"/>
              <w:rPr/>
            </w:pPr>
            <w:r>
              <w:rPr/>
              <w:t> </w:t>
            </w:r>
          </w:p>
        </w:tc>
      </w:tr>
      <w:tr>
        <w:trPr>
          <w:trHeight w:val="120" w:hRule="atLeast"/>
        </w:trPr>
        <w:tc>
          <w:tcPr>
            <w:tcW w:w="9388" w:type="dxa"/>
            <w:tcBorders/>
            <w:vAlign w:val="center"/>
          </w:tcPr>
          <w:p>
            <w:pPr>
              <w:pStyle w:val="TableContents"/>
              <w:bidi w:val="0"/>
              <w:spacing w:before="0" w:after="283"/>
              <w:jc w:val="left"/>
              <w:rPr>
                <w:sz w:val="4"/>
                <w:szCs w:val="4"/>
              </w:rPr>
            </w:pPr>
            <w:r>
              <w:rPr>
                <w:sz w:val="4"/>
                <w:szCs w:val="4"/>
              </w:rPr>
            </w:r>
          </w:p>
        </w:tc>
      </w:tr>
      <w:tr>
        <w:trPr/>
        <w:tc>
          <w:tcPr>
            <w:tcW w:w="9388" w:type="dxa"/>
            <w:tcBorders/>
          </w:tcPr>
          <w:p>
            <w:pPr>
              <w:pStyle w:val="TableContents"/>
              <w:bidi w:val="0"/>
              <w:spacing w:before="0" w:after="283"/>
              <w:jc w:val="left"/>
              <w:rPr/>
            </w:pPr>
            <w:r>
              <w:rPr/>
              <w:t xml:space="preserve">☐ </w:t>
            </w:r>
            <w:r>
              <w:rPr/>
              <w:t>Additional sheets attached.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495550" cy="523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70"/>
                    <a:stretch>
                      <a:fillRect/>
                    </a:stretch>
                  </pic:blipFill>
                  <pic:spPr bwMode="auto">
                    <a:xfrm>
                      <a:off x="0" y="0"/>
                      <a:ext cx="2495550" cy="52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 Due to a prior confidentiality agreement, I cannot complete the disclosure under Section 1 above with respect to inventions or improvements generally listed below, the proprietary rights and duty of confidentiality with respect to which I owe to the following party(ies):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20"/>
        <w:gridCol w:w="120"/>
        <w:gridCol w:w="3124"/>
        <w:gridCol w:w="120"/>
        <w:gridCol w:w="3121"/>
      </w:tblGrid>
      <w:tr>
        <w:trPr/>
        <w:tc>
          <w:tcPr>
            <w:tcW w:w="37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Invention or Improvement</w:t>
            </w:r>
          </w:p>
        </w:tc>
        <w:tc>
          <w:tcPr>
            <w:tcW w:w="120" w:type="dxa"/>
            <w:tcBorders/>
            <w:vAlign w:val="bottom"/>
          </w:tcPr>
          <w:p>
            <w:pPr>
              <w:pStyle w:val="TableContents"/>
              <w:bidi w:val="0"/>
              <w:spacing w:before="0" w:after="283"/>
              <w:jc w:val="left"/>
              <w:rPr/>
            </w:pPr>
            <w:r>
              <w:rPr/>
              <w:t>  </w:t>
            </w:r>
          </w:p>
        </w:tc>
        <w:tc>
          <w:tcPr>
            <w:tcW w:w="31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Parties</w:t>
            </w:r>
          </w:p>
        </w:tc>
        <w:tc>
          <w:tcPr>
            <w:tcW w:w="120" w:type="dxa"/>
            <w:tcBorders/>
            <w:vAlign w:val="bottom"/>
          </w:tcPr>
          <w:p>
            <w:pPr>
              <w:pStyle w:val="TableContents"/>
              <w:bidi w:val="0"/>
              <w:spacing w:before="0" w:after="283"/>
              <w:jc w:val="left"/>
              <w:rPr/>
            </w:pPr>
            <w:r>
              <w:rPr/>
              <w:t>  </w:t>
            </w:r>
          </w:p>
        </w:tc>
        <w:tc>
          <w:tcPr>
            <w:tcW w:w="31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Relationship</w:t>
            </w:r>
          </w:p>
        </w:tc>
      </w:tr>
      <w:tr>
        <w:trPr/>
        <w:tc>
          <w:tcPr>
            <w:tcW w:w="3720"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312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20" w:type="dxa"/>
            <w:tcBorders/>
            <w:vAlign w:val="center"/>
          </w:tcPr>
          <w:p>
            <w:pPr>
              <w:pStyle w:val="TableContents"/>
              <w:bidi w:val="0"/>
              <w:spacing w:before="0" w:after="283"/>
              <w:jc w:val="left"/>
              <w:rPr>
                <w:sz w:val="4"/>
                <w:szCs w:val="4"/>
              </w:rPr>
            </w:pPr>
            <w:r>
              <w:rPr>
                <w:sz w:val="4"/>
                <w:szCs w:val="4"/>
              </w:rPr>
            </w:r>
          </w:p>
        </w:tc>
        <w:tc>
          <w:tcPr>
            <w:tcW w:w="3244" w:type="dxa"/>
            <w:gridSpan w:val="2"/>
            <w:tcBorders/>
            <w:vAlign w:val="center"/>
          </w:tcPr>
          <w:p>
            <w:pPr>
              <w:pStyle w:val="TableContents"/>
              <w:bidi w:val="0"/>
              <w:spacing w:before="0" w:after="283"/>
              <w:jc w:val="left"/>
              <w:rPr>
                <w:sz w:val="4"/>
                <w:szCs w:val="4"/>
              </w:rPr>
            </w:pPr>
            <w:r>
              <w:rPr>
                <w:sz w:val="4"/>
                <w:szCs w:val="4"/>
              </w:rPr>
            </w:r>
          </w:p>
        </w:tc>
        <w:tc>
          <w:tcPr>
            <w:tcW w:w="3241" w:type="dxa"/>
            <w:gridSpan w:val="2"/>
            <w:tcBorders/>
            <w:vAlign w:val="center"/>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312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20" w:type="dxa"/>
            <w:tcBorders/>
            <w:vAlign w:val="center"/>
          </w:tcPr>
          <w:p>
            <w:pPr>
              <w:pStyle w:val="TableContents"/>
              <w:bidi w:val="0"/>
              <w:spacing w:before="0" w:after="283"/>
              <w:jc w:val="left"/>
              <w:rPr>
                <w:sz w:val="4"/>
                <w:szCs w:val="4"/>
              </w:rPr>
            </w:pPr>
            <w:r>
              <w:rPr>
                <w:sz w:val="4"/>
                <w:szCs w:val="4"/>
              </w:rPr>
            </w:r>
          </w:p>
        </w:tc>
        <w:tc>
          <w:tcPr>
            <w:tcW w:w="3244" w:type="dxa"/>
            <w:gridSpan w:val="2"/>
            <w:tcBorders/>
            <w:vAlign w:val="center"/>
          </w:tcPr>
          <w:p>
            <w:pPr>
              <w:pStyle w:val="TableContents"/>
              <w:bidi w:val="0"/>
              <w:spacing w:before="0" w:after="283"/>
              <w:jc w:val="left"/>
              <w:rPr>
                <w:sz w:val="4"/>
                <w:szCs w:val="4"/>
              </w:rPr>
            </w:pPr>
            <w:r>
              <w:rPr>
                <w:sz w:val="4"/>
                <w:szCs w:val="4"/>
              </w:rPr>
            </w:r>
          </w:p>
        </w:tc>
        <w:tc>
          <w:tcPr>
            <w:tcW w:w="3241" w:type="dxa"/>
            <w:gridSpan w:val="2"/>
            <w:tcBorders/>
            <w:vAlign w:val="center"/>
          </w:tcPr>
          <w:p>
            <w:pPr>
              <w:pStyle w:val="TableContents"/>
              <w:bidi w:val="0"/>
              <w:spacing w:before="0" w:after="283"/>
              <w:jc w:val="left"/>
              <w:rPr>
                <w:sz w:val="4"/>
                <w:szCs w:val="4"/>
              </w:rPr>
            </w:pPr>
            <w:r>
              <w:rPr>
                <w:sz w:val="4"/>
                <w:szCs w:val="4"/>
              </w:rPr>
            </w:r>
          </w:p>
        </w:tc>
      </w:tr>
      <w:tr>
        <w:trPr/>
        <w:tc>
          <w:tcPr>
            <w:tcW w:w="3720"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312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pPr>
      <w:r>
        <w:rPr/>
        <w:t xml:space="preserve">☐ </w:t>
      </w:r>
      <w:r>
        <w:rPr>
          <w:rFonts w:ascii="Times New Roman" w:hAnsi="Times New Roman"/>
          <w:sz w:val="20"/>
        </w:rPr>
        <w:t xml:space="preserve">Additional sheets 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3"/>
        <w:gridCol w:w="122"/>
        <w:gridCol w:w="3274"/>
        <w:gridCol w:w="122"/>
        <w:gridCol w:w="3134"/>
      </w:tblGrid>
      <w:tr>
        <w:trPr/>
        <w:tc>
          <w:tcPr>
            <w:tcW w:w="35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283"/>
              <w:jc w:val="left"/>
              <w:rPr/>
            </w:pPr>
            <w:r>
              <w:rPr/>
              <w:t>Serapha Bio, Inc.</w:t>
            </w:r>
          </w:p>
        </w:tc>
        <w:tc>
          <w:tcPr>
            <w:tcW w:w="122" w:type="dxa"/>
            <w:tcBorders/>
            <w:vAlign w:val="bottom"/>
          </w:tcPr>
          <w:p>
            <w:pPr>
              <w:pStyle w:val="TableContents"/>
              <w:bidi w:val="0"/>
              <w:spacing w:before="0" w:after="283"/>
              <w:jc w:val="left"/>
              <w:rPr/>
            </w:pPr>
            <w:r>
              <w:rPr/>
              <w:t>  </w:t>
            </w:r>
          </w:p>
        </w:tc>
        <w:tc>
          <w:tcPr>
            <w:tcW w:w="3274" w:type="dxa"/>
            <w:tcBorders/>
          </w:tcPr>
          <w:p>
            <w:pPr>
              <w:pStyle w:val="TableContents"/>
              <w:bidi w:val="0"/>
              <w:spacing w:before="0" w:after="283"/>
              <w:jc w:val="center"/>
              <w:rPr/>
            </w:pPr>
            <w:r>
              <w:rPr/>
              <w:t>40 10th Avenue, 7th Floor</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New York, NY 10014</w:t>
            </w:r>
          </w:p>
        </w:tc>
      </w:tr>
    </w:tbl>
    <w:p>
      <w:pPr>
        <w:pStyle w:val="TextBody"/>
        <w:bidi w:val="0"/>
        <w:spacing w:before="0" w:after="0"/>
        <w:jc w:val="right"/>
        <w:rPr>
          <w:rFonts w:ascii="Times New Roman" w:hAnsi="Times New Roman"/>
          <w:b/>
          <w:sz w:val="20"/>
        </w:rPr>
      </w:pPr>
      <w:bookmarkStart w:id="267" w:name="d108148dex231.htm"/>
      <w:bookmarkStart w:id="268" w:name="ksd108148dex231"/>
      <w:bookmarkEnd w:id="267"/>
      <w:bookmarkEnd w:id="26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9, 2026, with respect to the financial statements of Boundless Bio, Inc., included herein,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7, 2026 </w:t>
      </w:r>
    </w:p>
    <w:p>
      <w:pPr>
        <w:pStyle w:val="TextBody"/>
        <w:bidi w:val="0"/>
        <w:spacing w:before="0" w:after="0"/>
        <w:jc w:val="right"/>
        <w:rPr>
          <w:rFonts w:ascii="Times New Roman" w:hAnsi="Times New Roman"/>
          <w:b/>
          <w:sz w:val="20"/>
        </w:rPr>
      </w:pPr>
      <w:bookmarkStart w:id="269" w:name="d108148dex232.htm"/>
      <w:bookmarkStart w:id="270" w:name="ksd108148dex232"/>
      <w:bookmarkEnd w:id="269"/>
      <w:bookmarkEnd w:id="27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August 31, 2026, with respect to the financial statements of Serapha Bio, Inc., included herein,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7, 2026 </w:t>
      </w:r>
    </w:p>
    <w:p>
      <w:pPr>
        <w:pStyle w:val="TextBody"/>
        <w:bidi w:val="0"/>
        <w:spacing w:before="0" w:after="0"/>
        <w:jc w:val="right"/>
        <w:rPr>
          <w:rFonts w:ascii="Times New Roman" w:hAnsi="Times New Roman"/>
          <w:b/>
          <w:sz w:val="20"/>
        </w:rPr>
      </w:pPr>
      <w:bookmarkStart w:id="271" w:name="d108148dex233.htm"/>
      <w:bookmarkStart w:id="272" w:name="ksd108148dex233"/>
      <w:bookmarkEnd w:id="271"/>
      <w:bookmarkEnd w:id="272"/>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Lucid Capital Markets, LLC </w:t>
      </w:r>
    </w:p>
    <w:p>
      <w:pPr>
        <w:pStyle w:val="TextBody"/>
        <w:bidi w:val="0"/>
        <w:spacing w:before="240" w:after="0"/>
        <w:jc w:val="left"/>
        <w:rPr>
          <w:rFonts w:ascii="Times New Roman" w:hAnsi="Times New Roman"/>
          <w:sz w:val="20"/>
        </w:rPr>
      </w:pPr>
      <w:r>
        <w:rPr>
          <w:rFonts w:ascii="Times New Roman" w:hAnsi="Times New Roman"/>
          <w:sz w:val="20"/>
        </w:rPr>
        <w:t xml:space="preserve">October 8,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Boundless Bio, Inc. </w:t>
      </w:r>
    </w:p>
    <w:p>
      <w:pPr>
        <w:pStyle w:val="TextBody"/>
        <w:bidi w:val="0"/>
        <w:spacing w:before="0" w:after="0"/>
        <w:jc w:val="left"/>
        <w:rPr>
          <w:rFonts w:ascii="Times New Roman" w:hAnsi="Times New Roman"/>
          <w:sz w:val="20"/>
        </w:rPr>
      </w:pPr>
      <w:r>
        <w:rPr>
          <w:rFonts w:ascii="Times New Roman" w:hAnsi="Times New Roman"/>
          <w:sz w:val="20"/>
        </w:rPr>
        <w:t xml:space="preserve">11099 North Torrey Pines Road, Suite 150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S-4 of Boundless Bio, Inc.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our opinion letter, dated June 21, 2026, to the Board of Directors of Boundless Bio, Inc. (“BOLD”) as Annex E to, and to the reference thereto under the headings “Prospectus Summary — Opinion of Boundless’ Financial Advisor” and “The Merger — Opinion of Boundless’ Financial Advisor” in the proxy statement/prospectus relating to the proposed merger involving BOLD and Serapha Bio, Inc. (“Serapha”), which such proxy statement/prospectus forms a part of BOLD’s and Serapha’s Registration Statement on Form S-4 (the “Registration Statement”) to be filed on the date hereof, which this consent is filed as an exhibit thereto.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drawing>
                <wp:inline distT="0" distB="0" distL="0" distR="0">
                  <wp:extent cx="1695450" cy="2667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71"/>
                          <a:stretch>
                            <a:fillRect/>
                          </a:stretch>
                        </pic:blipFill>
                        <pic:spPr bwMode="auto">
                          <a:xfrm>
                            <a:off x="0" y="0"/>
                            <a:ext cx="1695450" cy="26670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LUCID CAPITAL MARKETS,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LUCID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570 Lexington Ave, 40th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right"/>
        <w:rPr>
          <w:rFonts w:ascii="Times New Roman" w:hAnsi="Times New Roman"/>
          <w:b/>
          <w:sz w:val="20"/>
        </w:rPr>
      </w:pPr>
      <w:bookmarkStart w:id="273" w:name="d108148dex992.htm"/>
      <w:bookmarkStart w:id="274" w:name="ksd108148dex992"/>
      <w:bookmarkEnd w:id="273"/>
      <w:bookmarkEnd w:id="274"/>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 xml:space="preserve">Boundless Bio,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03"/>
        <w:gridCol w:w="504"/>
        <w:gridCol w:w="3075"/>
      </w:tblGrid>
      <w:tr>
        <w:trPr/>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Mills</w:t>
            </w:r>
          </w:p>
        </w:tc>
      </w:tr>
      <w:tr>
        <w:trPr/>
        <w:tc>
          <w:tcPr>
            <w:tcW w:w="4082" w:type="dxa"/>
            <w:gridSpan w:val="3"/>
            <w:tcBorders/>
          </w:tcPr>
          <w:p>
            <w:pPr>
              <w:pStyle w:val="TableContents"/>
              <w:bidi w:val="0"/>
              <w:spacing w:before="0" w:after="283"/>
              <w:jc w:val="left"/>
              <w:rPr/>
            </w:pPr>
            <w:r>
              <w:rPr/>
              <w:t>Name: Kenneth Mills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August 31, 2026</w:t>
            </w:r>
          </w:p>
        </w:tc>
      </w:tr>
      <w:tr>
        <w:trPr/>
        <w:tc>
          <w:tcPr>
            <w:tcW w:w="4082" w:type="dxa"/>
            <w:gridSpan w:val="3"/>
            <w:tcBorders/>
          </w:tcPr>
          <w:p>
            <w:pPr>
              <w:pStyle w:val="TableContents"/>
              <w:bidi w:val="0"/>
              <w:spacing w:before="0" w:after="283"/>
              <w:jc w:val="left"/>
              <w:rPr/>
            </w:pPr>
            <w:r>
              <w:rPr/>
              <w:t>Date</w:t>
            </w:r>
          </w:p>
        </w:tc>
      </w:tr>
    </w:tbl>
    <w:p>
      <w:pPr>
        <w:pStyle w:val="Normal"/>
        <w:bidi w:val="0"/>
        <w:spacing w:before="0" w:after="0"/>
        <w:jc w:val="left"/>
        <w:rPr>
          <w:sz w:val="4"/>
          <w:szCs w:val="4"/>
        </w:rPr>
      </w:pPr>
      <w:r>
        <w:rPr>
          <w:sz w:val="4"/>
          <w:szCs w:val="4"/>
        </w:rPr>
      </w:r>
      <w:bookmarkStart w:id="275" w:name="d108148dexfilingfees.htm"/>
      <w:bookmarkStart w:id="276" w:name="ksd108148dexfilingfees"/>
      <w:bookmarkStart w:id="277" w:name="d108148dexfilingfees.htm"/>
      <w:bookmarkStart w:id="278" w:name="ksd108148dexfilingfees"/>
      <w:bookmarkEnd w:id="277"/>
      <w:bookmarkEnd w:id="278"/>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Boundless Bio,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84" w:type="dxa"/>
        <w:jc w:val="left"/>
        <w:tblInd w:w="0" w:type="dxa"/>
        <w:tblLayout w:type="fixed"/>
        <w:tblCellMar>
          <w:top w:w="28" w:type="dxa"/>
          <w:left w:w="28" w:type="dxa"/>
          <w:bottom w:w="28" w:type="dxa"/>
          <w:right w:w="28" w:type="dxa"/>
        </w:tblCellMar>
      </w:tblPr>
      <w:tblGrid>
        <w:gridCol w:w="1126"/>
        <w:gridCol w:w="226"/>
        <w:gridCol w:w="946"/>
        <w:gridCol w:w="1051"/>
        <w:gridCol w:w="1276"/>
        <w:gridCol w:w="1306"/>
        <w:gridCol w:w="1156"/>
        <w:gridCol w:w="115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5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734,351,664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$ 282.22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51" w:type="dxa"/>
            <w:tcBorders/>
            <w:shd w:fill="E7E7E2" w:val="clear"/>
            <w:vAlign w:val="center"/>
          </w:tcPr>
          <w:p>
            <w:pPr>
              <w:pStyle w:val="TableContents"/>
              <w:bidi w:val="0"/>
              <w:spacing w:before="0" w:after="283"/>
              <w:jc w:val="left"/>
              <w:rPr/>
            </w:pPr>
            <w:r>
              <w:rPr/>
              <w:t xml:space="preserve">Warrants to purchase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415,379,851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051" w:type="dxa"/>
            <w:tcBorders/>
            <w:shd w:fill="E7E7E2" w:val="clear"/>
            <w:vAlign w:val="center"/>
          </w:tcPr>
          <w:p>
            <w:pPr>
              <w:pStyle w:val="TableContents"/>
              <w:bidi w:val="0"/>
              <w:spacing w:before="0" w:after="283"/>
              <w:jc w:val="left"/>
              <w:rPr/>
            </w:pPr>
            <w:r>
              <w:rPr/>
              <w:t xml:space="preserve">Options to purchase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45,480,090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051" w:type="dxa"/>
            <w:tcBorders/>
            <w:shd w:fill="E7E7E2" w:val="clear"/>
            <w:vAlign w:val="center"/>
          </w:tcPr>
          <w:p>
            <w:pPr>
              <w:pStyle w:val="TableContents"/>
              <w:bidi w:val="0"/>
              <w:spacing w:before="0" w:after="283"/>
              <w:jc w:val="left"/>
              <w:rPr/>
            </w:pPr>
            <w:r>
              <w:rPr/>
              <w:t xml:space="preserve">Restricted Stock Units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22,740,053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5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5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79" w:name="MaxAggtOfferingPrice"/>
            <w:bookmarkEnd w:id="279"/>
            <w:r>
              <w:rPr/>
              <w:t xml:space="preserve">$ 282.22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0" w:name="TotalFeeAmt"/>
            <w:bookmarkEnd w:id="280"/>
            <w:r>
              <w:rPr/>
              <w:t xml:space="preserve">$ 0.03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1" w:name="TotalPreviouslyPaidAmt"/>
            <w:bookmarkEnd w:id="28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2" w:name="TotalOffsetAmt"/>
            <w:bookmarkEnd w:id="28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3" w:name="NetFeeAmt"/>
            <w:bookmarkEnd w:id="283"/>
            <w:r>
              <w:rPr/>
              <w:t xml:space="preserve">$ 0.03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7"/>
        <w:gridCol w:w="8711"/>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1(a). Relates to common stock, par value $0.0001 per share ("Boundless Bio Common Stock"), of Boundless Bio, Inc., a Delaware corporation ("Boundless Bio"), issuable to holders of common stock, par value $0.00001 per share ("Serapha Common Stock"), of Serapha Bio, Inc., a Delaware corporation ("Serapha"), and other Serapha security holders in the proposed merger, pursuant to an Agreement and Plan of Merger and Reorganization, dated as of June 22, 2026 (the "Merger Agreement"), providing for the merger of Boulder Merger Sub Corp., a Delaware corporation and a direct, wholly owned subsidiary of Boundless Bio, with and into Serapha, with Serapha surviving the merger as a wholly owned subsidiary of Boundless Bio. The number of shares of Boundless Bio Common Stock to be registered consists of (i) all shares of Boundless Bio Common Stock issued in exchange for shares of Serapha Common Stock (including shares of Serapha Common Stock to be issued by Serapha in the private placement of shares of Serapha Common Stock and pre-funded warrants to purchase shares of Serapha Common Stock ("Serapha Pre-Funded Warrants") pursuant to the Securities Purchase Agreement, dated as of June 22, 2026, by and among Serapha and certain investors named therein (the "Securities Purchase Agreement")), (ii) all shares of Boundless Bio Common Stock issuable upon exercise of (A) warrants to purchase shares of Boundless Bio Common Stock ("Assumed Warrants") issued in exchange for warrants to purchase shares of Serapha Common Stock issued by Serapha ("Serapha Warrants") (including the Serapha Pre-Funded Warrants) and (B) pre-funded warrants to purchase shares of Boundless Bio Common Stock ("Boundless Bio Pre-Funded Warrants") issued in lieu of shares of Boundless Bio Common Stock to holders of Serapha Common Stock, Serapha Pre-Funded Warrants or shares of preferred stock, par value $0.00001 per share, of Serapha ("Serapha Preferred Stock") who are subject to beneficial ownership limitations, (iii) all shares of Boundless Bio Common Stock issued in exchange for shares of Serapha Preferred Stock, (iv) all shares of Boundless Bio Common Stock issuable upon exercise of options to purchase shares of Boundless Bio Common Stock ("Assumed Options") issued in exchange for options to purchase shares of Serapha Common Stock ("Serapha Options"), and (v) all shares of Boundless Bio Common Stock issuable upon the vesting of Boundless Bio restricted stock units ("Assumed RSUs") issued in exchange for Serapha restricted stock units ("Serapha RSUs"), in each case, without taking into account the effect of a reverse stock split of Boundless Bio Common Stock, assuming an estimated pre-split exchange ratio (which is subject to adjustment prior to the closing of the merger) of approximately 8.6737 shares of Boundless Bio Common Stock for each outstanding share of Serapha Common Stock. Such exchange ratio is only an estimate as the actual exchange ratio will be determined in connection with the closing of the merger.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 1(b). Estimated solely for purposes of calculating the registration fee in accordance with Rule 457(f)(2) of the Securities Act. Serapha is a private company, no market exists for its securities, and it has an accumulated capital deficit. Therefore, the proposed maximum aggregate offering price for the shares expected to be issued (or become issuable) in the merger is one-third of the aggregate par value of the Serapha securities expected to be exchanged for the shares of Boundless Bio Common Stock being registered, including any Boundless Bio Common Stock issuable upon exercise of the Assumed Warrants, the Boundless Bio Pre-Funded Warrants and the Assumed Options and upon vesting of the Assumed RSUs.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Consists of (A) Assumed Warrants issued in the merger in exchange for Serapha Warrants (including Serapha Pre-Funded Warrants issued pursuant to the Securities Purchase Agreement) and (B) Boundless Bio Pre-Funded Warrants issued in lieu of shares of Boundless Bio Common Stock to holders of Serapha Common Stock, Serapha Pre-Funded Warrants or Serapha Preferred Stock who are subject to beneficial ownership limitations, in each case, without taking into account the effect of a reverse stock split of Boundless Bio Common Stock, assuming an estimated pre-split exchange ratio (which is subject to adjustment prior to the closing of the merger) of approximately 8.6737 shares of Boundless Bio Common Stock for each outstanding share of Serapha Common Stock. The registration fee with respect to the Assumed Warrants and the Boundless Bio Pre-Funded Warrants has been allocated to the underlying shares of Boundless Bio Common Stock issuable upon exercise of such warrants, as described in footnote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8" w:type="dxa"/>
            <w:gridSpan w:val="2"/>
            <w:tcBorders/>
            <w:vAlign w:val="center"/>
          </w:tcPr>
          <w:p>
            <w:pPr>
              <w:pStyle w:val="TableContents"/>
              <w:bidi w:val="0"/>
              <w:spacing w:before="0" w:after="283"/>
              <w:jc w:val="left"/>
              <w:rPr/>
            </w:pPr>
            <w:r>
              <w:rPr/>
              <w:t xml:space="preserve">Consists of Assumed Options issued in exchange for Serapha Options, without taking into account the effect of a reverse stock split of Boundless Bio Common Stock, assuming an estimated pre-split exchange ratio (which is subject to adjustment prior to the closing of the merger) of approximately 8.6737 shares of Boundless Bio Common Stock for each outstanding share of Serapha Common Stock. The registration fee with respect to the Assumed Options has been allocated to the underlying shares of Boundless Bio Common Stock issuable upon exercise of such options, as described in footnote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8" w:type="dxa"/>
            <w:gridSpan w:val="2"/>
            <w:tcBorders/>
            <w:vAlign w:val="center"/>
          </w:tcPr>
          <w:p>
            <w:pPr>
              <w:pStyle w:val="TableContents"/>
              <w:bidi w:val="0"/>
              <w:spacing w:before="0" w:after="283"/>
              <w:jc w:val="left"/>
              <w:rPr/>
            </w:pPr>
            <w:r>
              <w:rPr/>
              <w:t xml:space="preserve">Consists of Assumed RSUs issued in exchange for Serapha RSUs, without taking into account the effect of a reverse stock split of Boundless Bio Common Stock, assuming an estimated pre-split exchange ratio (which is subject to adjustment prior to the closing of the merger) of approximately 8.6737 shares of Boundless Bio Common Stock for each outstanding share of Serapha Common Stock. The registration fee with respect to the Assumed RSUs has been allocated to the underlying shares of Boundless Bio Common Stock issuable upon vesting of such restricted stock units, as described in footnote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7.jpeg"/><Relationship Id="rId14" Type="http://schemas.openxmlformats.org/officeDocument/2006/relationships/image" Target="media/image12.jpeg"/><Relationship Id="rId15" Type="http://schemas.openxmlformats.org/officeDocument/2006/relationships/hyperlink" Target="http://www.sec.gov/Archives/edgar/data/1782303/000119312524084736/d796750dex31.htm" TargetMode="External"/><Relationship Id="rId16" Type="http://schemas.openxmlformats.org/officeDocument/2006/relationships/hyperlink" Target="http://www.sec.gov/Archives/edgar/data/1782303/000119312524084736/d796750dex32.htm" TargetMode="External"/><Relationship Id="rId17" Type="http://schemas.openxmlformats.org/officeDocument/2006/relationships/hyperlink" Target="http://www.sec.gov/Archives/edgar/data/1782303/000119312524073230/d493037dex41.htm" TargetMode="External"/><Relationship Id="rId18" Type="http://schemas.openxmlformats.org/officeDocument/2006/relationships/hyperlink" Target="http://www.sec.gov/Archives/edgar/data/1782303/000119312524060708/d493037dex42.htm" TargetMode="External"/><Relationship Id="rId19" Type="http://schemas.openxmlformats.org/officeDocument/2006/relationships/hyperlink" Target="http://www.sec.gov/Archives/edgar/data/1782303/000119312526278570/d159021dex104.htm" TargetMode="External"/><Relationship Id="rId20" Type="http://schemas.openxmlformats.org/officeDocument/2006/relationships/hyperlink" Target="http://www.sec.gov/Archives/edgar/data/1782303/000119312524060708/d493037dex101.htm" TargetMode="External"/><Relationship Id="rId21" Type="http://schemas.openxmlformats.org/officeDocument/2006/relationships/hyperlink" Target="http://www.sec.gov/Archives/edgar/data/1782303/000119312524073230/d493037dex102.htm" TargetMode="External"/><Relationship Id="rId22" Type="http://schemas.openxmlformats.org/officeDocument/2006/relationships/hyperlink" Target="http://www.sec.gov/Archives/edgar/data/1782303/000119312524073230/d493037dex103.htm" TargetMode="External"/><Relationship Id="rId23" Type="http://schemas.openxmlformats.org/officeDocument/2006/relationships/hyperlink" Target="http://www.sec.gov/Archives/edgar/data/1782303/000119312526213321/bold-ex10_1.htm" TargetMode="External"/><Relationship Id="rId24" Type="http://schemas.openxmlformats.org/officeDocument/2006/relationships/hyperlink" Target="http://www.sec.gov/Archives/edgar/data/1782303/000119312526339093/bold-ex10_5.htm" TargetMode="External"/><Relationship Id="rId25" Type="http://schemas.openxmlformats.org/officeDocument/2006/relationships/hyperlink" Target="http://www.sec.gov/Archives/edgar/data/1782303/000119312526339093/bold-ex10_6.htm" TargetMode="External"/><Relationship Id="rId26" Type="http://schemas.openxmlformats.org/officeDocument/2006/relationships/hyperlink" Target="http://www.sec.gov/Archives/edgar/data/1782303/000119312526339093/bold-ex10_7.htm" TargetMode="External"/><Relationship Id="rId27" Type="http://schemas.openxmlformats.org/officeDocument/2006/relationships/hyperlink" Target="http://www.sec.gov/Archives/edgar/data/1782303/000119312526339093/bold-ex10_8.htm" TargetMode="External"/><Relationship Id="rId28" Type="http://schemas.openxmlformats.org/officeDocument/2006/relationships/hyperlink" Target="http://www.sec.gov/Archives/edgar/data/1782303/000119312526339093/bold-ex10_9.htm" TargetMode="External"/><Relationship Id="rId29" Type="http://schemas.openxmlformats.org/officeDocument/2006/relationships/hyperlink" Target="http://www.sec.gov/Archives/edgar/data/1782303/000119312524060708/d493037dex1017.htm" TargetMode="External"/><Relationship Id="rId30" Type="http://schemas.openxmlformats.org/officeDocument/2006/relationships/hyperlink" Target="http://www.sec.gov/Archives/edgar/data/1782303/000119312524060708/d493037dex1018.htm" TargetMode="External"/><Relationship Id="rId31" Type="http://schemas.openxmlformats.org/officeDocument/2006/relationships/hyperlink" Target="http://www.sec.gov/Archives/edgar/data/1782303/000119312524073230/d493037dex1019.htm" TargetMode="External"/><Relationship Id="rId32" Type="http://schemas.openxmlformats.org/officeDocument/2006/relationships/hyperlink" Target="http://www.sec.gov/Archives/edgar/data/1782303/000119312526213321/bold-ex10_2.htm" TargetMode="External"/><Relationship Id="rId33" Type="http://schemas.openxmlformats.org/officeDocument/2006/relationships/image" Target="media/image13.jpeg"/><Relationship Id="rId34" Type="http://schemas.openxmlformats.org/officeDocument/2006/relationships/image" Target="media/image13.jpeg"/><Relationship Id="rId35" Type="http://schemas.openxmlformats.org/officeDocument/2006/relationships/image" Target="media/image13.jpeg"/><Relationship Id="rId36" Type="http://schemas.openxmlformats.org/officeDocument/2006/relationships/image" Target="media/image13.jpeg"/><Relationship Id="rId37" Type="http://schemas.openxmlformats.org/officeDocument/2006/relationships/image" Target="media/image13.jpeg"/><Relationship Id="rId38" Type="http://schemas.openxmlformats.org/officeDocument/2006/relationships/image" Target="media/image13.jpeg"/><Relationship Id="rId39" Type="http://schemas.openxmlformats.org/officeDocument/2006/relationships/image" Target="media/image13.jpeg"/><Relationship Id="rId40" Type="http://schemas.openxmlformats.org/officeDocument/2006/relationships/image" Target="media/image13.jpeg"/><Relationship Id="rId41" Type="http://schemas.openxmlformats.org/officeDocument/2006/relationships/image" Target="media/image13.jpeg"/><Relationship Id="rId42" Type="http://schemas.openxmlformats.org/officeDocument/2006/relationships/image" Target="media/image13.jpeg"/><Relationship Id="rId43" Type="http://schemas.openxmlformats.org/officeDocument/2006/relationships/image" Target="media/image13.jpeg"/><Relationship Id="rId44" Type="http://schemas.openxmlformats.org/officeDocument/2006/relationships/image" Target="media/image13.jpeg"/><Relationship Id="rId45" Type="http://schemas.openxmlformats.org/officeDocument/2006/relationships/image" Target="media/image13.jpeg"/><Relationship Id="rId46" Type="http://schemas.openxmlformats.org/officeDocument/2006/relationships/image" Target="media/image13.jpeg"/><Relationship Id="rId47" Type="http://schemas.openxmlformats.org/officeDocument/2006/relationships/image" Target="media/image13.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4.jpeg"/><Relationship Id="rId51" Type="http://schemas.openxmlformats.org/officeDocument/2006/relationships/image" Target="media/image14.jpeg"/><Relationship Id="rId52" Type="http://schemas.openxmlformats.org/officeDocument/2006/relationships/image" Target="media/image14.jpeg"/><Relationship Id="rId53" Type="http://schemas.openxmlformats.org/officeDocument/2006/relationships/image" Target="media/image13.jpeg"/><Relationship Id="rId54" Type="http://schemas.openxmlformats.org/officeDocument/2006/relationships/image" Target="media/image15.jpeg"/><Relationship Id="rId55" Type="http://schemas.openxmlformats.org/officeDocument/2006/relationships/image" Target="media/image15.jpeg"/><Relationship Id="rId56" Type="http://schemas.openxmlformats.org/officeDocument/2006/relationships/image" Target="media/image15.jpeg"/><Relationship Id="rId57" Type="http://schemas.openxmlformats.org/officeDocument/2006/relationships/image" Target="media/image15.jpeg"/><Relationship Id="rId58" Type="http://schemas.openxmlformats.org/officeDocument/2006/relationships/image" Target="media/image15.jpeg"/><Relationship Id="rId59" Type="http://schemas.openxmlformats.org/officeDocument/2006/relationships/image" Target="media/image15.jpeg"/><Relationship Id="rId60" Type="http://schemas.openxmlformats.org/officeDocument/2006/relationships/image" Target="media/image15.jpeg"/><Relationship Id="rId61" Type="http://schemas.openxmlformats.org/officeDocument/2006/relationships/image" Target="media/image15.jpeg"/><Relationship Id="rId62" Type="http://schemas.openxmlformats.org/officeDocument/2006/relationships/image" Target="media/image15.jpeg"/><Relationship Id="rId63" Type="http://schemas.openxmlformats.org/officeDocument/2006/relationships/image" Target="media/image15.jpeg"/><Relationship Id="rId64" Type="http://schemas.openxmlformats.org/officeDocument/2006/relationships/image" Target="media/image15.jpeg"/><Relationship Id="rId65" Type="http://schemas.openxmlformats.org/officeDocument/2006/relationships/image" Target="media/image15.jpeg"/><Relationship Id="rId66" Type="http://schemas.openxmlformats.org/officeDocument/2006/relationships/image" Target="media/image15.jpeg"/><Relationship Id="rId67" Type="http://schemas.openxmlformats.org/officeDocument/2006/relationships/image" Target="media/image15.jpeg"/><Relationship Id="rId68" Type="http://schemas.openxmlformats.org/officeDocument/2006/relationships/image" Target="media/image15.jpeg"/><Relationship Id="rId69" Type="http://schemas.openxmlformats.org/officeDocument/2006/relationships/image" Target="media/image15.jpeg"/><Relationship Id="rId70" Type="http://schemas.openxmlformats.org/officeDocument/2006/relationships/image" Target="media/image15.jpeg"/><Relationship Id="rId71" Type="http://schemas.openxmlformats.org/officeDocument/2006/relationships/image" Target="media/image16.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927</Pages>
  <Words>542168</Words>
  <Characters>2955410</Characters>
  <CharactersWithSpaces>3510637</CharactersWithSpaces>
  <Paragraphs>34543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