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TANG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4747 EXECUTIVE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Boundless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BOLD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7"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9"/>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200"/>
              <w:spacing w:after="0" w:line="146"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4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gridSpan w:val="4"/>
            <w:vMerge w:val="restart"/>
          </w:tcPr>
          <w:p>
            <w:pPr>
              <w:ind w:left="800"/>
              <w:spacing w:after="0"/>
              <w:rPr>
                <w:sz w:val="20"/>
                <w:szCs w:val="20"/>
                <w:color w:val="auto"/>
              </w:rPr>
            </w:pPr>
            <w:r>
              <w:rPr>
                <w:rFonts w:ascii="Times New Roman" w:cs="Times New Roman" w:eastAsia="Times New Roman" w:hAnsi="Times New Roman"/>
                <w:sz w:val="17"/>
                <w:szCs w:val="17"/>
                <w:color w:val="0000FF"/>
              </w:rPr>
              <w:t>10/22/2026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5,800</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jc w:val="center"/>
              <w:ind w:left="7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2.4</w:t>
            </w:r>
            <w:r>
              <w:rPr>
                <w:rFonts w:ascii="Times New Roman" w:cs="Times New Roman" w:eastAsia="Times New Roman" w:hAnsi="Times New Roman"/>
                <w:sz w:val="22"/>
                <w:szCs w:val="22"/>
                <w:color w:val="008000"/>
                <w:w w:val="91"/>
                <w:vertAlign w:val="superscript"/>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2,995,909</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gridSpan w:val="4"/>
            <w:vMerge w:val="restart"/>
          </w:tcPr>
          <w:p>
            <w:pPr>
              <w:ind w:left="800"/>
              <w:spacing w:after="0"/>
              <w:rPr>
                <w:sz w:val="20"/>
                <w:szCs w:val="20"/>
                <w:color w:val="auto"/>
              </w:rPr>
            </w:pPr>
            <w:r>
              <w:rPr>
                <w:rFonts w:ascii="Times New Roman" w:cs="Times New Roman" w:eastAsia="Times New Roman" w:hAnsi="Times New Roman"/>
                <w:sz w:val="17"/>
                <w:szCs w:val="17"/>
                <w:color w:val="0000FF"/>
              </w:rPr>
              <w:t>10/23/2026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6,234</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2.38</w:t>
            </w:r>
            <w:r>
              <w:rPr>
                <w:rFonts w:ascii="Times New Roman" w:cs="Times New Roman" w:eastAsia="Times New Roman" w:hAnsi="Times New Roman"/>
                <w:sz w:val="22"/>
                <w:szCs w:val="22"/>
                <w:color w:val="008000"/>
                <w:w w:val="92"/>
                <w:vertAlign w:val="superscript"/>
              </w:rPr>
              <w:t>(3)</w:t>
            </w:r>
          </w:p>
        </w:tc>
        <w:tc>
          <w:tcPr>
            <w:tcW w:w="40" w:type="dxa"/>
            <w:vAlign w:val="bottom"/>
          </w:tcPr>
          <w:p>
            <w:pPr>
              <w:spacing w:after="0"/>
              <w:rPr>
                <w:sz w:val="21"/>
                <w:szCs w:val="21"/>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3,002,143</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gridSpan w:val="4"/>
            <w:vMerge w:val="restart"/>
          </w:tcPr>
          <w:p>
            <w:pPr>
              <w:ind w:left="800"/>
              <w:spacing w:after="0"/>
              <w:rPr>
                <w:sz w:val="20"/>
                <w:szCs w:val="20"/>
                <w:color w:val="auto"/>
              </w:rPr>
            </w:pPr>
            <w:r>
              <w:rPr>
                <w:rFonts w:ascii="Times New Roman" w:cs="Times New Roman" w:eastAsia="Times New Roman" w:hAnsi="Times New Roman"/>
                <w:sz w:val="17"/>
                <w:szCs w:val="17"/>
                <w:color w:val="0000FF"/>
              </w:rPr>
              <w:t>10/26/2026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9,606</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2.38</w:t>
            </w:r>
            <w:r>
              <w:rPr>
                <w:rFonts w:ascii="Times New Roman" w:cs="Times New Roman" w:eastAsia="Times New Roman" w:hAnsi="Times New Roman"/>
                <w:sz w:val="22"/>
                <w:szCs w:val="22"/>
                <w:color w:val="008000"/>
                <w:w w:val="92"/>
                <w:vertAlign w:val="superscript"/>
              </w:rPr>
              <w:t>(4)</w:t>
            </w:r>
          </w:p>
        </w:tc>
        <w:tc>
          <w:tcPr>
            <w:tcW w:w="40" w:type="dxa"/>
            <w:vAlign w:val="bottom"/>
          </w:tcPr>
          <w:p>
            <w:pPr>
              <w:spacing w:after="0"/>
              <w:rPr>
                <w:sz w:val="21"/>
                <w:szCs w:val="21"/>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3,011,749</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TANG KEVIN</w:t>
              </w:r>
            </w:hyperlink>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4747 EXECUTIVE DRIVE</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2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3"/>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TANG CAPITAL MANAGEMENT LLC</w:t>
              </w:r>
            </w:hyperlink>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4747 EXECUTIVE DRIVE</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210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prices reported are weighted-average prices. These shares were purchased in multiple transactions at prices ranging from $2.39 to $2.40. The Reporting Persons undertake to provide the Issuer, any security holder of the Issuer or the SEC staff, upon request, all information regarding the number of shares purchased at each price within the range set forth in Footnotes 1 and 3 through 4.</w:t>
      </w:r>
    </w:p>
    <w:p>
      <w:pPr>
        <w:spacing w:after="0" w:line="7" w:lineRule="exact"/>
        <w:rPr>
          <w:rFonts w:ascii="Times New Roman" w:cs="Times New Roman" w:eastAsia="Times New Roman" w:hAnsi="Times New Roman"/>
          <w:sz w:val="13"/>
          <w:szCs w:val="13"/>
          <w:color w:val="008000"/>
        </w:rPr>
      </w:pPr>
    </w:p>
    <w:p>
      <w:pPr>
        <w:ind w:right="40"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Tang Capital Partners, LP ("TCP") beneficially owns 691,177 shares, Tang Capital Partners International, LP ("TCPI") beneficially owns 950,804 shares, Tang Capital Partners III, Inc. ("TCP III") beneficially owns 691,170 shares, and Tang Capital Partners IV, Inc. ("TCP IV") beneficially owns 678,598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$2.36 to $2.40.</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purchased in multiple transactions at prices ranging from $2.37 to $2.40.</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Kevin Tang</w:t>
            </w:r>
          </w:p>
        </w:tc>
        <w:tc>
          <w:tcPr>
            <w:tcW w:w="12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10/26/2026</w:t>
            </w:r>
          </w:p>
        </w:tc>
      </w:tr>
      <w:tr>
        <w:trPr>
          <w:trHeight w:val="247"/>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Kevin Tang, Manager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10/26/2026</w:t>
            </w:r>
          </w:p>
        </w:tc>
      </w:tr>
      <w:tr>
        <w:trPr>
          <w:trHeight w:val="20"/>
        </w:trPr>
        <w:tc>
          <w:tcPr>
            <w:tcW w:w="152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178579" TargetMode="External"/><Relationship Id="rId14" Type="http://schemas.openxmlformats.org/officeDocument/2006/relationships/hyperlink" Target="http://www.sec.gov/cgi-bin/browse-edgar?action=getcompany&amp;CIK=0001782303" TargetMode="External"/><Relationship Id="rId16" Type="http://schemas.openxmlformats.org/officeDocument/2006/relationships/hyperlink" Target="http://www.sec.gov/cgi-bin/browse-edgar?action=getcompany&amp;CIK=0001232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2026-10-26T15:54:54Z</dcterms:created>
  <dcterms:modified xsi:type="dcterms:W3CDTF">2026-10-26T15:54:54Z</dcterms:modified>
</cp:coreProperties>
</file>