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1273d8k.htm"/>
      <w:bookmarkStart w:id="1" w:name="ksd11127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Boundless Bio,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740" w:type="dxa"/>
        <w:jc w:val="left"/>
        <w:tblInd w:w="0" w:type="dxa"/>
        <w:tblLayout w:type="fixed"/>
        <w:tblCellMar>
          <w:top w:w="0" w:type="dxa"/>
          <w:left w:w="0" w:type="dxa"/>
          <w:bottom w:w="0" w:type="dxa"/>
          <w:right w:w="0" w:type="dxa"/>
        </w:tblCellMar>
      </w:tblPr>
      <w:tblGrid>
        <w:gridCol w:w="4355"/>
        <w:gridCol w:w="60"/>
        <w:gridCol w:w="1385"/>
        <w:gridCol w:w="60"/>
        <w:gridCol w:w="1880"/>
      </w:tblGrid>
      <w:tr>
        <w:trPr/>
        <w:tc>
          <w:tcPr>
            <w:tcW w:w="4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001-41989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83-0751369</w:t>
            </w:r>
          </w:p>
        </w:tc>
      </w:tr>
      <w:tr>
        <w:trPr/>
        <w:tc>
          <w:tcPr>
            <w:tcW w:w="435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283"/>
              <w:jc w:val="center"/>
              <w:rPr>
                <w:b/>
              </w:rPr>
            </w:pPr>
            <w:r>
              <w:rPr>
                <w:b/>
              </w:rPr>
              <w:t>11099 North Torrey Pines Road, Suite 150</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283"/>
              <w:jc w:val="center"/>
              <w:rPr>
                <w:b/>
              </w:rPr>
            </w:pPr>
            <w:r>
              <w:rPr>
                <w:b/>
              </w:rPr>
              <w:t>La Jolla, California</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92037</w:t>
            </w:r>
          </w:p>
        </w:tc>
      </w:tr>
      <w:tr>
        <w:trPr/>
        <w:tc>
          <w:tcPr>
            <w:tcW w:w="435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(858) 766-9912</w:t>
      </w:r>
    </w:p>
    <w:p>
      <w:pPr>
        <w:pStyle w:val="TextBody"/>
        <w:bidi w:val="0"/>
        <w:spacing w:before="18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BOLD</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on June 22, 2026, Boundless Bio, Inc., a Delaware corporation (“Boundless Bio”), Boulder Merger Sub Corp., a Delaware corporation and wholly owned subsidiary of Boundless Bio (“Merger Sub”), and Serapha Bio, Inc., a Delaware corporation (“Serapha”), entered into an Agreement and Plan of Merger and Reorganization (as amended, the “Merger Agreement”), pursuant to which Merger Sub will be merged with and into Serapha, with Serapha surviving as a wholly owned subsidiary of Boundless Bio (the “Merger” and, together with all of the other transactions contemplated by the Merger Agreement, the “Contemplated Transactions”). Capitalized terms used but not otherwise defined in this Item 1.01 shall have the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August 28, 2026, the parties entered into Amendment No. 1 to the Merger Agreement (the “Amendment”). The Amendment amends the Merger Agreement to, among other things, (i) clarify certain definitions and provisions, including in relation to the Company Pre-Closing Financing; (ii) add mechanics for the treatment of Serapha restricted stock unit awards (“Serapha RSUs”), providing that each Serapha RSU (whether vested or unvested) outstanding immediately prior to the effective time of the Merger will be converted into a restricted stock unit award (an “Assumed RSU”) covering shares of Boundless Bio common stock, par value $0.0001 per share (“Boundless Bio Common Stock”), on generally the same terms and conditions, with the number of shares subject to each such Assumed RSU adjusted by the Exchange Ratio; (iii) add mechanics for the issuance of pre-funded warrants (with an exercise price of $0.00001 per share) as Merger Consideration in lieu of shares of Boundless Bio Common Stock to the extent the issuance of such shares would cause a holder to exceed its applicable Beneficial Ownership Limitation; and (iv) provide that the voting standard for the increase in the number of authorized shares of Boundless Bio Common Stock is the affirmative vote of a majority of the shares of Boundless Bio Common Stock properly cast, rather than the affirmative vote of a majority of the shares of Boundless Bio Common Stock outstanding and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Except as modified by the Amendment, the terms of the Merger Agreement in the form filed as Exhibit 2.1 to the Current Report on Form 8-K filed by Boundless Bio on June 23, 2026 with the U.S. Securities and Exchange Commission (the “SEC”) are unchanged.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Amendment is subject to, and is qualified in its entirety by, the full text of the Amendment filed as Exhibit 2.1 to this Current Report on Form 8-K, which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center"/>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1273dex21.htm">
              <w:r>
                <w:rPr>
                  <w:rStyle w:val="InternetLink"/>
                </w:rPr>
                <w:t xml:space="preserve">Amendment No. 1 to Agreement and Plan of Merger and Reorganization, dated August 28, 2026, by and among Boundless Bio, Inc., Boulder Merger Sub Corp., and Serapha Bio, Inc.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Private Securities Litigation Reform Act of 1995. These forward-looking statements include, but are not limited to, statements regarding the structure and expectations of the consummation of the proposed Merger; expectations regarding the structure and completion of the Company Pre-Closing Financing; and other statements that are not historical fact. These forward-looking statements are made as of the date they were first issued, and were based on the then-current expectations, estimates, forecasts, and projections, as well as the beliefs and assumptions of management. There can be no assurance that future developments affecting Boundless Bio, Serapha or the Contemplated Transactions will be those that have been anticipated.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Forward-looking statements are subject to a number of risks and uncertainties, many of which involve factors or circumstances that are beyond Boundless Bio’s and Serapha’s control. Boundless Bio’s actual results could differ materially from those stated or implied in forward-looking statements due to a number of factors, including but not limited to (i) the risk that the conditions to the Closing are not satisfied; (ii) uncertainties as to the timing of the consummation of the proposed Merger and the ability of each of Boundless Bio and Serapha to consummate the proposed Merger; (iii) risks related to Boundless Bio’s ability to manage its operating expenses and its expenses associated with the proposed Merger pending Closing; (iv) risks related to the failure or delay in obtaining required approvals from any governmental or regulatory entity necessary to consummate the proposed Merger, if applicable; (v) the risk that as a result of adjustments to the Exchange Ratio, Boundless Bio’s stockholders and Serapha’s stockholders could own more or less of the combined company than is currently anticipated; (vi) risks related to the market price of Boundless Bio Common Stock relative to the value suggested by the Exchange Ratio and the anticipated cash dividend; (vii) unexpected costs, charges or expenses resulting from the proposed Contemplated Transactions; (viii) the risk that anticipated ownership percentages or cash dividend amount may change based on adjustments at or prior to closing; (ix) the risk that the Company Pre-Closing Financing is not consummated; (x) Serapha’s reliance on intellectual property rights under its license agreement with YolTech Therapeutics and risks related to the protection of intellectual property; and (xi) the potential for the occurrence of any event, change or other circumstance or condition that could give rise to the termination of the Merger Agreement and the other agreements entered into in connection therewith.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Boundless Bio’s Annual Report on Form 10-K for the year ended December 31, 2025 and its Quarterly Report on Form 10-Q for the quarter ended June 30, 2026, each filed with the SEC, and in other filings that Boundless Bio makes and will make with the SEC in connection with the proposed Merger, including the Proxy Statement (as defined below). You should not place undue reliance on these forward-looking statements, which are made only as of the date hereof or as of the dates indicated in the forward-looking statements. Boundless 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communication does not purport to summarize all of the conditions, risks and other attributes of an investment in Boundless Bio or Serapha.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relates to the proposed Merger and other Contemplated Transactions involving Boundless Bio and Serapha and may be deemed to be solicitation material in respect of the proposed Merger and other Contemplated Transactions. In connection with the proposed Merger and other Contemplated Transactions, Boundless Bio will file relevant materials with the SEC, including the Form S-4 that will contain a proxy statement (the “Proxy Statement”) and prospectus. This communication is not a substitute for the Form S-4, the Proxy Statement or for any other document that Boundless Bio may file with the SEC and/or send to Boundless Bio’s stockholders in connection with the proposed Merger. Boundless Bio, Serapha, and their respective directors and certain of their executive officers may be considered participants in the solicitation of proxies from Boundless Bio’s stockholders with respect to the proposed Merger and other Contemplated Transactions under the rules of the SEC. Information about the directors and executive officers of Boundless Bio is set forth in its most recent definitive proxy statement filed with the SEC on April 28, 2026. Additional information regarding the persons who may be deemed participants in the proxy solicitations and a description of their direct and indirect interests, by security holdings or otherwise, will also be included in the Form S-4, the Proxy Statement and other relevant materials to be filed with the SEC when they become available. You may obtain free copies of this document as described below. BEFORE MAKING ANY VOTING DECISION, INVESTORS AND SECURITY HOLDERS OF BOUNDLESS BIO ARE URGED TO READ THE FORM S-4, THE PROXY STATEMENT AND OTHER DOCUMENTS FILED WITH THE SEC CAREFULLY AND IN THEIR ENTIRETY WHEN THEY BECOME AVAILABLE BECAUSE THEY WILL CONTAIN IMPORTANT INFORMATION ABOUT BOUNDLESS BIO, THE PROPOSED MERGER AND OTHER CONTEMPLATED TRANSACTIONS AND RELATED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does not constitute an offer to sell or the solicitation of an offer to buy any securities nor a solicitation of any vote or approval with respect to the proposed transactions herein or otherwise. No offering of securities shall be made except by means of a prospectus meeting the requirements of Section 10 of the Securities Act and otherwise in accordance with applicable law. BEFORE MAKING ANY VOTING DECISION, INVESTORS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SECURITY HOLDERS OF BOUNDLESS BIO ARE URGED TO READ THE FORM S-4, THE PROXY STATEMENT AND OTHER DOCUMENTS FILED WITH THE SEC CAREFULLY AND IN THEIR ENTIRETY WHEN THEY BECOME AVAILABLE BECAUSE THEY WILL CONTAIN IMPORTANT INFORMATION ABOUT BOUNDLESS BIO, THE PROPOSED MERGER AND OTHER CONTEMPLATED TRANSACTIONS AND RELATED MATTERS. </w:t>
      </w:r>
    </w:p>
    <w:p>
      <w:pPr>
        <w:pStyle w:val="TextBody"/>
        <w:bidi w:val="0"/>
        <w:spacing w:before="12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Investors and security holders will be able to obtain free copies of the Form S-4, the Proxy Statement and other documents filed by Boundless Bio with the SEC through the website maintained by the SEC at http://www.sec.gov. Copies of the documents filed by Boundless Bio with the SEC will also be available free of charge on Boundless Bio’s website at investors.boundlessbio.com.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288"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524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4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b/>
              </w:rPr>
            </w:pPr>
            <w:r>
              <w:rPr>
                <w:b/>
              </w:rPr>
              <w:t>BOUNDLESS BIO,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30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Jessica Oien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Jessica Oien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President, Chief Legal Officer and Corporate Secretary</w:t>
            </w:r>
          </w:p>
        </w:tc>
      </w:tr>
    </w:tbl>
    <w:p>
      <w:pPr>
        <w:pStyle w:val="TextBody"/>
        <w:bidi w:val="0"/>
        <w:spacing w:before="240" w:after="0"/>
        <w:jc w:val="right"/>
        <w:rPr>
          <w:rFonts w:ascii="Times New Roman" w:hAnsi="Times New Roman"/>
          <w:b/>
          <w:sz w:val="20"/>
        </w:rPr>
      </w:pPr>
      <w:bookmarkStart w:id="2" w:name="d111273dex21.htm"/>
      <w:bookmarkStart w:id="3" w:name="ksd111273dex21"/>
      <w:bookmarkEnd w:id="2"/>
      <w:bookmarkEnd w:id="3"/>
      <w:r>
        <w:rPr>
          <w:rFonts w:ascii="Times New Roman" w:hAnsi="Times New Roman"/>
          <w:b/>
          <w:sz w:val="20"/>
        </w:rPr>
        <w:t xml:space="preserve">Exhibit 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1 TO </w:t>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AMENDMENT NO.</w:t>
      </w:r>
      <w:r>
        <w:rPr>
          <w:rFonts w:ascii="Times New Roman" w:hAnsi="Times New Roman"/>
          <w:sz w:val="20"/>
        </w:rPr>
        <w:t> </w:t>
      </w:r>
      <w:r>
        <w:rPr>
          <w:rFonts w:ascii="Times New Roman" w:hAnsi="Times New Roman"/>
          <w:b/>
          <w:sz w:val="20"/>
        </w:rPr>
        <w:t>1 TO AGREEMENT AND PLAN OF MERGER AND REORGANIZATION</w:t>
      </w:r>
      <w:r>
        <w:rPr>
          <w:rFonts w:ascii="Times New Roman" w:hAnsi="Times New Roman"/>
          <w:sz w:val="20"/>
        </w:rPr>
        <w:t xml:space="preserve"> (this “</w:t>
      </w:r>
      <w:r>
        <w:rPr>
          <w:rFonts w:ascii="Times New Roman" w:hAnsi="Times New Roman"/>
          <w:b/>
          <w:i/>
          <w:sz w:val="20"/>
        </w:rPr>
        <w:t>Amendment</w:t>
      </w:r>
      <w:r>
        <w:rPr>
          <w:rFonts w:ascii="Times New Roman" w:hAnsi="Times New Roman"/>
          <w:sz w:val="20"/>
        </w:rPr>
        <w:t>”) is made as of August 28, 2026, with respect to that certain Agreement and Plan of Merger and Reorganization (as amended to date, the “</w:t>
      </w:r>
      <w:r>
        <w:rPr>
          <w:rFonts w:ascii="Times New Roman" w:hAnsi="Times New Roman"/>
          <w:b/>
          <w:i/>
          <w:sz w:val="20"/>
        </w:rPr>
        <w:t>Merger Agreement</w:t>
      </w:r>
      <w:r>
        <w:rPr>
          <w:rFonts w:ascii="Times New Roman" w:hAnsi="Times New Roman"/>
          <w:sz w:val="20"/>
        </w:rPr>
        <w:t>”), dated as of June 22, 2026 (the “</w:t>
      </w:r>
      <w:r>
        <w:rPr>
          <w:rFonts w:ascii="Times New Roman" w:hAnsi="Times New Roman"/>
          <w:b/>
          <w:i/>
          <w:sz w:val="20"/>
        </w:rPr>
        <w:t>Agreement Date</w:t>
      </w:r>
      <w:r>
        <w:rPr>
          <w:rFonts w:ascii="Times New Roman" w:hAnsi="Times New Roman"/>
          <w:sz w:val="20"/>
        </w:rPr>
        <w:t>”), by and among Boundless Bio, Inc., a Delaware corporation (“</w:t>
      </w:r>
      <w:r>
        <w:rPr>
          <w:rFonts w:ascii="Times New Roman" w:hAnsi="Times New Roman"/>
          <w:b/>
          <w:i/>
          <w:sz w:val="20"/>
        </w:rPr>
        <w:t>Parent</w:t>
      </w:r>
      <w:r>
        <w:rPr>
          <w:rFonts w:ascii="Times New Roman" w:hAnsi="Times New Roman"/>
          <w:sz w:val="20"/>
        </w:rPr>
        <w:t>”), Boulder Merger Sub Corp., a Delaware corporation and wholly owned subsidiary of Parent (“</w:t>
      </w:r>
      <w:r>
        <w:rPr>
          <w:rFonts w:ascii="Times New Roman" w:hAnsi="Times New Roman"/>
          <w:b/>
          <w:i/>
          <w:sz w:val="20"/>
        </w:rPr>
        <w:t>Merger Sub</w:t>
      </w:r>
      <w:r>
        <w:rPr>
          <w:rFonts w:ascii="Times New Roman" w:hAnsi="Times New Roman"/>
          <w:sz w:val="20"/>
        </w:rPr>
        <w:t>”), and Serapha Bio, Inc., a Delaware corporation (the “</w:t>
      </w:r>
      <w:r>
        <w:rPr>
          <w:rFonts w:ascii="Times New Roman" w:hAnsi="Times New Roman"/>
          <w:b/>
          <w:i/>
          <w:sz w:val="20"/>
        </w:rPr>
        <w:t>Company</w:t>
      </w:r>
      <w:r>
        <w:rPr>
          <w:rFonts w:ascii="Times New Roman" w:hAnsi="Times New Roman"/>
          <w:sz w:val="20"/>
        </w:rPr>
        <w:t xml:space="preserve">”). All capitalized terms used but not otherwise defined herein shall have the respective meanings ascribed to them in the Merger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Section 11.2 of the Merger Agreement, the Merger Agreement may be amended by any instrument in writing signed on behalf of the Company, Parent and Merger Sub, with the approval of the respective boards of directors of the Company, Parent and Merger Sub;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and Merger Sub desire to amend the Merger Agreement as set forth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recitals, the mutual covenants and agreements set forth herein, and other good and valuable consideration, the receipt and sufficiency of which are hereby acknowledged, intending to be legally bound, the Company, Parent and Merger Sub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AMENDMENTS TO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1.1(a) of the Merger Agreement is hereby amended by adding the following defined term in appropriate alphabetical order: </w:t>
            </w:r>
          </w:p>
        </w:tc>
      </w:tr>
    </w:tbl>
    <w:p>
      <w:pPr>
        <w:pStyle w:val="TextBody"/>
        <w:bidi w:val="0"/>
        <w:spacing w:before="120" w:after="0"/>
        <w:jc w:val="left"/>
        <w:rPr/>
      </w:pPr>
      <w:r>
        <w:rPr/>
        <w:t>“</w:t>
      </w:r>
      <w:r>
        <w:rPr>
          <w:rFonts w:ascii="Times New Roman" w:hAnsi="Times New Roman"/>
          <w:b/>
          <w:sz w:val="20"/>
        </w:rPr>
        <w:t>Company RSUs</w:t>
      </w:r>
      <w:r>
        <w:rPr>
          <w:rFonts w:ascii="Times New Roman" w:hAnsi="Times New Roman"/>
          <w:sz w:val="20"/>
        </w:rPr>
        <w:t xml:space="preserve">” means restricted stock unit awards covering shares of Company Common Stock issued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definition of “Company Outstanding Shares” under Section 1.1(a) of the Merger Agreement is hereby amended and restated in its entirety to read as follows: </w:t>
            </w:r>
          </w:p>
        </w:tc>
      </w:tr>
    </w:tbl>
    <w:p>
      <w:pPr>
        <w:pStyle w:val="TextBody"/>
        <w:bidi w:val="0"/>
        <w:spacing w:before="120" w:after="0"/>
        <w:jc w:val="left"/>
        <w:rPr/>
      </w:pPr>
      <w:r>
        <w:rPr/>
        <w:t>“</w:t>
      </w:r>
      <w:r>
        <w:rPr>
          <w:rFonts w:ascii="Times New Roman" w:hAnsi="Times New Roman"/>
          <w:b/>
          <w:sz w:val="20"/>
        </w:rPr>
        <w:t>Company Outstanding Shares</w:t>
      </w:r>
      <w:r>
        <w:rPr>
          <w:rFonts w:ascii="Times New Roman" w:hAnsi="Times New Roman"/>
          <w:sz w:val="20"/>
        </w:rPr>
        <w:t xml:space="preserve">” means, without duplication, the total number of shares of Company Capital Stock outstanding immediately prior to the Effective Time (including any shares of Company Common Stock or Company Preferred Stock that are issued in, or issuable upon the exercise or conversion of securities issued in, the Company Pre-Closing Financing, Series A-1 Preferred Stock equal to the Company Series A-1 Preferred Stock Initial Amount or any additional Series A-1 Preferred Stock in excess of the Company Series A-1 Preferred Stock Remeasurement Maximum Amount), expressed on a fully diluted and as converted to Company Common Stock basis assuming, without limitation or duplication, the exercise and/or settlement (as applicable) of all Company Options, Company RSUs,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Effective Time, provided that “Company Outstanding Shares” shall exclude a number of shares of Company Series A-1 Preferred Stock issued or issuable upon the exercise of the Yoltech Warrant equal to the Company Series A-1 Preferred Stock Remeasurement Maximum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definition of “Company Stock Plans” under Section 1.1(a) of the Merger Agreement is hereby amended by replacing the words “that may be adopted by the Company from time to time following the date hereof” with the words “that has been or may be adopted by the Company on or following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Company Pre-Closing Financing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13"/>
        <w:gridCol w:w="9084"/>
      </w:tblGrid>
      <w:tr>
        <w:trPr/>
        <w:tc>
          <w:tcPr>
            <w:tcW w:w="408"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1.2.1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Recital K of the Merger Agreement is hereby amended and restated in its entirety to read as follows: </w:t>
            </w:r>
          </w:p>
        </w:tc>
      </w:tr>
    </w:tbl>
    <w:p>
      <w:pPr>
        <w:pStyle w:val="TextBody"/>
        <w:bidi w:val="0"/>
        <w:spacing w:before="120" w:after="0"/>
        <w:jc w:val="left"/>
        <w:rPr/>
      </w:pPr>
      <w:r>
        <w:rPr/>
        <w:t>“</w:t>
      </w:r>
      <w:r>
        <w:rPr>
          <w:rFonts w:ascii="Times New Roman" w:hAnsi="Times New Roman"/>
          <w:sz w:val="20"/>
        </w:rPr>
        <w:t>Concurrently with the execution and delivery of this Agreement, certain investors are executing and delivering a Securities Purchase Agreement in the form attached hereto as Exhibit C among the Company and the Persons named therein (including as may be amended, restated and/or superseded from time to time, the “</w:t>
      </w:r>
      <w:r>
        <w:rPr>
          <w:rFonts w:ascii="Times New Roman" w:hAnsi="Times New Roman"/>
          <w:b/>
          <w:sz w:val="20"/>
        </w:rPr>
        <w:t>Subscription Agreement</w:t>
      </w:r>
      <w:r>
        <w:rPr>
          <w:rFonts w:ascii="Times New Roman" w:hAnsi="Times New Roman"/>
          <w:sz w:val="20"/>
        </w:rPr>
        <w:t>”), pursuant to which such Persons will agree to purchase, in the amounts set forth therein, shares of Company Capital Stock (together with the Series A Financing, the “</w:t>
      </w:r>
      <w:r>
        <w:rPr>
          <w:rFonts w:ascii="Times New Roman" w:hAnsi="Times New Roman"/>
          <w:b/>
          <w:sz w:val="20"/>
        </w:rPr>
        <w:t>Company Pre-Closing Financing</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3"/>
        <w:gridCol w:w="9085"/>
      </w:tblGrid>
      <w:tr>
        <w:trPr/>
        <w:tc>
          <w:tcPr>
            <w:tcW w:w="407"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1.2.2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furtherance of </w:t>
            </w:r>
            <w:r>
              <w:rPr>
                <w:rFonts w:ascii="Times New Roman" w:hAnsi="Times New Roman"/>
                <w:sz w:val="20"/>
                <w:u w:val="single"/>
              </w:rPr>
              <w:t>Section 1.2.1</w:t>
            </w:r>
            <w:r>
              <w:rPr>
                <w:rFonts w:ascii="Times New Roman" w:hAnsi="Times New Roman"/>
                <w:sz w:val="20"/>
              </w:rPr>
              <w:t xml:space="preserve"> of this Amendment, the definition of “Acquisition Transaction” in Section 1.1(a) of the Merger Agreement is hereby amended by deleting the words “the Series A Financing,” appearing after “any Parent Legacy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14"/>
        <w:gridCol w:w="9083"/>
      </w:tblGrid>
      <w:tr>
        <w:trPr/>
        <w:tc>
          <w:tcPr>
            <w:tcW w:w="408"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1.2.3</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8.8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The Subscription Agreement and the Series A Financing Agreement shall each be in full force and effect and aggregate gross cash proceeds of not less than the Company Pre-Closing Financing Minimum Amount shall have been received by the Company, or will be received by the Company substantially contemporaneously with the Closing, in connection with the consummation of the Company Pre-Closing Financing.”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Company RSUs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715"/>
        <w:gridCol w:w="9084"/>
      </w:tblGrid>
      <w:tr>
        <w:trPr/>
        <w:tc>
          <w:tcPr>
            <w:tcW w:w="406"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1.3.1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2.5(d) of the Merger Agreement is hereby amended by adding the following sentence to the end thereof: “All Company RSUs outstanding immediately prior to the Effective Time shall be treated in accordance with </w:t>
            </w:r>
            <w:r>
              <w:rPr>
                <w:rFonts w:ascii="Times New Roman" w:hAnsi="Times New Roman"/>
                <w:sz w:val="20"/>
                <w:u w:val="single"/>
              </w:rPr>
              <w:t>Section 6.5(c)</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1.3.2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2.5(f)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If, between the date of this Agreement and the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RSUs, Company Warrants and Parent Capital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Parent to take any action with respect to Company Capital Stock or Parent Capital Stock, respectively, that is prohibited or not expressly permitted by the terms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1.3.3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3.6(c)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The Company has entered into an employment agreement pursuant to which the Company will reserve a number of shares equal to 5% of the fully-diluted issued and outstanding Company Capital Stock through the closing of the Pre-Closing Financing, which awards will be issued under the Company’s 2026 Equity Incentive Plan (the “</w:t>
      </w:r>
      <w:r>
        <w:rPr>
          <w:rFonts w:ascii="Times New Roman" w:hAnsi="Times New Roman"/>
          <w:b/>
          <w:sz w:val="20"/>
        </w:rPr>
        <w:t>Stock Plan</w:t>
      </w:r>
      <w:r>
        <w:rPr>
          <w:rFonts w:ascii="Times New Roman" w:hAnsi="Times New Roman"/>
          <w:sz w:val="20"/>
        </w:rPr>
        <w:t xml:space="preserve">”). As of the date hereof, there are no other Company Options, Company RSUs, or other equity awards issued, outstanding or subject to executed employment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1.3.4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3.6(e)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All outstanding Company Capital Stock, Company Options, Company RSUs, and other securities of the Company have been issued and granted in compliance in all material respects with (i) all applicable securities laws and other applicable Law and (ii) all requirements set forth in applicable Contracts.”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14"/>
        <w:gridCol w:w="9083"/>
      </w:tblGrid>
      <w:tr>
        <w:trPr/>
        <w:tc>
          <w:tcPr>
            <w:tcW w:w="408"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1.3.5</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The heading of Section 6.5 of the Merger Agreement is hereby amended and restated in its entirety as “</w:t>
            </w:r>
            <w:r>
              <w:rPr>
                <w:rFonts w:ascii="Times New Roman" w:hAnsi="Times New Roman"/>
                <w:sz w:val="20"/>
                <w:u w:val="single"/>
              </w:rPr>
              <w:t>Company Options; Company Warrants; Company RSUs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1.3.6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6.5 of the Merger Agreement is hereby amended by adding the following as a new Section 6.5(c): </w:t>
            </w:r>
          </w:p>
        </w:tc>
      </w:tr>
    </w:tbl>
    <w:p>
      <w:pPr>
        <w:pStyle w:val="TextBody"/>
        <w:bidi w:val="0"/>
        <w:spacing w:before="120" w:after="0"/>
        <w:jc w:val="left"/>
        <w:rPr/>
      </w:pPr>
      <w:r>
        <w:rPr/>
        <w:t>“</w:t>
      </w:r>
      <w:r>
        <w:rPr>
          <w:rFonts w:ascii="Times New Roman" w:hAnsi="Times New Roman"/>
          <w:sz w:val="20"/>
        </w:rPr>
        <w:t>(c) At the Effective Time, each Company RSU, whether vested or unvested, that is outstanding immediately prior to the Effective Time shall, at the Effective Time, cease to represent a right to receive shares of Company Common Stock and shall be converted, at the Effective Time, into a restricted stock unit award covering shares of Parent Common Stock (an “</w:t>
      </w:r>
      <w:r>
        <w:rPr>
          <w:rFonts w:ascii="Times New Roman" w:hAnsi="Times New Roman"/>
          <w:b/>
          <w:sz w:val="20"/>
        </w:rPr>
        <w:t>Assumed RSU</w:t>
      </w:r>
      <w:r>
        <w:rPr>
          <w:rFonts w:ascii="Times New Roman" w:hAnsi="Times New Roman"/>
          <w:sz w:val="20"/>
        </w:rPr>
        <w:t xml:space="preserve">”), on the same terms and conditions (including any vesting provisions, any provisions providing for vesting upon or following a listing of Parent Common Stock, and any provisions providing for accelerated vesting upon certain events) as were applicable under such Company RSU as of immediately prior to the Effective Time, except for administrative or ministerial changes as determined by the Company Board (or, following the Effective Time, the Parent Board or compensation committee). The number of shares of Parent Common Stock subject to each such Assumed RSU shall be equal to (i) the number of shares of Company Common Stock subject to the respective Company RSU immediately prior to the Effective Time multiplied by (ii) the Exchange Ratio, rounded down, if necessary, to the nearest whole share of Parent Common Stock; provided that, in the case of any Assumed RSU to which Section 409A of the Code applies as of the Effective Time, the number of shares of Parent Common Stock subject to such restricted stock unit award and the terms and conditions of such restricted stock unit award shall be determined in a manner consistent with the requirements of Section 409A of the Code in order to avoid the imposition of any additional taxes thereunder. The Company Board shall, prior to the Effective Time, take all actions necessary to effect the foregoing.”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715"/>
        <w:gridCol w:w="9084"/>
      </w:tblGrid>
      <w:tr>
        <w:trPr/>
        <w:tc>
          <w:tcPr>
            <w:tcW w:w="406"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1.3.7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6.15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u w:val="single"/>
        </w:rPr>
        <w:t>Allocation Information</w:t>
      </w:r>
      <w:r>
        <w:rPr>
          <w:rFonts w:ascii="Times New Roman" w:hAnsi="Times New Roman"/>
          <w:sz w:val="20"/>
        </w:rPr>
        <w:t>. The Company will prepare and deliver to Parent prior to the Closing a spreadsheet setting forth (as of immediately prior to the Effective Time) (a) each holder of (i) Company Capital Stock, (ii) Company Options, (iii) Company RSUs, and (iv) Company Warrants, (b) such holder’s name and address, (c) with respect to holders of Company Capital Stock, the number or percentage and type of Company Capital Stock held as of the Closing Date for each such holder and (d) the number of shares of Parent Capital Stock, Pre-Funded Warrants, Assumed Options, Assumed RSUs, and Assumed Warrants to be issued to such holder pursuant to this Agreement in respect of the Company Capital Stock, Company Options, Company RSUs, and Company Warrants held by such holder as of immediately prior to the Effective Time (the “</w:t>
      </w:r>
      <w:r>
        <w:rPr>
          <w:rFonts w:ascii="Times New Roman" w:hAnsi="Times New Roman"/>
          <w:b/>
          <w:sz w:val="20"/>
        </w:rPr>
        <w:t>Allocation Certificate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Beneficial Ownership Limitation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1.4.1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2.5(a)(ii)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(ii) subject to </w:t>
      </w:r>
      <w:r>
        <w:rPr>
          <w:rFonts w:ascii="Times New Roman" w:hAnsi="Times New Roman"/>
          <w:sz w:val="20"/>
          <w:u w:val="single"/>
        </w:rPr>
        <w:t>Section 2.5(c)</w:t>
      </w:r>
      <w:r>
        <w:rPr>
          <w:rFonts w:ascii="Times New Roman" w:hAnsi="Times New Roman"/>
          <w:sz w:val="20"/>
        </w:rPr>
        <w:t xml:space="preserve">, each share of Company Capital Stock (including any shares of Company Capital Stock issued pursuant to the Company Pre-Closing Financing) outstanding immediately prior to the Effective Time (excluding shares of Company Capital Stock to be canceled pursuant to </w:t>
      </w:r>
      <w:r>
        <w:rPr>
          <w:rFonts w:ascii="Times New Roman" w:hAnsi="Times New Roman"/>
          <w:sz w:val="20"/>
          <w:u w:val="single"/>
        </w:rPr>
        <w:t>Section 2.5(a)(i)</w:t>
      </w:r>
      <w:r>
        <w:rPr>
          <w:rFonts w:ascii="Times New Roman" w:hAnsi="Times New Roman"/>
          <w:sz w:val="20"/>
        </w:rPr>
        <w:t xml:space="preserve">) shall be converted solely into the right to receive a number of shares of Parent Common Stock equal to the Exchange Ratio;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the aggregate number of shares of Parent Common Stock issued to any holder of Company Capital Stock at Closing would result in the issuance of shares of Parent Common Stock in an amount (when aggregated with all shares of Parent Common Stock and any other securities of Parent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beneficially owned by such Person and its affiliates (as calculated pursuant to Section 13(d) of the Exchange Act and Rule 13d-3 promulgated thereunder)) in excess of such holder’s Beneficial Ownership Limitation (if any), Parent shall issue to any such holder of Company Capital Stock (x) shares of Parent Common Stock up to such holder’s Beneficial Ownership Limitation, and (y) in lieu of any shares of Parent Common Stock in excess of the Beneficial Ownership Limitation (such excess shares, the “</w:t>
      </w:r>
      <w:r>
        <w:rPr>
          <w:rFonts w:ascii="Times New Roman" w:hAnsi="Times New Roman"/>
          <w:b/>
          <w:sz w:val="20"/>
        </w:rPr>
        <w:t>Remaining Entitlement</w:t>
      </w:r>
      <w:r>
        <w:rPr>
          <w:rFonts w:ascii="Times New Roman" w:hAnsi="Times New Roman"/>
          <w:sz w:val="20"/>
        </w:rPr>
        <w:t xml:space="preserve">”), pre-funded warrants, substantially in the form attached hereto as </w:t>
      </w:r>
      <w:r>
        <w:rPr>
          <w:rFonts w:ascii="Times New Roman" w:hAnsi="Times New Roman"/>
          <w:sz w:val="20"/>
          <w:u w:val="single"/>
        </w:rPr>
        <w:t>Exhibit F</w:t>
      </w:r>
      <w:r>
        <w:rPr>
          <w:rFonts w:ascii="Times New Roman" w:hAnsi="Times New Roman"/>
          <w:sz w:val="20"/>
        </w:rPr>
        <w:t xml:space="preserve"> (“</w:t>
      </w:r>
      <w:r>
        <w:rPr>
          <w:rFonts w:ascii="Times New Roman" w:hAnsi="Times New Roman"/>
          <w:b/>
          <w:sz w:val="20"/>
        </w:rPr>
        <w:t>Pre-Funded Warrants</w:t>
      </w:r>
      <w:r>
        <w:rPr>
          <w:rFonts w:ascii="Times New Roman" w:hAnsi="Times New Roman"/>
          <w:sz w:val="20"/>
        </w:rPr>
        <w:t>”), to purchase a number of shares of Parent Common Stock upon exercise of such Pre-Funded Warrants equal to the Remaining Entitlement, in such manner to provide any such holder of Company Capital Stock with the same economic effect as contemplated by this Agreement (such shares of Parent Common Stock and Pre-Funded Warrants, collectively, the “</w:t>
      </w:r>
      <w:r>
        <w:rPr>
          <w:rFonts w:ascii="Times New Roman" w:hAnsi="Times New Roman"/>
          <w:b/>
          <w:sz w:val="20"/>
        </w:rPr>
        <w:t>Merger Consideration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1.4.2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new Section 2.5(g) is hereby inserted into the Merger Agreement as follows: </w:t>
            </w:r>
          </w:p>
        </w:tc>
      </w:tr>
    </w:tbl>
    <w:p>
      <w:pPr>
        <w:pStyle w:val="TextBody"/>
        <w:bidi w:val="0"/>
        <w:spacing w:before="120" w:after="0"/>
        <w:jc w:val="left"/>
        <w:rPr/>
      </w:pPr>
      <w:r>
        <w:rPr/>
        <w:t>“</w:t>
      </w:r>
      <w:r>
        <w:rPr>
          <w:rFonts w:ascii="Times New Roman" w:hAnsi="Times New Roman"/>
          <w:sz w:val="20"/>
        </w:rPr>
        <w:t>(g) The “</w:t>
      </w:r>
      <w:r>
        <w:rPr>
          <w:rFonts w:ascii="Times New Roman" w:hAnsi="Times New Roman"/>
          <w:b/>
          <w:sz w:val="20"/>
        </w:rPr>
        <w:t>Beneficial Ownership Limitation</w:t>
      </w:r>
      <w:r>
        <w:rPr>
          <w:rFonts w:ascii="Times New Roman" w:hAnsi="Times New Roman"/>
          <w:sz w:val="20"/>
        </w:rPr>
        <w:t xml:space="preserve">” may be set at the discretion of each holder of Company Capital Stock to a percentage designated by such Person in writing to Parent and to the Company between 0% and 19.99% of the number of shares of the Parent Common Stock outstanding immediately after giving effect to the issuance of the Merger Consideration; </w:t>
      </w:r>
      <w:r>
        <w:rPr>
          <w:rFonts w:ascii="Times New Roman" w:hAnsi="Times New Roman"/>
          <w:sz w:val="20"/>
          <w:u w:val="single"/>
        </w:rPr>
        <w:t>provided</w:t>
      </w:r>
      <w:r>
        <w:rPr>
          <w:rFonts w:ascii="Times New Roman" w:hAnsi="Times New Roman"/>
          <w:sz w:val="20"/>
        </w:rPr>
        <w:t xml:space="preserve">, that, for any holder of Company Capital Stock that does not make such designation in writing to Parent and to the Company at least ten (10) Business Days prior to the Closing, such percentage shall be set at (x) if such holder is an “Investor” under and as defined in the Subscription Agreement, the Beneficial Ownership Limitation applicable to such holder under the Subscription Agreement as in effect as of immediately prior to the Effective Time and (y) otherwise, 9.99%. Notwithstanding the foregoing, by written notice to the Surviving Corporation, any Person may reset the Beneficial Ownership Limitation percentage to a higher or lower percentage, not to exceed 19.99%; </w:t>
      </w:r>
      <w:r>
        <w:rPr>
          <w:rFonts w:ascii="Times New Roman" w:hAnsi="Times New Roman"/>
          <w:sz w:val="20"/>
          <w:u w:val="single"/>
        </w:rPr>
        <w:t>provided</w:t>
      </w:r>
      <w:r>
        <w:rPr>
          <w:rFonts w:ascii="Times New Roman" w:hAnsi="Times New Roman"/>
          <w:sz w:val="20"/>
        </w:rPr>
        <w:t xml:space="preserve">, that any increase will not be effective until the sixty-first (61st) day after such written notice is delivered to the Surviving Corporation. Upon such a change by any Person of the Beneficial Ownership Limitation, the Beneficial Ownership Limitation may not be further amended by such Person without first providing the minimum notice required by this </w:t>
      </w:r>
      <w:r>
        <w:rPr>
          <w:rFonts w:ascii="Times New Roman" w:hAnsi="Times New Roman"/>
          <w:sz w:val="20"/>
          <w:u w:val="single"/>
        </w:rPr>
        <w:t>Section 2.5(g)</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1.4.3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new Exhibit F to the Merger Agreement shall be, and hereby is, inserted into the Merger Agreement with the form of Pre-Funded Warrant attached hereto as </w:t>
            </w:r>
            <w:r>
              <w:rPr>
                <w:rFonts w:ascii="Times New Roman" w:hAnsi="Times New Roman"/>
                <w:sz w:val="20"/>
                <w:u w:val="single"/>
              </w:rPr>
              <w:t>Exhibit 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1.4.4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4.22 of the Merger Agreement is hereby amended by adding the following at the end thereof: “Each Pre-Funded Warrant, when issued in accordance with the provisions of this Agreement, will constitute a valid and binding obligation of Parent, enforceable against Parent in accordance with its terms, subject to the Enforceability Exceptions. The Parent Common Stock issuable upon exercise of the Pre-Funded Warrants will, as of the Effective Time, be duly reserved for issuance and, upon issuance in accordance with the terms of the Pre-Funded Warrants,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5"/>
        <w:gridCol w:w="9083"/>
      </w:tblGrid>
      <w:tr>
        <w:trPr/>
        <w:tc>
          <w:tcPr>
            <w:tcW w:w="407"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1.4.5</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6.9 of the Merger Agreement is hereby amended by replacing the words “the shares of Parent Common Stock to be issued in connection with the Contemplated Transactions” with the words “the shares of Parent Common Stock to be issued in connection with the Contemplated Transactions (including the shares of Parent Common Stock issuable upon exercise of the Pre-Funded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Required Parent Stockholder Vote.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1.5.1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4.4 of the Merger Agreement is hereby amended by deleting the designation “(i)” appearing at the beginning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14"/>
        <w:gridCol w:w="9083"/>
      </w:tblGrid>
      <w:tr>
        <w:trPr/>
        <w:tc>
          <w:tcPr>
            <w:tcW w:w="408"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1.5.2</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4.4 of the Merger Agreement is hereby further amended by replacing the words “the Nasdaq rules and (b)” with the words “the Nasdaq rules, (b)”.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1.5.3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4.4 of the Merger Agreement is hereby further amended by replacing the words “and (ii) the affirmative vote of a majority of the shares of Parent Common Stock outstanding and entitled to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18"/>
        <w:gridCol w:w="9087"/>
      </w:tblGrid>
      <w:tr>
        <w:trPr/>
        <w:tc>
          <w:tcPr>
            <w:tcW w:w="1118" w:type="dxa"/>
            <w:tcBorders/>
            <w:vAlign w:val="center"/>
          </w:tcPr>
          <w:p>
            <w:pPr>
              <w:pStyle w:val="TableContents"/>
              <w:bidi w:val="0"/>
              <w:spacing w:before="0" w:after="283"/>
              <w:jc w:val="left"/>
              <w:rPr/>
            </w:pPr>
            <w:r>
              <w:rPr/>
              <w:t> </w:t>
            </w:r>
          </w:p>
        </w:tc>
        <w:tc>
          <w:tcPr>
            <w:tcW w:w="9087" w:type="dxa"/>
            <w:tcBorders/>
          </w:tcPr>
          <w:p>
            <w:pPr>
              <w:pStyle w:val="TableContents"/>
              <w:bidi w:val="0"/>
              <w:spacing w:before="0" w:after="283"/>
              <w:jc w:val="left"/>
              <w:rPr/>
            </w:pPr>
            <w:r>
              <w:rPr/>
              <w:t xml:space="preserve">thereon is the only vote of the holders of any class or series of Parent’s capital stock necessary to approve clause (iii)” with the words “and (c) clause (iii)”.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2 MISCELLANEOUS </w:t>
      </w:r>
    </w:p>
    <w:p>
      <w:pPr>
        <w:pStyle w:val="TextBody"/>
        <w:bidi w:val="0"/>
        <w:spacing w:before="240" w:after="0"/>
        <w:jc w:val="left"/>
        <w:rPr>
          <w:rFonts w:ascii="Times New Roman" w:hAnsi="Times New Roman"/>
          <w:sz w:val="20"/>
        </w:rPr>
      </w:pPr>
      <w:r>
        <w:rPr>
          <w:rFonts w:ascii="Times New Roman" w:hAnsi="Times New Roman"/>
          <w:sz w:val="20"/>
        </w:rPr>
        <w:t xml:space="preserve">2.1. Except as specifically modified herein, the Merger Agreement remains in full force and effect, and the Parties hereto reserve all of their respective rights and remedies with respect to all other matters and claims, whether known or unknown, arising under the Merger Agreement. In the event of any conflict or inconsistency between this Amendment and the Merger Agreement, this Amendment shall control. All references in the Merger Agreement to “this Agreement” or “herein” or words of similar import shall be deemed to refer to the Merger Agreement as amended by this Amendment. The Merger Agreement (including as amended hereby) and the other schedules, exhibits, certificates, instruments and agreements referred to in the Merger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2.2. This Amendment may be executed in one or more counterparts, each of which shall be deemed an original, but all of which together shall constitute one and the same instrument, with the same effect as if the signatures thereto were in the same instrument. The exchange of a fully executed Amendment (in counterparts or otherwise) by all Parties by electronic transmission in PDF format shall be sufficient to bind the Parties to the terms and conditions of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2.3. Sections 11.2 through 11.11 of the Merger Agreement are hereby incorporated by reference into this Amendment,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Amendment to be executed as of the date first above written. </w:t>
      </w:r>
    </w:p>
    <w:p>
      <w:pPr>
        <w:pStyle w:val="TextBody"/>
        <w:bidi w:val="0"/>
        <w:spacing w:before="0" w:after="0"/>
        <w:jc w:val="left"/>
        <w:rPr/>
      </w:pPr>
      <w:r>
        <w:rPr/>
        <w:t> </w:t>
      </w:r>
    </w:p>
    <w:tbl>
      <w:tblPr>
        <w:tblW w:w="5770" w:type="dxa"/>
        <w:jc w:val="right"/>
        <w:tblInd w:w="0" w:type="dxa"/>
        <w:tblLayout w:type="fixed"/>
        <w:tblCellMar>
          <w:top w:w="0" w:type="dxa"/>
          <w:left w:w="0" w:type="dxa"/>
          <w:bottom w:w="0" w:type="dxa"/>
          <w:right w:w="0" w:type="dxa"/>
        </w:tblCellMar>
      </w:tblPr>
      <w:tblGrid>
        <w:gridCol w:w="485"/>
        <w:gridCol w:w="60"/>
        <w:gridCol w:w="5225"/>
      </w:tblGrid>
      <w:tr>
        <w:trPr/>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225" w:type="dxa"/>
            <w:tcBorders/>
            <w:vAlign w:val="center"/>
          </w:tcPr>
          <w:p>
            <w:pPr>
              <w:pStyle w:val="TableContents"/>
              <w:bidi w:val="0"/>
              <w:spacing w:before="0" w:after="283"/>
              <w:jc w:val="left"/>
              <w:rPr>
                <w:sz w:val="4"/>
                <w:szCs w:val="4"/>
              </w:rPr>
            </w:pPr>
            <w:r>
              <w:rPr>
                <w:sz w:val="4"/>
                <w:szCs w:val="4"/>
              </w:rPr>
            </w:r>
          </w:p>
        </w:tc>
      </w:tr>
      <w:tr>
        <w:trPr/>
        <w:tc>
          <w:tcPr>
            <w:tcW w:w="577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BOUNDLESS BIO, INC.</w:t>
            </w:r>
          </w:p>
        </w:tc>
      </w:tr>
      <w:tr>
        <w:trPr>
          <w:trHeight w:val="240" w:hRule="atLeast"/>
        </w:trPr>
        <w:tc>
          <w:tcPr>
            <w:tcW w:w="485" w:type="dxa"/>
            <w:tcBorders/>
            <w:vAlign w:val="center"/>
          </w:tcPr>
          <w:p>
            <w:pPr>
              <w:pStyle w:val="TableContents"/>
              <w:bidi w:val="0"/>
              <w:spacing w:before="0" w:after="283"/>
              <w:jc w:val="left"/>
              <w:rPr>
                <w:sz w:val="4"/>
                <w:szCs w:val="4"/>
              </w:rPr>
            </w:pPr>
            <w:r>
              <w:rPr>
                <w:sz w:val="4"/>
                <w:szCs w:val="4"/>
              </w:rPr>
            </w:r>
          </w:p>
        </w:tc>
        <w:tc>
          <w:tcPr>
            <w:tcW w:w="5285" w:type="dxa"/>
            <w:gridSpan w:val="2"/>
            <w:tcBorders/>
            <w:vAlign w:val="center"/>
          </w:tcPr>
          <w:p>
            <w:pPr>
              <w:pStyle w:val="TableContents"/>
              <w:bidi w:val="0"/>
              <w:spacing w:before="0" w:after="283"/>
              <w:jc w:val="left"/>
              <w:rPr>
                <w:sz w:val="4"/>
                <w:szCs w:val="4"/>
              </w:rPr>
            </w:pPr>
            <w:r>
              <w:rPr>
                <w:sz w:val="4"/>
                <w:szCs w:val="4"/>
              </w:rPr>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522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Jessica Oien</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Jessica Oien</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President, Chief Legal Officer and Corporate Secretary</w:t>
            </w:r>
          </w:p>
        </w:tc>
      </w:tr>
      <w:tr>
        <w:trPr>
          <w:trHeight w:val="240" w:hRule="atLeast"/>
        </w:trPr>
        <w:tc>
          <w:tcPr>
            <w:tcW w:w="5770" w:type="dxa"/>
            <w:gridSpan w:val="3"/>
            <w:tcBorders/>
            <w:vAlign w:val="center"/>
          </w:tcPr>
          <w:p>
            <w:pPr>
              <w:pStyle w:val="TableContents"/>
              <w:bidi w:val="0"/>
              <w:spacing w:before="0" w:after="283"/>
              <w:jc w:val="left"/>
              <w:rPr>
                <w:sz w:val="4"/>
                <w:szCs w:val="4"/>
              </w:rPr>
            </w:pPr>
            <w:r>
              <w:rPr>
                <w:sz w:val="4"/>
                <w:szCs w:val="4"/>
              </w:rPr>
            </w:r>
          </w:p>
        </w:tc>
      </w:tr>
      <w:tr>
        <w:trPr/>
        <w:tc>
          <w:tcPr>
            <w:tcW w:w="577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BOULDER MERGER SUB CORP.</w:t>
            </w:r>
          </w:p>
        </w:tc>
      </w:tr>
      <w:tr>
        <w:trPr>
          <w:trHeight w:val="240" w:hRule="atLeast"/>
        </w:trPr>
        <w:tc>
          <w:tcPr>
            <w:tcW w:w="485" w:type="dxa"/>
            <w:tcBorders/>
            <w:vAlign w:val="center"/>
          </w:tcPr>
          <w:p>
            <w:pPr>
              <w:pStyle w:val="TableContents"/>
              <w:bidi w:val="0"/>
              <w:spacing w:before="0" w:after="283"/>
              <w:jc w:val="left"/>
              <w:rPr>
                <w:sz w:val="4"/>
                <w:szCs w:val="4"/>
              </w:rPr>
            </w:pPr>
            <w:r>
              <w:rPr>
                <w:sz w:val="4"/>
                <w:szCs w:val="4"/>
              </w:rPr>
            </w:r>
          </w:p>
        </w:tc>
        <w:tc>
          <w:tcPr>
            <w:tcW w:w="5285" w:type="dxa"/>
            <w:gridSpan w:val="2"/>
            <w:tcBorders/>
            <w:vAlign w:val="center"/>
          </w:tcPr>
          <w:p>
            <w:pPr>
              <w:pStyle w:val="TableContents"/>
              <w:bidi w:val="0"/>
              <w:spacing w:before="0" w:after="283"/>
              <w:jc w:val="left"/>
              <w:rPr>
                <w:sz w:val="4"/>
                <w:szCs w:val="4"/>
              </w:rPr>
            </w:pPr>
            <w:r>
              <w:rPr>
                <w:sz w:val="4"/>
                <w:szCs w:val="4"/>
              </w:rPr>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522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Jessica Oien</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Jessica Oien</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President and Secretary</w:t>
            </w:r>
          </w:p>
        </w:tc>
      </w:tr>
    </w:tbl>
    <w:p>
      <w:pPr>
        <w:pStyle w:val="TextBody"/>
        <w:bidi w:val="0"/>
        <w:spacing w:before="9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Amendment No.</w:t>
      </w:r>
      <w:r>
        <w:rPr>
          <w:rFonts w:ascii="Times New Roman" w:hAnsi="Times New Roman"/>
          <w:sz w:val="20"/>
        </w:rPr>
        <w:t> </w:t>
      </w:r>
      <w:r>
        <w:rPr>
          <w:rFonts w:ascii="Times New Roman" w:hAnsi="Times New Roman"/>
          <w:i/>
          <w:sz w:val="20"/>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Amendment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2"/>
        <w:gridCol w:w="60"/>
        <w:gridCol w:w="3430"/>
      </w:tblGrid>
      <w:tr>
        <w:trPr/>
        <w:tc>
          <w:tcPr>
            <w:tcW w:w="5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SERAPHA BIO, INC.</w:t>
            </w:r>
          </w:p>
        </w:tc>
      </w:tr>
      <w:tr>
        <w:trPr>
          <w:trHeight w:val="240" w:hRule="atLeast"/>
        </w:trPr>
        <w:tc>
          <w:tcPr>
            <w:tcW w:w="592" w:type="dxa"/>
            <w:tcBorders/>
            <w:vAlign w:val="center"/>
          </w:tcPr>
          <w:p>
            <w:pPr>
              <w:pStyle w:val="TableContents"/>
              <w:bidi w:val="0"/>
              <w:spacing w:before="0" w:after="283"/>
              <w:jc w:val="left"/>
              <w:rPr>
                <w:sz w:val="4"/>
                <w:szCs w:val="4"/>
              </w:rPr>
            </w:pPr>
            <w:r>
              <w:rPr>
                <w:sz w:val="4"/>
                <w:szCs w:val="4"/>
              </w:rPr>
            </w:r>
          </w:p>
        </w:tc>
        <w:tc>
          <w:tcPr>
            <w:tcW w:w="3490" w:type="dxa"/>
            <w:gridSpan w:val="2"/>
            <w:tcBorders/>
            <w:vAlign w:val="center"/>
          </w:tcPr>
          <w:p>
            <w:pPr>
              <w:pStyle w:val="TableContents"/>
              <w:bidi w:val="0"/>
              <w:spacing w:before="0" w:after="283"/>
              <w:jc w:val="left"/>
              <w:rPr>
                <w:sz w:val="4"/>
                <w:szCs w:val="4"/>
              </w:rPr>
            </w:pPr>
            <w:r>
              <w:rPr>
                <w:sz w:val="4"/>
                <w:szCs w:val="4"/>
              </w:rPr>
            </w:r>
          </w:p>
        </w:tc>
      </w:tr>
      <w:tr>
        <w:trPr/>
        <w:tc>
          <w:tcPr>
            <w:tcW w:w="59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43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t>
            </w:r>
          </w:p>
        </w:tc>
      </w:tr>
      <w:tr>
        <w:trPr/>
        <w:tc>
          <w:tcPr>
            <w:tcW w:w="59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30" w:type="dxa"/>
            <w:tcBorders/>
            <w:vAlign w:val="bottom"/>
          </w:tcPr>
          <w:p>
            <w:pPr>
              <w:pStyle w:val="TableContents"/>
              <w:bidi w:val="0"/>
              <w:spacing w:before="0" w:after="283"/>
              <w:jc w:val="left"/>
              <w:rPr/>
            </w:pPr>
            <w:r>
              <w:rPr/>
              <w:t xml:space="preserve">[***] </w:t>
            </w:r>
          </w:p>
        </w:tc>
      </w:tr>
      <w:tr>
        <w:trPr/>
        <w:tc>
          <w:tcPr>
            <w:tcW w:w="59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30"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r>
    </w:tbl>
    <w:p>
      <w:pPr>
        <w:pStyle w:val="TextBody"/>
        <w:bidi w:val="0"/>
        <w:spacing w:before="9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Amendment No.</w:t>
      </w:r>
      <w:r>
        <w:rPr>
          <w:rFonts w:ascii="Times New Roman" w:hAnsi="Times New Roman"/>
          <w:sz w:val="20"/>
        </w:rPr>
        <w:t> </w:t>
      </w:r>
      <w:r>
        <w:rPr>
          <w:rFonts w:ascii="Times New Roman" w:hAnsi="Times New Roman"/>
          <w:i/>
          <w:sz w:val="20"/>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PRE-FUNDED WARRANT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See attached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8"/>
        <w:gridCol w:w="120"/>
        <w:gridCol w:w="4897"/>
      </w:tblGrid>
      <w:tr>
        <w:trPr/>
        <w:tc>
          <w:tcPr>
            <w:tcW w:w="51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7" w:type="dxa"/>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left"/>
              <w:rPr/>
            </w:pPr>
            <w:r>
              <w:rPr/>
              <w:t>Warrant No. [●]</w:t>
            </w:r>
          </w:p>
        </w:tc>
        <w:tc>
          <w:tcPr>
            <w:tcW w:w="120" w:type="dxa"/>
            <w:tcBorders/>
            <w:vAlign w:val="bottom"/>
          </w:tcPr>
          <w:p>
            <w:pPr>
              <w:pStyle w:val="TableContents"/>
              <w:bidi w:val="0"/>
              <w:spacing w:before="0" w:after="283"/>
              <w:jc w:val="left"/>
              <w:rPr/>
            </w:pPr>
            <w:r>
              <w:rPr/>
              <w:t>  </w:t>
            </w:r>
          </w:p>
        </w:tc>
        <w:tc>
          <w:tcPr>
            <w:tcW w:w="4897" w:type="dxa"/>
            <w:tcBorders/>
          </w:tcPr>
          <w:p>
            <w:pPr>
              <w:pStyle w:val="TableContents"/>
              <w:bidi w:val="0"/>
              <w:spacing w:before="0" w:after="283"/>
              <w:jc w:val="right"/>
              <w:rPr/>
            </w:pPr>
            <w:r>
              <w:rPr/>
              <w:t>Original Issue Date: [●], 20[]</w:t>
            </w:r>
          </w:p>
        </w:tc>
      </w:tr>
    </w:tbl>
    <w:p>
      <w:pPr>
        <w:pStyle w:val="TextBody"/>
        <w:bidi w:val="0"/>
        <w:spacing w:before="240" w:after="0"/>
        <w:jc w:val="left"/>
        <w:rPr>
          <w:rFonts w:ascii="Times New Roman" w:hAnsi="Times New Roman"/>
          <w:sz w:val="20"/>
        </w:rPr>
      </w:pPr>
      <w:r>
        <w:rPr>
          <w:rFonts w:ascii="Times New Roman" w:hAnsi="Times New Roman"/>
          <w:sz w:val="20"/>
        </w:rPr>
        <w:t>Serapha Bio, Inc.,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shares of common stock, $0.00001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xml:space="preserve">”), as adjusted from time to time as provided in </w:t>
      </w:r>
      <w:r>
        <w:rPr>
          <w:rFonts w:ascii="Times New Roman" w:hAnsi="Times New Roman"/>
          <w:sz w:val="20"/>
          <w:u w:val="single"/>
        </w:rPr>
        <w:t>Section 9</w:t>
      </w:r>
      <w:r>
        <w:rPr>
          <w:rFonts w:ascii="Times New Roman" w:hAnsi="Times New Roman"/>
          <w:sz w:val="20"/>
        </w:rPr>
        <w:t>, at an exercise price per share equal to $0.00001 (the “</w:t>
      </w:r>
      <w:r>
        <w:rPr>
          <w:rFonts w:ascii="Times New Roman" w:hAnsi="Times New Roman"/>
          <w:b/>
          <w:sz w:val="20"/>
        </w:rPr>
        <w:t>Exercise Price</w:t>
      </w:r>
      <w:r>
        <w:rPr>
          <w:rFonts w:ascii="Times New Roman" w:hAnsi="Times New Roman"/>
          <w:sz w:val="20"/>
        </w:rPr>
        <w:t>”), upon surrender of this Pre-Funded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xml:space="preserv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This Warrant is one of a series of similar warrants issued pursuant to that certain Securities Purchase Agreement, dated [●], 2026, by and among the Company and the Investors identified therein (the “</w:t>
      </w:r>
      <w:r>
        <w:rPr>
          <w:rFonts w:ascii="Times New Roman" w:hAnsi="Times New Roman"/>
          <w:b/>
          <w:sz w:val="20"/>
        </w:rPr>
        <w:t>Purchase Agreement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Definitions</w:t>
            </w:r>
            <w:r>
              <w:rPr>
                <w:rFonts w:ascii="Times New Roman" w:hAnsi="Times New Roman"/>
                <w:sz w:val="20"/>
              </w:rPr>
              <w:t xml:space="preserve">. For purposes of this Warrant, the following terms shall have the following meanings: </w:t>
            </w:r>
          </w:p>
        </w:tc>
      </w:tr>
    </w:tbl>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24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(as defined below). </w:t>
      </w:r>
    </w:p>
    <w:p>
      <w:pPr>
        <w:pStyle w:val="TextBody"/>
        <w:bidi w:val="0"/>
        <w:spacing w:before="240" w:after="0"/>
        <w:jc w:val="left"/>
        <w:rPr/>
      </w:pPr>
      <w:r>
        <w:rPr/>
        <w:t>“</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have the meaning ascribed to it in Section 13(d) of the Exchange Act, and all related rules, regulations and jurisprudence.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incorporated or unincorporated association, joint venture, government (or an agency or subdivision thereof) or any other entity or organization. </w:t>
      </w:r>
    </w:p>
    <w:p>
      <w:pPr>
        <w:pStyle w:val="TextBody"/>
        <w:bidi w:val="0"/>
        <w:spacing w:before="240" w:after="0"/>
        <w:jc w:val="left"/>
        <w:rPr/>
      </w:pPr>
      <w:r>
        <w:rPr/>
        <w:t>“</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Stock Market.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(as defined below), which as of the Original Issue Date was “T+1.”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Issuance of Securities; Registration of Warrants</w:t>
      </w:r>
      <w:r>
        <w:rPr>
          <w:rFonts w:ascii="Times New Roman" w:hAnsi="Times New Roman"/>
          <w:sz w:val="20"/>
        </w:rPr>
        <w: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Registration of Transfers</w:t>
      </w:r>
      <w:r>
        <w:rPr>
          <w:rFonts w:ascii="Times New Roman" w:hAnsi="Times New Roman"/>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Exercise of Warrants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w:t>
      </w:r>
      <w:r>
        <w:rPr>
          <w:rFonts w:ascii="Times New Roman" w:hAnsi="Times New Roman"/>
          <w:sz w:val="20"/>
          <w:u w:val="single"/>
        </w:rPr>
        <w:t>Section 11</w:t>
      </w:r>
      <w:r>
        <w:rPr>
          <w:rFonts w:ascii="Times New Roman" w:hAnsi="Times New Roman"/>
          <w:sz w:val="20"/>
        </w:rPr>
        <w:t xml:space="preserve">) at any time and from time to time on or after the Original Issue Date, and such rights shall not expire until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delivery by (or on behalf of) the Holder of the Exercise Notice and the applicable Exercise Price as provided above shall constitute the Holder’s certification to the Company that its representations contained in Sections 4.1 and 4.3 through 4.14 of the Purchase Agreement are true and correct as of the Exercise Date as if remade in their entirety (or, in the case of any transferee Holder that is not a party to the Purchase Agreement, such transferee Holder’s certification to the Company that such representations are true and correct as to such transferee Holder as of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Delivery of Warrant Shares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hAnsi="Times New Roman"/>
          <w:b/>
          <w:sz w:val="20"/>
        </w:rPr>
        <w:t>Exercise Shares</w:t>
      </w:r>
      <w:r>
        <w:rPr>
          <w:rFonts w:ascii="Times New Roman" w:hAnsi="Times New Roman"/>
          <w:sz w:val="20"/>
        </w:rPr>
        <w:t>”) to (i) the Holder’s or its designee’s balance account with The Depository Trust Company (“</w:t>
      </w:r>
      <w:r>
        <w:rPr>
          <w:rFonts w:ascii="Times New Roman" w:hAnsi="Times New Roman"/>
          <w:b/>
          <w:sz w:val="20"/>
        </w:rPr>
        <w:t>DTC</w:t>
      </w:r>
      <w:r>
        <w:rPr>
          <w:rFonts w:ascii="Times New Roman" w:hAnsi="Times New Roman"/>
          <w:sz w:val="20"/>
        </w:rPr>
        <w:t xml:space="preserve">”) through its Deposit Withdrawal At Custodian system or (ii) in book-entry form via a direct registration system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Warrant Shares are credited to the Holder’s DTC account, the date of the book entry positions or the date of delivery of the certificates evidencing such Exercise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other rights available to the Holder, if the Company fails to cause the Transfer Agent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but did not receive within the Standard Settlement Period, then the Company shall, within two Trading Days after the Holder’s request and in the Holder’s sole discretion, promptly honor its obligation to deliver to the Holder or its designee the Exercise Shares pursuant to </w:t>
      </w:r>
      <w:r>
        <w:rPr>
          <w:rFonts w:ascii="Times New Roman" w:hAnsi="Times New Roman"/>
          <w:sz w:val="20"/>
          <w:u w:val="single"/>
        </w:rPr>
        <w:t>Section 5(a)</w:t>
      </w:r>
      <w:r>
        <w:rPr>
          <w:rFonts w:ascii="Times New Roman" w:hAnsi="Times New Roman"/>
          <w:sz w:val="20"/>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w:t>
      </w:r>
      <w:r>
        <w:rPr>
          <w:rFonts w:ascii="Times New Roman" w:hAnsi="Times New Roman"/>
          <w:sz w:val="20"/>
          <w:u w:val="single"/>
        </w:rPr>
        <w:t>Section 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Charges, Taxes and Expenses</w:t>
      </w:r>
      <w:r>
        <w:rPr>
          <w:rFonts w:ascii="Times New Roman" w:hAnsi="Times New Roman"/>
          <w:sz w:val="20"/>
          <w:u w:val="single"/>
        </w:rPr>
        <w:t>.</w:t>
      </w:r>
      <w:r>
        <w:rPr>
          <w:rFonts w:ascii="Times New Roman" w:hAnsi="Times New Roman"/>
          <w:sz w:val="20"/>
        </w:rPr>
        <w:t xml:space="preserve">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is subject to adjustment from time to time as set forth in this </w:t>
      </w:r>
      <w:r>
        <w:rPr>
          <w:rFonts w:ascii="Times New Roman" w:hAnsi="Times New Roman"/>
          <w:sz w:val="20"/>
          <w:u w:val="single"/>
        </w:rPr>
        <w:t>Section 9</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xml:space="preserve"> (a “</w:t>
      </w:r>
      <w:r>
        <w:rPr>
          <w:rFonts w:ascii="Times New Roman" w:hAnsi="Times New Roman"/>
          <w:b/>
          <w:sz w:val="20"/>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hAnsi="Times New Roman"/>
          <w:sz w:val="20"/>
          <w:u w:val="single"/>
        </w:rPr>
        <w:t>Section 9(c)</w:t>
      </w:r>
      <w:r>
        <w:rPr>
          <w:rFonts w:ascii="Times New Roman" w:hAnsi="Times New Roman"/>
          <w:sz w:val="20"/>
        </w:rPr>
        <w:t xml:space="preserve">,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Rights then held in abeyance pursuant to </w:t>
      </w:r>
      <w:r>
        <w:rPr>
          <w:rFonts w:ascii="Times New Roman" w:hAnsi="Times New Roman"/>
          <w:sz w:val="20"/>
          <w:u w:val="single"/>
        </w:rPr>
        <w:t>Sections 9(b)</w:t>
      </w:r>
      <w:r>
        <w:rPr>
          <w:rFonts w:ascii="Times New Roman" w:hAnsi="Times New Roman"/>
          <w:sz w:val="20"/>
        </w:rPr>
        <w:t xml:space="preserve"> or </w:t>
      </w:r>
      <w:r>
        <w:rPr>
          <w:rFonts w:ascii="Times New Roman" w:hAnsi="Times New Roman"/>
          <w:sz w:val="20"/>
          <w:u w:val="single"/>
        </w:rPr>
        <w:t>9(c)</w:t>
      </w:r>
      <w:r>
        <w:rPr>
          <w:rFonts w:ascii="Times New Roman" w:hAnsi="Times New Roman"/>
          <w:sz w:val="20"/>
        </w:rPr>
        <w:t xml:space="preserve"> above)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Number of Warrant Shares</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to the nearest share.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w:t>
      </w:r>
      <w:r>
        <w:rPr>
          <w:rFonts w:ascii="Times New Roman" w:hAnsi="Times New Roman"/>
          <w:sz w:val="20"/>
          <w:u w:val="single"/>
        </w:rPr>
        <w:t>Section 9(d),</w:t>
      </w:r>
      <w:r>
        <w:rPr>
          <w:rFonts w:ascii="Times New Roman" w:hAnsi="Times New Roman"/>
          <w:sz w:val="20"/>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hAnsi="Times New Roman"/>
          <w:sz w:val="20"/>
          <w:u w:val="single"/>
        </w:rPr>
        <w:t>Section 9(h)</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of the shares of Common Stock (as reported by Bloomberg Financial Market)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(No Fractional Shares), in no event will the exercise of this Warrant be settled in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b/>
              </w:rPr>
            </w:pPr>
            <w:r>
              <w:rPr>
                <w:b/>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Limitations on Exercise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hAnsi="Times New Roman"/>
          <w:b/>
          <w:sz w:val="20"/>
        </w:rPr>
        <w:t>Maximum Percentage</w:t>
      </w:r>
      <w:r>
        <w:rPr>
          <w:rFonts w:ascii="Times New Roman" w:hAnsi="Times New Roman"/>
          <w:sz w:val="20"/>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sz w:val="20"/>
          <w:u w:val="single"/>
        </w:rPr>
        <w:t>Section 11(a)</w:t>
      </w:r>
      <w:r>
        <w:rPr>
          <w:rFonts w:ascii="Times New Roman" w:hAnsi="Times New Roman"/>
          <w:sz w:val="20"/>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hAnsi="Times New Roman"/>
          <w:b/>
          <w:sz w:val="20"/>
        </w:rPr>
        <w:t>Reported Outstanding Share Number</w:t>
      </w:r>
      <w:r>
        <w:rPr>
          <w:rFonts w:ascii="Times New Roman" w:hAnsi="Times New Roman"/>
          <w:sz w:val="20"/>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sz w:val="20"/>
          <w:u w:val="single"/>
        </w:rPr>
        <w:t>Section 11(a)</w:t>
      </w:r>
      <w:r>
        <w:rPr>
          <w:rFonts w:ascii="Times New Roman" w:hAnsi="Times New Roman"/>
          <w:sz w:val="20"/>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sz w:val="20"/>
        </w:rPr>
        <w:t>Reduction Shares</w:t>
      </w:r>
      <w:r>
        <w:rPr>
          <w:rFonts w:ascii="Times New Roman" w:hAnsi="Times New Roman"/>
          <w:sz w:val="20"/>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hAnsi="Times New Roman"/>
          <w:sz w:val="20"/>
          <w:u w:val="single"/>
        </w:rPr>
        <w:t>Section 9(d)</w:t>
      </w:r>
      <w:r>
        <w:rPr>
          <w:rFonts w:ascii="Times New Roman" w:hAnsi="Times New Roman"/>
          <w:sz w:val="20"/>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sz w:val="20"/>
          <w:u w:val="single"/>
        </w:rPr>
        <w:t>Section 11</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this </w:t>
      </w:r>
      <w:r>
        <w:rPr>
          <w:rFonts w:ascii="Times New Roman" w:hAnsi="Times New Roman"/>
          <w:sz w:val="20"/>
          <w:u w:val="single"/>
        </w:rPr>
        <w:t>Section 11</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Warrant Agent</w:t>
      </w:r>
      <w:r>
        <w:rPr>
          <w:rFonts w:ascii="Times New Roman" w:hAnsi="Times New Roman"/>
          <w:sz w:val="20"/>
        </w:rPr>
        <w:t xml:space="preserve">. The Company shall initially serve as warrant agent under this Warrant.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Further Assurances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7"/>
        <w:gridCol w:w="92"/>
        <w:gridCol w:w="3103"/>
      </w:tblGrid>
      <w:tr>
        <w:trPr/>
        <w:tc>
          <w:tcPr>
            <w:tcW w:w="887"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SERAPHA BIO, INC.</w:t>
            </w:r>
          </w:p>
        </w:tc>
      </w:tr>
      <w:tr>
        <w:trPr>
          <w:trHeight w:val="240" w:hRule="atLeast"/>
        </w:trPr>
        <w:tc>
          <w:tcPr>
            <w:tcW w:w="887" w:type="dxa"/>
            <w:tcBorders/>
            <w:vAlign w:val="center"/>
          </w:tcPr>
          <w:p>
            <w:pPr>
              <w:pStyle w:val="TableContents"/>
              <w:bidi w:val="0"/>
              <w:spacing w:before="0" w:after="283"/>
              <w:jc w:val="left"/>
              <w:rPr>
                <w:sz w:val="4"/>
                <w:szCs w:val="4"/>
              </w:rPr>
            </w:pPr>
            <w:r>
              <w:rPr>
                <w:sz w:val="4"/>
                <w:szCs w:val="4"/>
              </w:rPr>
            </w:r>
          </w:p>
        </w:tc>
        <w:tc>
          <w:tcPr>
            <w:tcW w:w="3195"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2" w:type="dxa"/>
            <w:tcBorders/>
            <w:vAlign w:val="bottom"/>
          </w:tcPr>
          <w:p>
            <w:pPr>
              <w:pStyle w:val="TableContents"/>
              <w:bidi w:val="0"/>
              <w:spacing w:before="0" w:after="283"/>
              <w:jc w:val="left"/>
              <w:rPr/>
            </w:pPr>
            <w:r>
              <w:rPr/>
              <w:t> </w:t>
            </w:r>
          </w:p>
        </w:tc>
        <w:tc>
          <w:tcPr>
            <w:tcW w:w="3103" w:type="dxa"/>
            <w:tcBorders/>
          </w:tcPr>
          <w:p>
            <w:pPr>
              <w:pStyle w:val="TableContents"/>
              <w:pBdr>
                <w:bottom w:val="single" w:sz="2" w:space="1" w:color="000000"/>
              </w:pBdr>
              <w:bidi w:val="0"/>
              <w:spacing w:before="0" w:after="20"/>
              <w:jc w:val="left"/>
              <w:rPr/>
            </w:pPr>
            <w:r>
              <w:rPr/>
              <w:t> </w:t>
            </w:r>
          </w:p>
        </w:tc>
      </w:tr>
      <w:tr>
        <w:trPr/>
        <w:tc>
          <w:tcPr>
            <w:tcW w:w="88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9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9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is the Holder of Warrant No. __ (the “Warrant”) issued by Serapha Bio, Inc., a Delaware corporation (the “Company”).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_____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pPr>
            <w:r>
              <w:rPr/>
              <w:t>“</w:t>
            </w:r>
            <w:r>
              <w:rPr>
                <w:rFonts w:ascii="Times New Roman" w:hAnsi="Times New Roman"/>
                <w:sz w:val="20"/>
              </w:rPr>
              <w:t xml:space="preserve">Cashless Exercise” under </w:t>
            </w:r>
            <w:r>
              <w:rPr>
                <w:rFonts w:ascii="Times New Roman" w:hAnsi="Times New Roman"/>
                <w:sz w:val="20"/>
                <w:u w:val="single"/>
              </w:rPr>
              <w:t>Section 10</w:t>
            </w:r>
            <w:r>
              <w:rPr>
                <w:rFonts w:ascii="Times New Roman" w:hAnsi="Times New Roman"/>
                <w:sz w:val="20"/>
              </w:rPr>
              <w:t xml:space="preserve"> of the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_____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The Warrant Shares shall be delivered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8"/>
        <w:gridCol w:w="105"/>
        <w:gridCol w:w="4075"/>
        <w:gridCol w:w="105"/>
        <w:gridCol w:w="5502"/>
      </w:tblGrid>
      <w:tr>
        <w:trPr/>
        <w:tc>
          <w:tcPr>
            <w:tcW w:w="41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5502" w:type="dxa"/>
            <w:tcBorders/>
            <w:vAlign w:val="center"/>
          </w:tcPr>
          <w:p>
            <w:pPr>
              <w:pStyle w:val="TableContents"/>
              <w:bidi w:val="0"/>
              <w:spacing w:before="0" w:after="283"/>
              <w:jc w:val="left"/>
              <w:rPr>
                <w:sz w:val="4"/>
                <w:szCs w:val="4"/>
              </w:rPr>
            </w:pPr>
            <w:r>
              <w:rPr>
                <w:sz w:val="4"/>
                <w:szCs w:val="4"/>
              </w:rPr>
            </w:r>
          </w:p>
        </w:tc>
      </w:tr>
      <w:tr>
        <w:trPr/>
        <w:tc>
          <w:tcPr>
            <w:tcW w:w="418" w:type="dxa"/>
            <w:tcBorders/>
          </w:tcPr>
          <w:p>
            <w:pPr>
              <w:pStyle w:val="TableContents"/>
              <w:bidi w:val="0"/>
              <w:spacing w:before="0" w:after="283"/>
              <w:jc w:val="left"/>
              <w:rPr/>
            </w:pPr>
            <w:r>
              <w:rPr/>
              <w:t>☐</w:t>
            </w:r>
          </w:p>
        </w:tc>
        <w:tc>
          <w:tcPr>
            <w:tcW w:w="105" w:type="dxa"/>
            <w:tcBorders/>
            <w:vAlign w:val="bottom"/>
          </w:tcPr>
          <w:p>
            <w:pPr>
              <w:pStyle w:val="TableContents"/>
              <w:bidi w:val="0"/>
              <w:spacing w:before="0" w:after="283"/>
              <w:jc w:val="left"/>
              <w:rPr/>
            </w:pPr>
            <w:r>
              <w:rPr/>
              <w:t> </w:t>
            </w:r>
          </w:p>
        </w:tc>
        <w:tc>
          <w:tcPr>
            <w:tcW w:w="4075" w:type="dxa"/>
            <w:tcBorders/>
          </w:tcPr>
          <w:p>
            <w:pPr>
              <w:pStyle w:val="TableContents"/>
              <w:bidi w:val="0"/>
              <w:spacing w:before="0" w:after="283"/>
              <w:jc w:val="left"/>
              <w:rPr/>
            </w:pPr>
            <w:r>
              <w:rPr/>
              <w:t>to the following DWAC Account Number: </w:t>
            </w:r>
          </w:p>
        </w:tc>
        <w:tc>
          <w:tcPr>
            <w:tcW w:w="105" w:type="dxa"/>
            <w:tcBorders/>
            <w:vAlign w:val="bottom"/>
          </w:tcPr>
          <w:p>
            <w:pPr>
              <w:pStyle w:val="TableContents"/>
              <w:bidi w:val="0"/>
              <w:spacing w:before="0" w:after="283"/>
              <w:jc w:val="left"/>
              <w:rPr/>
            </w:pPr>
            <w:r>
              <w:rPr/>
              <w:t> </w:t>
            </w:r>
          </w:p>
        </w:tc>
        <w:tc>
          <w:tcPr>
            <w:tcW w:w="5502" w:type="dxa"/>
            <w:tcBorders/>
          </w:tcPr>
          <w:p>
            <w:pPr>
              <w:pStyle w:val="TableContents"/>
              <w:pBdr>
                <w:bottom w:val="single" w:sz="2" w:space="1" w:color="000000"/>
              </w:pBdr>
              <w:bidi w:val="0"/>
              <w:spacing w:before="0" w:after="20"/>
              <w:jc w:val="left"/>
              <w:rPr/>
            </w:pPr>
            <w:r>
              <w:rPr/>
              <w:t> </w:t>
            </w:r>
          </w:p>
        </w:tc>
      </w:tr>
      <w:tr>
        <w:trPr>
          <w:trHeight w:val="60" w:hRule="atLeast"/>
        </w:trPr>
        <w:tc>
          <w:tcPr>
            <w:tcW w:w="418" w:type="dxa"/>
            <w:tcBorders/>
            <w:vAlign w:val="center"/>
          </w:tcPr>
          <w:p>
            <w:pPr>
              <w:pStyle w:val="TableContents"/>
              <w:bidi w:val="0"/>
              <w:spacing w:before="0" w:after="283"/>
              <w:jc w:val="left"/>
              <w:rPr>
                <w:sz w:val="4"/>
                <w:szCs w:val="4"/>
              </w:rPr>
            </w:pPr>
            <w:r>
              <w:rPr>
                <w:sz w:val="4"/>
                <w:szCs w:val="4"/>
              </w:rPr>
            </w:r>
          </w:p>
        </w:tc>
        <w:tc>
          <w:tcPr>
            <w:tcW w:w="4180" w:type="dxa"/>
            <w:gridSpan w:val="2"/>
            <w:tcBorders/>
            <w:vAlign w:val="center"/>
          </w:tcPr>
          <w:p>
            <w:pPr>
              <w:pStyle w:val="TableContents"/>
              <w:bidi w:val="0"/>
              <w:spacing w:before="0" w:after="283"/>
              <w:jc w:val="left"/>
              <w:rPr>
                <w:sz w:val="4"/>
                <w:szCs w:val="4"/>
              </w:rPr>
            </w:pPr>
            <w:r>
              <w:rPr>
                <w:sz w:val="4"/>
                <w:szCs w:val="4"/>
              </w:rPr>
            </w:r>
          </w:p>
        </w:tc>
        <w:tc>
          <w:tcPr>
            <w:tcW w:w="5607" w:type="dxa"/>
            <w:gridSpan w:val="2"/>
            <w:tcBorders/>
            <w:vAlign w:val="center"/>
          </w:tcPr>
          <w:p>
            <w:pPr>
              <w:pStyle w:val="TableContents"/>
              <w:bidi w:val="0"/>
              <w:spacing w:before="0" w:after="283"/>
              <w:jc w:val="left"/>
              <w:rPr>
                <w:sz w:val="4"/>
                <w:szCs w:val="4"/>
              </w:rPr>
            </w:pPr>
            <w:r>
              <w:rPr>
                <w:sz w:val="4"/>
                <w:szCs w:val="4"/>
              </w:rPr>
            </w:r>
          </w:p>
        </w:tc>
      </w:tr>
      <w:tr>
        <w:trPr/>
        <w:tc>
          <w:tcPr>
            <w:tcW w:w="418" w:type="dxa"/>
            <w:tcBorders/>
          </w:tcPr>
          <w:p>
            <w:pPr>
              <w:pStyle w:val="TableContents"/>
              <w:bidi w:val="0"/>
              <w:spacing w:before="0" w:after="283"/>
              <w:jc w:val="left"/>
              <w:rPr/>
            </w:pPr>
            <w:r>
              <w:rPr/>
              <w:t>☐</w:t>
            </w:r>
          </w:p>
        </w:tc>
        <w:tc>
          <w:tcPr>
            <w:tcW w:w="105" w:type="dxa"/>
            <w:tcBorders/>
            <w:vAlign w:val="bottom"/>
          </w:tcPr>
          <w:p>
            <w:pPr>
              <w:pStyle w:val="TableContents"/>
              <w:bidi w:val="0"/>
              <w:spacing w:before="0" w:after="283"/>
              <w:jc w:val="left"/>
              <w:rPr/>
            </w:pPr>
            <w:r>
              <w:rPr/>
              <w:t> </w:t>
            </w:r>
          </w:p>
        </w:tc>
        <w:tc>
          <w:tcPr>
            <w:tcW w:w="4075" w:type="dxa"/>
            <w:tcBorders/>
          </w:tcPr>
          <w:p>
            <w:pPr>
              <w:pStyle w:val="TableContents"/>
              <w:bidi w:val="0"/>
              <w:spacing w:before="0" w:after="283"/>
              <w:jc w:val="left"/>
              <w:rPr/>
            </w:pPr>
            <w:r>
              <w:rPr/>
              <w:t>in book-entry form via a direct registration system</w:t>
            </w:r>
          </w:p>
        </w:tc>
        <w:tc>
          <w:tcPr>
            <w:tcW w:w="105" w:type="dxa"/>
            <w:tcBorders/>
            <w:vAlign w:val="bottom"/>
          </w:tcPr>
          <w:p>
            <w:pPr>
              <w:pStyle w:val="TableContents"/>
              <w:bidi w:val="0"/>
              <w:spacing w:before="0" w:after="283"/>
              <w:jc w:val="left"/>
              <w:rPr/>
            </w:pPr>
            <w:r>
              <w:rPr/>
              <w:t> </w:t>
            </w:r>
          </w:p>
        </w:tc>
        <w:tc>
          <w:tcPr>
            <w:tcW w:w="5502" w:type="dxa"/>
            <w:tcBorders/>
          </w:tcPr>
          <w:p>
            <w:pPr>
              <w:pStyle w:val="TableContents"/>
              <w:bidi w:val="0"/>
              <w:spacing w:before="0" w:after="283"/>
              <w:jc w:val="left"/>
              <w:rPr>
                <w:sz w:val="4"/>
                <w:szCs w:val="4"/>
              </w:rPr>
            </w:pPr>
            <w:r>
              <w:rPr>
                <w:sz w:val="4"/>
                <w:szCs w:val="4"/>
              </w:rPr>
            </w:r>
          </w:p>
        </w:tc>
      </w:tr>
      <w:tr>
        <w:trPr>
          <w:trHeight w:val="60" w:hRule="atLeast"/>
        </w:trPr>
        <w:tc>
          <w:tcPr>
            <w:tcW w:w="418" w:type="dxa"/>
            <w:tcBorders/>
            <w:vAlign w:val="center"/>
          </w:tcPr>
          <w:p>
            <w:pPr>
              <w:pStyle w:val="TableContents"/>
              <w:bidi w:val="0"/>
              <w:spacing w:before="0" w:after="283"/>
              <w:jc w:val="left"/>
              <w:rPr>
                <w:sz w:val="4"/>
                <w:szCs w:val="4"/>
              </w:rPr>
            </w:pPr>
            <w:r>
              <w:rPr>
                <w:sz w:val="4"/>
                <w:szCs w:val="4"/>
              </w:rPr>
            </w:r>
          </w:p>
        </w:tc>
        <w:tc>
          <w:tcPr>
            <w:tcW w:w="4180" w:type="dxa"/>
            <w:gridSpan w:val="2"/>
            <w:tcBorders/>
            <w:vAlign w:val="center"/>
          </w:tcPr>
          <w:p>
            <w:pPr>
              <w:pStyle w:val="TableContents"/>
              <w:bidi w:val="0"/>
              <w:spacing w:before="0" w:after="283"/>
              <w:jc w:val="left"/>
              <w:rPr>
                <w:sz w:val="4"/>
                <w:szCs w:val="4"/>
              </w:rPr>
            </w:pPr>
            <w:r>
              <w:rPr>
                <w:sz w:val="4"/>
                <w:szCs w:val="4"/>
              </w:rPr>
            </w:r>
          </w:p>
        </w:tc>
        <w:tc>
          <w:tcPr>
            <w:tcW w:w="5607" w:type="dxa"/>
            <w:gridSpan w:val="2"/>
            <w:tcBorders/>
            <w:vAlign w:val="center"/>
          </w:tcPr>
          <w:p>
            <w:pPr>
              <w:pStyle w:val="TableContents"/>
              <w:bidi w:val="0"/>
              <w:spacing w:before="0" w:after="283"/>
              <w:jc w:val="left"/>
              <w:rPr>
                <w:sz w:val="4"/>
                <w:szCs w:val="4"/>
              </w:rPr>
            </w:pPr>
            <w:r>
              <w:rPr>
                <w:sz w:val="4"/>
                <w:szCs w:val="4"/>
              </w:rPr>
            </w:r>
          </w:p>
        </w:tc>
      </w:tr>
      <w:tr>
        <w:trPr/>
        <w:tc>
          <w:tcPr>
            <w:tcW w:w="418" w:type="dxa"/>
            <w:tcBorders/>
          </w:tcPr>
          <w:p>
            <w:pPr>
              <w:pStyle w:val="TableContents"/>
              <w:bidi w:val="0"/>
              <w:spacing w:before="0" w:after="283"/>
              <w:jc w:val="left"/>
              <w:rPr/>
            </w:pPr>
            <w:r>
              <w:rPr/>
              <w:t>☐</w:t>
            </w:r>
          </w:p>
        </w:tc>
        <w:tc>
          <w:tcPr>
            <w:tcW w:w="105" w:type="dxa"/>
            <w:tcBorders/>
            <w:vAlign w:val="bottom"/>
          </w:tcPr>
          <w:p>
            <w:pPr>
              <w:pStyle w:val="TableContents"/>
              <w:bidi w:val="0"/>
              <w:spacing w:before="0" w:after="283"/>
              <w:jc w:val="left"/>
              <w:rPr/>
            </w:pPr>
            <w:r>
              <w:rPr/>
              <w:t> </w:t>
            </w:r>
          </w:p>
        </w:tc>
        <w:tc>
          <w:tcPr>
            <w:tcW w:w="4075" w:type="dxa"/>
            <w:tcBorders/>
          </w:tcPr>
          <w:p>
            <w:pPr>
              <w:pStyle w:val="TableContents"/>
              <w:bidi w:val="0"/>
              <w:spacing w:before="0" w:after="283"/>
              <w:jc w:val="left"/>
              <w:rPr/>
            </w:pPr>
            <w:r>
              <w:rPr/>
              <w:t>by physical delivery of a certificate to: </w:t>
            </w:r>
          </w:p>
        </w:tc>
        <w:tc>
          <w:tcPr>
            <w:tcW w:w="105" w:type="dxa"/>
            <w:tcBorders/>
            <w:vAlign w:val="bottom"/>
          </w:tcPr>
          <w:p>
            <w:pPr>
              <w:pStyle w:val="TableContents"/>
              <w:bidi w:val="0"/>
              <w:spacing w:before="0" w:after="283"/>
              <w:jc w:val="left"/>
              <w:rPr/>
            </w:pPr>
            <w:r>
              <w:rPr/>
              <w:t> </w:t>
            </w:r>
          </w:p>
        </w:tc>
        <w:tc>
          <w:tcPr>
            <w:tcW w:w="5502" w:type="dxa"/>
            <w:tcBorders/>
          </w:tcPr>
          <w:p>
            <w:pPr>
              <w:pStyle w:val="TableContents"/>
              <w:pBdr>
                <w:bottom w:val="single" w:sz="2" w:space="1" w:color="000000"/>
              </w:pBdr>
              <w:bidi w:val="0"/>
              <w:spacing w:before="0" w:after="20"/>
              <w:jc w:val="left"/>
              <w:rPr/>
            </w:pPr>
            <w:r>
              <w:rPr/>
              <w:t>  </w:t>
            </w:r>
          </w:p>
        </w:tc>
      </w:tr>
      <w:tr>
        <w:trPr>
          <w:trHeight w:val="60" w:hRule="atLeast"/>
        </w:trPr>
        <w:tc>
          <w:tcPr>
            <w:tcW w:w="418" w:type="dxa"/>
            <w:tcBorders/>
            <w:vAlign w:val="center"/>
          </w:tcPr>
          <w:p>
            <w:pPr>
              <w:pStyle w:val="TableContents"/>
              <w:bidi w:val="0"/>
              <w:spacing w:before="0" w:after="283"/>
              <w:jc w:val="left"/>
              <w:rPr>
                <w:sz w:val="4"/>
                <w:szCs w:val="4"/>
              </w:rPr>
            </w:pPr>
            <w:r>
              <w:rPr>
                <w:sz w:val="4"/>
                <w:szCs w:val="4"/>
              </w:rPr>
            </w:r>
          </w:p>
        </w:tc>
        <w:tc>
          <w:tcPr>
            <w:tcW w:w="4180" w:type="dxa"/>
            <w:gridSpan w:val="2"/>
            <w:tcBorders/>
            <w:vAlign w:val="center"/>
          </w:tcPr>
          <w:p>
            <w:pPr>
              <w:pStyle w:val="TableContents"/>
              <w:bidi w:val="0"/>
              <w:spacing w:before="0" w:after="283"/>
              <w:jc w:val="left"/>
              <w:rPr>
                <w:sz w:val="4"/>
                <w:szCs w:val="4"/>
              </w:rPr>
            </w:pPr>
            <w:r>
              <w:rPr>
                <w:sz w:val="4"/>
                <w:szCs w:val="4"/>
              </w:rPr>
            </w:r>
          </w:p>
        </w:tc>
        <w:tc>
          <w:tcPr>
            <w:tcW w:w="5607" w:type="dxa"/>
            <w:gridSpan w:val="2"/>
            <w:tcBorders/>
            <w:vAlign w:val="center"/>
          </w:tcPr>
          <w:p>
            <w:pPr>
              <w:pStyle w:val="TableContents"/>
              <w:bidi w:val="0"/>
              <w:spacing w:before="0" w:after="283"/>
              <w:jc w:val="left"/>
              <w:rPr>
                <w:sz w:val="4"/>
                <w:szCs w:val="4"/>
              </w:rPr>
            </w:pPr>
            <w:r>
              <w:rPr>
                <w:sz w:val="4"/>
                <w:szCs w:val="4"/>
              </w:rPr>
            </w:r>
          </w:p>
        </w:tc>
      </w:tr>
      <w:tr>
        <w:trPr/>
        <w:tc>
          <w:tcPr>
            <w:tcW w:w="418"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07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5502" w:type="dxa"/>
            <w:tcBorders/>
          </w:tcPr>
          <w:p>
            <w:pPr>
              <w:pStyle w:val="TableContents"/>
              <w:pBdr>
                <w:bottom w:val="single" w:sz="2" w:space="1" w:color="000000"/>
              </w:pBdr>
              <w:bidi w:val="0"/>
              <w:spacing w:before="0" w:after="20"/>
              <w:jc w:val="left"/>
              <w:rPr/>
            </w:pPr>
            <w:r>
              <w:rPr/>
              <w:t>  </w:t>
            </w:r>
          </w:p>
        </w:tc>
      </w:tr>
      <w:tr>
        <w:trPr>
          <w:trHeight w:val="60" w:hRule="atLeast"/>
        </w:trPr>
        <w:tc>
          <w:tcPr>
            <w:tcW w:w="418" w:type="dxa"/>
            <w:tcBorders/>
            <w:vAlign w:val="center"/>
          </w:tcPr>
          <w:p>
            <w:pPr>
              <w:pStyle w:val="TableContents"/>
              <w:bidi w:val="0"/>
              <w:spacing w:before="0" w:after="283"/>
              <w:jc w:val="left"/>
              <w:rPr>
                <w:sz w:val="4"/>
                <w:szCs w:val="4"/>
              </w:rPr>
            </w:pPr>
            <w:r>
              <w:rPr>
                <w:sz w:val="4"/>
                <w:szCs w:val="4"/>
              </w:rPr>
            </w:r>
          </w:p>
        </w:tc>
        <w:tc>
          <w:tcPr>
            <w:tcW w:w="9787" w:type="dxa"/>
            <w:gridSpan w:val="4"/>
            <w:tcBorders/>
            <w:vAlign w:val="center"/>
          </w:tcPr>
          <w:p>
            <w:pPr>
              <w:pStyle w:val="TableContents"/>
              <w:bidi w:val="0"/>
              <w:spacing w:before="0" w:after="283"/>
              <w:jc w:val="left"/>
              <w:rPr>
                <w:sz w:val="4"/>
                <w:szCs w:val="4"/>
              </w:rPr>
            </w:pPr>
            <w:r>
              <w:rPr>
                <w:sz w:val="4"/>
                <w:szCs w:val="4"/>
              </w:rPr>
            </w:r>
          </w:p>
        </w:tc>
      </w:tr>
      <w:tr>
        <w:trPr/>
        <w:tc>
          <w:tcPr>
            <w:tcW w:w="418" w:type="dxa"/>
            <w:tcBorders/>
          </w:tcPr>
          <w:p>
            <w:pPr>
              <w:pStyle w:val="TableContents"/>
              <w:bidi w:val="0"/>
              <w:spacing w:before="0" w:after="283"/>
              <w:jc w:val="left"/>
              <w:rPr/>
            </w:pPr>
            <w:r>
              <w:rPr/>
              <w:t>☐</w:t>
            </w:r>
          </w:p>
        </w:tc>
        <w:tc>
          <w:tcPr>
            <w:tcW w:w="105" w:type="dxa"/>
            <w:tcBorders/>
            <w:vAlign w:val="bottom"/>
          </w:tcPr>
          <w:p>
            <w:pPr>
              <w:pStyle w:val="TableContents"/>
              <w:bidi w:val="0"/>
              <w:spacing w:before="0" w:after="283"/>
              <w:jc w:val="left"/>
              <w:rPr/>
            </w:pPr>
            <w:r>
              <w:rPr/>
              <w:t> </w:t>
            </w:r>
          </w:p>
        </w:tc>
        <w:tc>
          <w:tcPr>
            <w:tcW w:w="9682" w:type="dxa"/>
            <w:gridSpan w:val="3"/>
            <w:tcBorders/>
          </w:tcPr>
          <w:p>
            <w:pPr>
              <w:pStyle w:val="TableContents"/>
              <w:bidi w:val="0"/>
              <w:spacing w:before="0" w:after="283"/>
              <w:jc w:val="left"/>
              <w:rPr/>
            </w:pPr>
            <w:r>
              <w:rPr/>
              <w:t>in restricted book-entry form in the Company’s share register</w:t>
            </w:r>
          </w:p>
        </w:tc>
      </w:tr>
    </w:tbl>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07"/>
        <w:gridCol w:w="60"/>
        <w:gridCol w:w="2315"/>
      </w:tblGrid>
      <w:tr>
        <w:trPr/>
        <w:tc>
          <w:tcPr>
            <w:tcW w:w="17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60" w:type="dxa"/>
            <w:tcBorders/>
            <w:vAlign w:val="bottom"/>
          </w:tcPr>
          <w:p>
            <w:pPr>
              <w:pStyle w:val="TableContents"/>
              <w:bidi w:val="0"/>
              <w:spacing w:before="0" w:after="283"/>
              <w:jc w:val="left"/>
              <w:rPr/>
            </w:pPr>
            <w:r>
              <w:rPr/>
              <w:t> </w:t>
            </w:r>
          </w:p>
        </w:tc>
        <w:tc>
          <w:tcPr>
            <w:tcW w:w="2315" w:type="dxa"/>
            <w:tcBorders/>
          </w:tcPr>
          <w:p>
            <w:pPr>
              <w:pStyle w:val="TableContents"/>
              <w:pBdr>
                <w:bottom w:val="single" w:sz="2" w:space="1" w:color="000000"/>
              </w:pBdr>
              <w:bidi w:val="0"/>
              <w:spacing w:before="0" w:after="20"/>
              <w:jc w:val="left"/>
              <w:rPr/>
            </w:pPr>
            <w:r>
              <w:rPr/>
              <w:t> </w:t>
            </w:r>
          </w:p>
        </w:tc>
      </w:tr>
      <w:tr>
        <w:trPr>
          <w:trHeight w:val="60" w:hRule="atLeast"/>
        </w:trPr>
        <w:tc>
          <w:tcPr>
            <w:tcW w:w="1707"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Name of Holder:</w:t>
            </w:r>
          </w:p>
        </w:tc>
        <w:tc>
          <w:tcPr>
            <w:tcW w:w="60" w:type="dxa"/>
            <w:tcBorders/>
            <w:vAlign w:val="bottom"/>
          </w:tcPr>
          <w:p>
            <w:pPr>
              <w:pStyle w:val="TableContents"/>
              <w:bidi w:val="0"/>
              <w:spacing w:before="0" w:after="283"/>
              <w:jc w:val="left"/>
              <w:rPr/>
            </w:pPr>
            <w:r>
              <w:rPr/>
              <w:t> </w:t>
            </w:r>
          </w:p>
        </w:tc>
        <w:tc>
          <w:tcPr>
            <w:tcW w:w="2315" w:type="dxa"/>
            <w:tcBorders/>
          </w:tcPr>
          <w:p>
            <w:pPr>
              <w:pStyle w:val="TableContents"/>
              <w:pBdr>
                <w:bottom w:val="single" w:sz="2" w:space="1" w:color="000000"/>
              </w:pBdr>
              <w:bidi w:val="0"/>
              <w:spacing w:before="0" w:after="20"/>
              <w:jc w:val="left"/>
              <w:rPr/>
            </w:pPr>
            <w:r>
              <w:rPr/>
              <w:t> </w:t>
            </w:r>
          </w:p>
        </w:tc>
      </w:tr>
      <w:tr>
        <w:trPr>
          <w:trHeight w:val="60" w:hRule="atLeast"/>
        </w:trPr>
        <w:tc>
          <w:tcPr>
            <w:tcW w:w="1707"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2315" w:type="dxa"/>
            <w:tcBorders/>
          </w:tcPr>
          <w:p>
            <w:pPr>
              <w:pStyle w:val="TableContents"/>
              <w:pBdr>
                <w:bottom w:val="single" w:sz="2" w:space="1" w:color="000000"/>
              </w:pBdr>
              <w:bidi w:val="0"/>
              <w:spacing w:before="0" w:after="20"/>
              <w:jc w:val="left"/>
              <w:rPr/>
            </w:pPr>
            <w:r>
              <w:rPr/>
              <w:t> </w:t>
            </w:r>
          </w:p>
        </w:tc>
      </w:tr>
      <w:tr>
        <w:trPr>
          <w:trHeight w:val="60" w:hRule="atLeast"/>
        </w:trPr>
        <w:tc>
          <w:tcPr>
            <w:tcW w:w="1707"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2315" w:type="dxa"/>
            <w:tcBorders/>
          </w:tcPr>
          <w:p>
            <w:pPr>
              <w:pStyle w:val="TableContents"/>
              <w:pBdr>
                <w:bottom w:val="single" w:sz="2" w:space="1" w:color="000000"/>
              </w:pBdr>
              <w:bidi w:val="0"/>
              <w:spacing w:before="0" w:after="20"/>
              <w:jc w:val="left"/>
              <w:rPr/>
            </w:pPr>
            <w:r>
              <w:rPr/>
              <w:t> </w:t>
            </w:r>
          </w:p>
        </w:tc>
      </w:tr>
      <w:tr>
        <w:trPr>
          <w:trHeight w:val="60" w:hRule="atLeast"/>
        </w:trPr>
        <w:tc>
          <w:tcPr>
            <w:tcW w:w="1707"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315"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13535</Words>
  <Characters>70590</Characters>
  <CharactersWithSpaces>84180</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EX-2.1</dc:title>
</cp:coreProperties>
</file>